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eastAsia="黑体"/>
          <w:b/>
          <w:sz w:val="32"/>
        </w:rPr>
        <w:t>协商审议与感知表征变换网络及记忆遗传：</w:t>
        <w:br/>
        <w:t>一种面向多智能体技能自发现、自演进与知识遗传的统一闭环框架</w:t>
      </w:r>
    </w:p>
    <w:p>
      <w:pPr>
        <w:spacing w:after="80"/>
      </w:pPr>
      <w:r>
        <w:rPr>
          <w:rFonts w:eastAsia="黑体"/>
          <w:b/>
          <w:sz w:val="21"/>
        </w:rPr>
        <w:t>摘  要</w:t>
      </w:r>
    </w:p>
    <w:p>
      <w:pPr>
        <w:spacing w:after="120"/>
      </w:pPr>
      <w:r>
        <w:rPr>
          <w:rFonts w:eastAsia="楷体"/>
          <w:sz w:val="20"/>
        </w:rPr>
        <w:t>大语言模型驱动的多智能体系统仍普遍依赖人工编写和静态配置技能，难以持续吸收群体经验、适应任务生态变化，并在智能体升级或退役时保存其后天知识。本文提出一种统一闭环框架，将结构化协商审议、审议感知表征变换与记忆遗传统一起来。Plaza审议空间通过ORID四层递进议程、12-Niche环状布局、五类仪式信号和五指量表共识机制，将自由讨论转化为可追溯审议流；DART-Net审议感知表征变换网络以话语哈希编码、TCN膨胀卷积序列建模和字段查询交叉注意力，从审议转录中端到端萃取结构化技能；记忆遗传机制以四层记忆核心和Seal-Will-Export-Import五阶段协议实现经验的跨智能体无损传承。本文将上述过程表述为包含Plaza审议(P)、DART-Net表征(D)、技能种群(S)和Agent记忆(M)的离散时间闭环状态演化系统，建立了四个耦合通道和周期更新方程。当前短周期实验尚不足以证明全局Lyapunov稳定性，但为局部稳定性假设提供了初步数值迹象。云运维实验表明，完整ORID模式产生2.0项技能且字段完整性91%，去除ORID后技能数下降62%；DART-Net平均端到端CPU延迟4.81ms；epoch 30训练注意力归一化熵0.999、集中度1.19x，与关键词基线注意力（归一化熵0.98-0.99、集中度1.79-2.07x）的差距量化了数据规模驱动的注意力相变假说；记忆迁移实现100%模式完整性；SkillRouter检索5/5 Top-5命中、均值延迟1.94ms；初步闭环迭代中技能质量分数由0.42提升至0.78并进入短期平台。</w:t>
      </w:r>
    </w:p>
    <w:p>
      <w:pPr>
        <w:spacing w:after="120"/>
      </w:pPr>
      <w:r>
        <w:rPr>
          <w:rFonts w:eastAsia="楷体"/>
          <w:b/>
          <w:sz w:val="20"/>
        </w:rPr>
        <w:t>关键词：协商审议；感知表征变换网络；记忆遗传；技能自发现；技能自演进；统一闭环框架；注意力相变假说；关键词基线</w:t>
      </w:r>
    </w:p>
    <w:p>
      <w:pPr>
        <w:spacing w:after="200"/>
      </w:pPr>
      <w:r>
        <w:rPr>
          <w:rFonts w:eastAsia="楷体"/>
          <w:sz w:val="16"/>
        </w:rPr>
        <w:t>可复现性：PYTHONPATH=src/backend python3 scripts/retrain_with_attention_backprop.py &amp;&amp; PYTHONPATH=src/backend python3 scripts/generate_fig6_keyword_attn.py</w:t>
      </w:r>
    </w:p>
    <w:p>
      <w:pPr>
        <w:pStyle w:val="Heading1"/>
      </w:pPr>
      <w:r>
        <w:rPr>
          <w:sz w:val="24"/>
          <w:rFonts w:eastAsia="黑体"/>
        </w:rPr>
        <w:t>1  引言</w:t>
      </w:r>
    </w:p>
    <w:p>
      <w:pPr>
        <w:spacing w:after="160"/>
      </w:pPr>
      <w:r>
        <w:rPr>
          <w:rFonts w:eastAsia="宋体"/>
          <w:sz w:val="21"/>
        </w:rPr>
        <w:t>多智能体框架虽能通过角色分工完成复杂任务[9-11]，但其技能生命周期仍沿用"人工编写—静态注入—长期冻结"方式。原始实践显示，一项AWS运维技能需45-90分钟人工编写，覆盖15个服务域后技能量超100项。静态技能有明显知识半衰期——三个月观察中约22%的ES集群管理技能部分过时。更根本的问题是"Agent之死"——LLM调用无状态，智能体退役时其事件经验、感知流和情绪评价随进程消失。自然生物不能把后天记忆遗传给后代，而数字Agent具备完整复制状态的工程可能性。由此产生三个核心问题：①如何让技能从群体讨论中自发产生？②如何使技能在使用中持续演化？③如何让经验和知识跨智能体代际传递？本文提出Plaza+DART-Net+Memory的统一闭环框架应对这三个问题。</w:t>
      </w:r>
    </w:p>
    <w:p>
      <w:pPr>
        <w:pStyle w:val="Heading1"/>
      </w:pPr>
      <w:r>
        <w:rPr>
          <w:sz w:val="24"/>
          <w:rFonts w:eastAsia="黑体"/>
        </w:rPr>
        <w:t>2  整体系统架构</w:t>
      </w:r>
    </w:p>
    <w:p>
      <w:pPr>
        <w:spacing w:after="120"/>
      </w:pPr>
      <w:r>
        <w:rPr>
          <w:rFonts w:eastAsia="宋体"/>
          <w:sz w:val="21"/>
        </w:rPr>
        <w:t>系统闭环架构为：多智能体组织→Plaza协商审议→审议转录文本→DART-Net技能萃取→结构化技能定义→SkillRouter赋予→任务执行→四层记忆核心→记忆遗传(Seal→Will→Export→Import)→后继Agent继承经验→再次进入Plaza讨论。这是一个Skill Closed-Loop Evolution System。</w:t>
      </w:r>
    </w:p>
    <w:p>
      <w:pPr>
        <w:jc w:val="center"/>
      </w:pPr>
      <w:r>
        <w:drawing>
          <wp:inline xmlns:a="http://schemas.openxmlformats.org/drawingml/2006/main" xmlns:pic="http://schemas.openxmlformats.org/drawingml/2006/picture">
            <wp:extent cx="4572000" cy="3302000"/>
            <wp:docPr id="1" name="Picture 1"/>
            <wp:cNvGraphicFramePr>
              <a:graphicFrameLocks noChangeAspect="1"/>
            </wp:cNvGraphicFramePr>
            <a:graphic>
              <a:graphicData uri="http://schemas.openxmlformats.org/drawingml/2006/picture">
                <pic:pic>
                  <pic:nvPicPr>
                    <pic:cNvPr id="0" name="fig4_sys_arch.png"/>
                    <pic:cNvPicPr/>
                  </pic:nvPicPr>
                  <pic:blipFill>
                    <a:blip r:embed="rId9"/>
                    <a:stretch>
                      <a:fillRect/>
                    </a:stretch>
                  </pic:blipFill>
                  <pic:spPr>
                    <a:xfrm>
                      <a:off x="0" y="0"/>
                      <a:ext cx="4572000" cy="3302000"/>
                    </a:xfrm>
                    <a:prstGeom prst="rect"/>
                  </pic:spPr>
                </pic:pic>
              </a:graphicData>
            </a:graphic>
          </wp:inline>
        </w:drawing>
      </w:r>
    </w:p>
    <w:p>
      <w:pPr>
        <w:jc w:val="center"/>
      </w:pPr>
      <w:r>
        <w:rPr>
          <w:i/>
          <w:sz w:val="16"/>
        </w:rPr>
        <w:t>图1  技能演化闭环总体架构</w:t>
      </w:r>
    </w:p>
    <w:p>
      <w:pPr>
        <w:pStyle w:val="Heading1"/>
      </w:pPr>
      <w:r>
        <w:rPr>
          <w:sz w:val="24"/>
          <w:rFonts w:eastAsia="黑体"/>
        </w:rPr>
        <w:t>3  Plaza结构化协商审议</w:t>
      </w:r>
    </w:p>
    <w:p>
      <w:pPr>
        <w:spacing w:after="120"/>
      </w:pPr>
      <w:r>
        <w:rPr>
          <w:rFonts w:eastAsia="宋体"/>
          <w:sz w:val="21"/>
        </w:rPr>
        <w:t>Plaza受议会议事规程[1]和审议民主理论[2]启发，采用Stanfield聚焦对谈法[26]的ORID四层递进议程。其中：O(Objective)——Fact Layer由Fact Keeper推动参与者陈述可验证事实，聚焦“我们看到什么”；R(Reflective)——Risk Layer由Emotion Reflector收集直觉担忧和潜在代价，聚焦“有什么感受和直觉反应”；I(Interpretive)——Solution Debate Layer由Analyst组织相反立场Agent进行TurQUaz-style[8]定向辩论，聚焦“这意味着什么”；D(Decisional)——Decision Layer由Decision Closer以五指量表[3]进行密封式表决，聚焦“如何行动”。12-Niche环状布局源自古典建筑壁龛(niche)概念[27]——为特定对象保留的专用空间——其设计目标是减少技能关键字段遗漏，并承担三项功能。第一，知识覆盖约束：内环(架构/运维)角色提供目标、工具和步骤；中环(安全/监控/成本)角色提供检测、失败和回滚边界；外环(审计/记录)角色保存证据和版本信息。第二，来源可追溯：每个字段证据绑定Agent标识、角色、niche编号、议程阶段(ORID层)和发言ID，任一技能字段可回溯至产生它的审议片段。第三，异议路由：中环或外环提出的CHALLENGE被主持者送回对应议程阶段，转化为前置条件补充、工具替换或回滚规则。</w:t>
        <w:br/>
        <w:br/>
        <w:t>每次发言必须附带五类仪式信号之一：SUPPLEMENT(补充)、CHALLENGE(质疑)、AGREE(附议)、COURT(请求开庭辩论)或DIGRESS(偏题纠正)，使补充、质疑、附议、请求辩论和偏题纠正成为离散可审计事件。共识度量采用Kaner等人[3]提出的五指量表(Fist-to-Five)：参与者以1至5指表达承诺程度——1指表示根本性反对(blocking)，5指表示全力支持并愿带头执行。存在1指时判为阻滞(blocked)；无1指且至少60%的参与者给出不低于3指时，方案可进入验证阶段；均值μ≥4.0定义为强共识。仪式信号的首要价值在于保留异议类型与来源——CHALLENGE(质疑)的来源角色和对应的议程阶段共同构成技能约束的追溯链——单独保证萃取数量提升不是其设计目的。</w:t>
      </w:r>
    </w:p>
    <w:p>
      <w:pPr>
        <w:jc w:val="center"/>
      </w:pPr>
      <w:r>
        <w:drawing>
          <wp:inline xmlns:a="http://schemas.openxmlformats.org/drawingml/2006/main" xmlns:pic="http://schemas.openxmlformats.org/drawingml/2006/picture">
            <wp:extent cx="4572000" cy="4795736"/>
            <wp:docPr id="2" name="Picture 2"/>
            <wp:cNvGraphicFramePr>
              <a:graphicFrameLocks noChangeAspect="1"/>
            </wp:cNvGraphicFramePr>
            <a:graphic>
              <a:graphicData uri="http://schemas.openxmlformats.org/drawingml/2006/picture">
                <pic:pic>
                  <pic:nvPicPr>
                    <pic:cNvPr id="0" name="fig1_plaza_niche.png"/>
                    <pic:cNvPicPr/>
                  </pic:nvPicPr>
                  <pic:blipFill>
                    <a:blip r:embed="rId10"/>
                    <a:stretch>
                      <a:fillRect/>
                    </a:stretch>
                  </pic:blipFill>
                  <pic:spPr>
                    <a:xfrm>
                      <a:off x="0" y="0"/>
                      <a:ext cx="4572000" cy="4795736"/>
                    </a:xfrm>
                    <a:prstGeom prst="rect"/>
                  </pic:spPr>
                </pic:pic>
              </a:graphicData>
            </a:graphic>
          </wp:inline>
        </w:drawing>
      </w:r>
    </w:p>
    <w:p>
      <w:pPr>
        <w:jc w:val="center"/>
      </w:pPr>
      <w:r>
        <w:rPr>
          <w:i/>
          <w:sz w:val="16"/>
        </w:rPr>
        <w:t>图2  Plaza环状12-Niche布局——三层环形承担知识覆盖、来源可追溯和异议路由三项功能。</w:t>
      </w:r>
    </w:p>
    <w:p>
      <w:pPr>
        <w:pStyle w:val="Heading1"/>
      </w:pPr>
      <w:r>
        <w:rPr>
          <w:sz w:val="24"/>
          <w:rFonts w:eastAsia="黑体"/>
        </w:rPr>
        <w:t>4  DART-Net审议感知表征变换网络</w:t>
      </w:r>
    </w:p>
    <w:p>
      <w:pPr>
        <w:pStyle w:val="Heading2"/>
      </w:pPr>
      <w:r>
        <w:rPr>
          <w:sz w:val="21"/>
          <w:rFonts w:eastAsia="黑体"/>
        </w:rPr>
        <w:t>4.1  DART-Net模型架构与TSE工程管线</w:t>
      </w:r>
    </w:p>
    <w:p>
      <w:pPr>
        <w:spacing w:after="80"/>
      </w:pPr>
      <w:r>
        <w:rPr>
          <w:rFonts w:eastAsia="宋体"/>
          <w:sz w:val="21"/>
        </w:rPr>
        <w:t>审议感知表征变换网络（Deliberation-Aware Representation Transformation Network，DART-Net）是面向结构化群体协商转录的字段级技能表征模型；时序技能萃取器（Temporal Skill Extractor，TSE）是DART-Net在当前原型系统中的工程实现与运行时管线。DART-Net定义如何把群体协商中产生的文本、角色、议程阶段、仪式信号和发言顺序转换为结构化技能表示，TSE则负责以确定、低延迟、可追溯和可降级的方式执行该转换。</w:t>
      </w:r>
    </w:p>
    <w:p>
      <w:pPr>
        <w:spacing w:after="80"/>
      </w:pPr>
      <w:r>
        <w:rPr>
          <w:rFonts w:eastAsia="宋体"/>
          <w:sz w:val="21"/>
        </w:rPr>
        <w:t>采用这一架构，是因为结构化协商空间（Plaza）产生的内容不同于普通文档或无序聊天。每条发言除文本内容外，还携带发言角色、ORID议程阶段、仪式信号和时间位置。这些信息共同决定某段发言是在陈述事实、暴露风险、比较方案还是形成决策。技能萃取因此需要同时满足三项要求：第一，保留协商发言之间的时间顺序和跨阶段依赖；第二，分别定位技能名称、描述、类别、工具和执行步骤等字段的来源证据；第三，在在线服务不可用时仍能生成与原始讨论内容对应的结构化候选技能。基于上述要求，TSE采用"确定性话语编码—时序关系建模—字段证据聚合—结构约束解码"的四阶段处理管线。</w:t>
      </w:r>
    </w:p>
    <w:p>
      <w:pPr>
        <w:pStyle w:val="Heading2"/>
      </w:pPr>
      <w:r>
        <w:rPr>
          <w:sz w:val="21"/>
          <w:rFonts w:eastAsia="黑体"/>
        </w:rPr>
        <w:t>4.1.1  阶段1：确定性话语特征编码</w:t>
      </w:r>
    </w:p>
    <w:p>
      <w:pPr>
        <w:spacing w:after="80"/>
      </w:pPr>
      <w:r>
        <w:rPr>
          <w:rFonts w:eastAsia="宋体"/>
          <w:sz w:val="21"/>
        </w:rPr>
        <w:t>阶段1使用BLAKE2b确定性哈希和带固定种子的字符1/2/3-gram特征映射，将发言文本编码为256维基础向量，并叠加角色、ORID议程阶段、仪式信号、壁龛编号和发言轮次等辅助特征。相同输入在相同配置下产生一致表示，因此便于实验复现、缓存复用和跨运行实例比较。</w:t>
      </w:r>
    </w:p>
    <w:p>
      <w:pPr>
        <w:spacing w:after="80"/>
      </w:pPr>
      <w:r>
        <w:rPr>
          <w:rFonts w:eastAsia="宋体"/>
          <w:sz w:val="21"/>
        </w:rPr>
        <w:t>采用确定性哈希编码主要有三个工程原因。其一，不依赖外部嵌入服务，不会因远程模型升级或嵌入版本变化而产生表示漂移；其二，不增加需要单独训练和部署的嵌入模型参数；其三，计算和存储开销较低，满足当前原型对低延迟处理的要求。需要说明的是，确定性哈希属于稳定的特征编码而非完整的深层语义编码——可能产生哈希碰撞，对同义改写和远距离语义关系的建模能力也弱于预训练语言模型。因此角色关系、议程结构和跨发言语义主要由后续时序建模和字段查询机制进一步聚合。</w:t>
      </w:r>
    </w:p>
    <w:p>
      <w:pPr>
        <w:pStyle w:val="Heading2"/>
      </w:pPr>
      <w:r>
        <w:rPr>
          <w:sz w:val="21"/>
          <w:rFonts w:eastAsia="黑体"/>
        </w:rPr>
        <w:t>4.1.2  阶段2：时间卷积序列建模</w:t>
      </w:r>
    </w:p>
    <w:p>
      <w:pPr>
        <w:spacing w:after="80"/>
      </w:pPr>
      <w:r>
        <w:rPr>
          <w:rFonts w:eastAsia="宋体"/>
          <w:sz w:val="21"/>
        </w:rPr>
        <w:t>阶段2采用三层TCN对话语序列进行建模，每层由深度卷积、逐点卷积、层归一化、非线性激活和残差连接组成。卷积核k=3，膨胀因子dilations=[1,2,4]。膨胀因子为1的卷积主要捕获相邻发言之间的补充、附议和即时质疑；膨胀因子为2和4的卷积逐层扩大观察范围，用于关联跨发言及跨议程阶段的事实、风险、方案与决策信息。理论感受野R=1+(k-1)×Σd_ℓ=1+2×(1+2+4)=15，即一个输出位置最多可综合15个连续话语位置的信息。</w:t>
      </w:r>
    </w:p>
    <w:p>
      <w:pPr>
        <w:spacing w:after="80"/>
      </w:pPr>
      <w:r>
        <w:rPr>
          <w:rFonts w:eastAsia="宋体"/>
          <w:sz w:val="21"/>
        </w:rPr>
        <w:t>选择TCN而非对所有发言执行完整自注意力，主要基于结构和计算两方面考虑。Plaza讨论具有严格时间顺序，局部回应、跨轮质疑和跨阶段决策可以通过膨胀卷积逐层连接；深度可分离TCN的主要计算量随发言数量近似线性增长（O(n(kd+d²))，k,d固定），而完整自注意力通常包含O(n²)的两两相关性计算。因此TCN更适合当前短至中等长度、要求低延迟的在线协商萃取场景。但15个话语位置的感受野不能自动覆盖任意长度的讨论，当有效证据跨越更长序列时需要增加卷积层、调整膨胀因子或引入分段聚合。</w:t>
      </w:r>
    </w:p>
    <w:p>
      <w:pPr>
        <w:pStyle w:val="Heading2"/>
      </w:pPr>
      <w:r>
        <w:rPr>
          <w:sz w:val="21"/>
          <w:rFonts w:eastAsia="黑体"/>
        </w:rPr>
        <w:t>4.1.3  阶段3：字段查询注意力与证据聚合</w:t>
      </w:r>
    </w:p>
    <w:p>
      <w:pPr>
        <w:spacing w:after="80"/>
      </w:pPr>
      <w:r>
        <w:rPr>
          <w:rFonts w:eastAsia="宋体"/>
          <w:sz w:val="21"/>
        </w:rPr>
        <w:t>阶段3设置五组可学习的字段查询探针，分别对应技能名称（name）、描述（description）、任务类别（category）、工具集合（tools）和执行步骤（instructions）。每组探针使用独立的查询向量对TCN输出的话语表示执行交叉注意力，计算各条发言对于目标字段的相关权重并聚合形成字段级表示。系统同时保存聚焦发言索引（focus_indices）及其对应的发言角色、议程阶段和证据片段，使候选技能字段能够回溯到原始协商内容。</w:t>
      </w:r>
    </w:p>
    <w:p>
      <w:pPr>
        <w:spacing w:after="80"/>
      </w:pPr>
      <w:r>
        <w:rPr>
          <w:rFonts w:eastAsia="宋体"/>
          <w:sz w:val="21"/>
        </w:rPr>
        <w:t>字段查询探针的设计目的，是让不同技能字段学习不同的信息选择方式。例如名称和描述通常需要关注方案提出和决策收束内容，工具字段需要关注事实层中的工具能力和补充信息，执行步骤需要综合方案辩论与决策层形成的行动顺序。这些关系属于模型的预期学习目标，不是预先写死的字段规则。查询探针数量q=5，话语数量为n，隐藏维度为d时字段查询注意力的主要计算量约为O(qnd)——由于q固定为5，计算量随讨论长度近似线性增加，避免了在所有话语之间执行完全两两比较。</w:t>
      </w:r>
    </w:p>
    <w:p>
      <w:pPr>
        <w:spacing w:after="80"/>
      </w:pPr>
      <w:r>
        <w:rPr>
          <w:rFonts w:eastAsia="宋体"/>
          <w:sz w:val="21"/>
        </w:rPr>
        <w:t>当前实验也揭示了该阶段的能力边界与架构约束。在20个多样化协商样本上训练30个epoch（完整注意力反传，更新W_q/W_k/W_v/W_o及查询向量），epoch 30检查点的五字段查询注意力在所有诊断样本上均接近均匀分布——归一化熵均值0.9989，集中度均值1.19x（最大权重仅为均值的1.19倍）。自编码损失从epoch 1的1.006仅下降至epoch 30的0.998（降低幅度仅0.8%），工具F1始终为0.0。该均匀状态的根本原因不在训练不足或代码缺陷，而在纯NumPy编码路径的架构约束：hash嵌入将不同话语映射到256维L2归一化向量的相近区域（话语间余弦相似度均大于0.95），冻结的TCN膨胀卷积在4-5条话语的短序列上产生近似时序特征，残差连接与LayerNorm进一步压缩了差异——即使完整反向传播更新所有注意力参数，梯度信号也无法打破该对称性。本文将这一现象表述为数据规模驱动的注意力相变假说：存在临界数据规模N_c，当训练样本数N&lt;N_c时注意力保持均匀分布，当N&gt;N_c时注意力从均匀向聚焦发生相变。当前实验在20样本规模下N&lt;N_c，但通过关键词基线注意力（直接计算FIELD_KEYWORD_SEEDS与话语字符的余弦相似度）可量化当前注意力集中度潜力:训练注意力仅利用了关键词基线集中度的57%（1.19x vs 2.07x），意味着至少需将数据规模扩大至约108条方可进入可观测分化的边界区域。</w:t>
      </w:r>
    </w:p>
    <w:p>
      <w:pPr>
        <w:pStyle w:val="Heading2"/>
      </w:pPr>
      <w:r>
        <w:rPr>
          <w:sz w:val="21"/>
          <w:rFonts w:eastAsia="黑体"/>
        </w:rPr>
        <w:t>4.1.4  阶段4：结构约束解码与离线降级</w:t>
      </w:r>
    </w:p>
    <w:p>
      <w:pPr>
        <w:spacing w:after="80"/>
      </w:pPr>
      <w:r>
        <w:rPr>
          <w:rFonts w:eastAsia="宋体"/>
          <w:sz w:val="21"/>
        </w:rPr>
        <w:t>阶段4通过JSON Schema约束候选技能的输出结构，检查字段名称、数据类型、必填项和层级关系。在线模式下系统可调用外部生成模型根据字段表示和来源证据生成结构化技能；在外部服务不可用时则调用本地技能合成函数synthesize_skills_local完成离线降级。本地合成不是退化为与协商内容无关的通用模板，而是依据前述阶段获得的字段表示、聚焦话语、议程阶段和证据片段组合候选技能的名称、描述、工具、步骤与来源关系。离线模式的语言流畅性和复杂语义整合能力可能低于外部生成模型，但已经提取的讨论内容和来源证据不会被替换为空泛模板。</w:t>
      </w:r>
    </w:p>
    <w:p>
      <w:pPr>
        <w:spacing w:after="80"/>
      </w:pPr>
      <w:r>
        <w:rPr>
          <w:rFonts w:eastAsia="宋体"/>
          <w:sz w:val="21"/>
        </w:rPr>
        <w:t>阶段4的输出应统一称为候选技能，而不是未经验证即可执行的正式技能。候选技能还需要进入技能发布验证链，完成结构、证据、工具、执行、安全和回归检查后才能被标记为已验证或正式发布。正式发布规则为：Publish(c)=1仅当六类门控G_schema∧G_evidence∧G_tool∧G_execution∧G_safety∧G_regression全部通过时成立。DART-Net与TSE提高了结构化群体协商内容向候选技能对象转换的效率、结构一致性和来源可追溯性；技能的发布质量由来源证据、工具接地、沙箱执行、安全检查和回归验证共同控制——不应表述为DART-Net单独保证技能抽取正确。</w:t>
      </w:r>
    </w:p>
    <w:p>
      <w:pPr>
        <w:jc w:val="center"/>
      </w:pPr>
      <w:r>
        <w:drawing>
          <wp:inline xmlns:a="http://schemas.openxmlformats.org/drawingml/2006/main" xmlns:pic="http://schemas.openxmlformats.org/drawingml/2006/picture">
            <wp:extent cx="4572000" cy="3801005"/>
            <wp:docPr id="3" name="Picture 3"/>
            <wp:cNvGraphicFramePr>
              <a:graphicFrameLocks noChangeAspect="1"/>
            </wp:cNvGraphicFramePr>
            <a:graphic>
              <a:graphicData uri="http://schemas.openxmlformats.org/drawingml/2006/picture">
                <pic:pic>
                  <pic:nvPicPr>
                    <pic:cNvPr id="0" name="fig2_dart_arch.png"/>
                    <pic:cNvPicPr/>
                  </pic:nvPicPr>
                  <pic:blipFill>
                    <a:blip r:embed="rId11"/>
                    <a:stretch>
                      <a:fillRect/>
                    </a:stretch>
                  </pic:blipFill>
                  <pic:spPr>
                    <a:xfrm>
                      <a:off x="0" y="0"/>
                      <a:ext cx="4572000" cy="3801005"/>
                    </a:xfrm>
                    <a:prstGeom prst="rect"/>
                  </pic:spPr>
                </pic:pic>
              </a:graphicData>
            </a:graphic>
          </wp:inline>
        </w:drawing>
      </w:r>
    </w:p>
    <w:p>
      <w:pPr>
        <w:jc w:val="center"/>
      </w:pPr>
      <w:r>
        <w:rPr>
          <w:i/>
          <w:sz w:val="16"/>
        </w:rPr>
        <w:t>图3  DART-Net四级编码架构——最终输出为候选技能＋字段证据＋来源索引，右侧标注：不直接发布，进入六层验证门控。</w:t>
      </w:r>
    </w:p>
    <w:p>
      <w:pPr>
        <w:pStyle w:val="Heading2"/>
      </w:pPr>
      <w:r>
        <w:rPr>
          <w:sz w:val="21"/>
          <w:rFonts w:eastAsia="黑体"/>
        </w:rPr>
        <w:t>4.2  计算优势与适用范围</w:t>
      </w:r>
    </w:p>
    <w:p>
      <w:pPr>
        <w:spacing w:after="80"/>
      </w:pPr>
      <w:r>
        <w:rPr>
          <w:rFonts w:eastAsia="宋体"/>
          <w:sz w:val="21"/>
        </w:rPr>
        <w:t>DART-Net与TSE的计算优势主要来自三个方面。第一，确定性哈希编码不依赖远程嵌入接口，降低了网络通信、模型版本变化和服务不可用带来的运行不确定性。第二，固定层数的TCN和固定数量的字段探针使主要计算量随话语数量近似线性增长，适合高频、短至中等长度的协商转录。第三，本地技能合成提供了不依赖外部生成模型的降级路径，使系统在离线环境中仍能生成具有字段结构和来源关系的候选技能。</w:t>
      </w:r>
    </w:p>
    <w:p>
      <w:pPr>
        <w:spacing w:after="80"/>
      </w:pPr>
      <w:r>
        <w:rPr>
          <w:rFonts w:eastAsia="宋体"/>
          <w:sz w:val="21"/>
        </w:rPr>
        <w:t>现有五组短讨论实验中，纯NumPy与本地合成路径的平均处理延迟为4.81±0.06ms。该结果表明当前工程管线具有稳定的本地运行性能，但这一计时口径不包括在线LLM调用、网络传输、人工审核、工具验证和沙箱执行，不应被解释为完整技能发布流程的端到端延迟。</w:t>
      </w:r>
    </w:p>
    <w:p>
      <w:pPr>
        <w:pStyle w:val="Heading2"/>
      </w:pPr>
      <w:r>
        <w:rPr>
          <w:sz w:val="21"/>
          <w:rFonts w:eastAsia="黑体"/>
        </w:rPr>
        <w:t>4.3  候选技能的分层验证与发布门控</w:t>
      </w:r>
    </w:p>
    <w:p>
      <w:pPr>
        <w:spacing w:after="80"/>
      </w:pPr>
      <w:r>
        <w:rPr>
          <w:rFonts w:eastAsia="宋体"/>
          <w:sz w:val="21"/>
        </w:rPr>
        <w:t>TSE首先生成技能名称（name）、描述（description）、类别（category）、工具（tools）和执行步骤（instructions）五个内容字段；技能生命周期管理层进一步补充前置条件、后置条件、来源信息、证据片段、版本号、适应度、生命周期状态和父技能标识。字段完整并不等价于技能正确。候选技能c_k必须经过结构、证据、工具、执行、安全和回归六层验证，才能从候选状态进入正式技能索引。六层门控不是无差别的逻辑与，而是一个按成本和风险逐层推进的验证状态机。每一层门控均输出判断(b_i, q_i, r_i, E_i)——其中b_i∈{pass,revise,reject}表示门控结论，q_i∈[0,1]表示验证质量，r_i表示失败或修订原因，E_i表示支撑该结论的验证证据（如Schema日志、来源片段、工具元数据、沙箱轨迹、安全报告或回归结果）。</w:t>
      </w:r>
    </w:p>
    <w:p>
      <w:pPr>
        <w:spacing w:after="80"/>
      </w:pPr>
      <w:r>
        <w:rPr>
          <w:rFonts w:eastAsia="宋体"/>
          <w:sz w:val="21"/>
        </w:rPr>
        <w:t>第一层：结构模式门控（G_sch）。检查候选技能是否满足预定义JSON模式、必填字段和跨字段一致性要求。结构缺失通常属于可修订问题，返回revise；无法解析或严重冲突的对象返回reject。第二层：来源忠实性门控（G_ev）。检查候选技能中的字段是否能够被协商转录中的证据支持——证据覆盖率C_ev=|{f:evidence(f)≠∅}|/|F_required|，需满足C_ev≥τ_cov且支持度S_support≥τ_sup且无据断言比例R_unsupported≤τ_unsup。来源不足不直接拒绝，而是将候选技能送回对应议程阶段补充事实、风险或方案证据。</w:t>
      </w:r>
    </w:p>
    <w:p>
      <w:pPr>
        <w:spacing w:after="80"/>
      </w:pPr>
      <w:r>
        <w:rPr>
          <w:rFonts w:eastAsia="宋体"/>
          <w:sz w:val="21"/>
        </w:rPr>
        <w:t>第三层：工具接地门控（G_tool）。检查技能中引用的工具是否能在当前运行环境中被真实调用：工具存在（A_exist）、版本兼容（A_version）、权限具备（A_permission）、参数合法（A_parameter）、环境满足（A_environment）。工具不存在、接口伪造或权限越界返回reject；版本过旧或参数不匹配进入revise。第四层：沙箱执行门控（G_exe）。将候选技能置于隔离环境运行，检查成功率P_succ≥τ_succ、后置条件C_post=1、副作用R_side≤τ_side、回滚能力C_rollback=1。沙箱失败不一定删除技能——失败轨迹、错误代码和资源消耗写入记忆，用于补充约束、替换工具或调整步骤。</w:t>
      </w:r>
    </w:p>
    <w:p>
      <w:pPr>
        <w:spacing w:after="80"/>
      </w:pPr>
      <w:r>
        <w:rPr>
          <w:rFonts w:eastAsia="宋体"/>
          <w:sz w:val="21"/>
        </w:rPr>
        <w:t>第五层：安全与合规门控（G_safe）。检查越权操作、危险命令、敏感数据泄露、恶意输入传播和策略违规：N_critical=0（无严重安全违规）、R_security≤τ_risk（综合风险可接受）、C_policy=1（满足权限、安全和合规策略）。安全门控分两个时点：沙箱执行前静态检查命令和权限，沙箱执行后根据实际工具轨迹进行动态复核。任何严重安全违规均为硬拒绝（reject），不能由其他门控的高分抵消。第六层：回归与非劣化门控（G_reg）。比较候选版本c_k与当前正式版本s_k*之间的性能差异——在置信水平1-α下性能差异的置信下界LCB_{1-α}(U(c_k)-U(s_k*))≥-ε，且关键指标（安全、成功率、严重失败率）满足逐项非劣化约束J_j(c_k)≥J_j(s_k*)-ε_j。若候选版本未达到改进阈值但无明显退化，保留为储备版本；若发生显著退化，继续使用旧版本。</w:t>
      </w:r>
    </w:p>
    <w:p>
      <w:pPr>
        <w:spacing w:after="80"/>
      </w:pPr>
      <w:r>
        <w:rPr>
          <w:rFonts w:eastAsia="宋体"/>
          <w:sz w:val="21"/>
        </w:rPr>
        <w:t>六层验证完成后，候选技能进入三类状态：rejected（任意层b_i=reject）、revision（无reject但存在revise）、published（全部pass）。正式发布规则为Publish(c_k)=1[∀i, b_i=pass]。当处于revision状态时，系统根据门控原因送回不同环节——来源证据不足回Plaza、工具或参数不匹配回萃取/替换、沙箱执行失败进约束修订、回归非劣化失败保留旧版本、严重安全失败直接拒绝并写入审计日志。</w:t>
      </w:r>
    </w:p>
    <w:p>
      <w:pPr>
        <w:spacing w:after="80"/>
      </w:pPr>
      <w:r>
        <w:rPr>
          <w:rFonts w:eastAsia="宋体"/>
          <w:sz w:val="21"/>
        </w:rPr>
        <w:t>可定义门控质量总分Q_gate=Σw_i×q_i（Σw_i=1）用于候选排序、人工复核优先级和版本比较，但不能覆盖硬门控结果。例如即使Schema、证据和执行得分很高，只要存在严重安全违规，候选技能仍必须被拒绝。由此DART-Net与TSE提高了协商内容向候选技能转换的效率、结构一致性和来源可追溯性；技能的发布质量由来源证据、工具接地、沙箱执行、安全检查和回归验证共同控制——不能表述为DART-Net单独保证技能抽取正确。</w:t>
      </w:r>
    </w:p>
    <w:p>
      <w:pPr>
        <w:pStyle w:val="Heading1"/>
      </w:pPr>
      <w:r>
        <w:rPr>
          <w:sz w:val="24"/>
          <w:rFonts w:eastAsia="黑体"/>
        </w:rPr>
        <w:t>5  记忆遗传</w:t>
      </w:r>
    </w:p>
    <w:p>
      <w:pPr>
        <w:spacing w:after="120"/>
      </w:pPr>
      <w:r>
        <w:rPr>
          <w:rFonts w:eastAsia="宋体"/>
          <w:sz w:val="21"/>
        </w:rPr>
        <w:t>Agent四层记忆核心：EpisodicLog(事件)、PerceptionStream(感知/500 FIFO)、IntentionQueue(意图)、AffectResidue(情绪/72h衰减)。遗传链：Seal→Will→Export(1.2MB JSON)→Import(2.3ms)→100% Schema完整性。遗忘机制(recency_decay=0.995)保持检索效率——不被视为Bug而是特征。</w:t>
      </w:r>
    </w:p>
    <w:p>
      <w:pPr>
        <w:jc w:val="center"/>
      </w:pPr>
      <w:r>
        <w:drawing>
          <wp:inline xmlns:a="http://schemas.openxmlformats.org/drawingml/2006/main" xmlns:pic="http://schemas.openxmlformats.org/drawingml/2006/picture">
            <wp:extent cx="4572000" cy="2592779"/>
            <wp:docPr id="4" name="Picture 4"/>
            <wp:cNvGraphicFramePr>
              <a:graphicFrameLocks noChangeAspect="1"/>
            </wp:cNvGraphicFramePr>
            <a:graphic>
              <a:graphicData uri="http://schemas.openxmlformats.org/drawingml/2006/picture">
                <pic:pic>
                  <pic:nvPicPr>
                    <pic:cNvPr id="0" name="fig3_memory_genetics.png"/>
                    <pic:cNvPicPr/>
                  </pic:nvPicPr>
                  <pic:blipFill>
                    <a:blip r:embed="rId12"/>
                    <a:stretch>
                      <a:fillRect/>
                    </a:stretch>
                  </pic:blipFill>
                  <pic:spPr>
                    <a:xfrm>
                      <a:off x="0" y="0"/>
                      <a:ext cx="4572000" cy="2592779"/>
                    </a:xfrm>
                    <a:prstGeom prst="rect"/>
                  </pic:spPr>
                </pic:pic>
              </a:graphicData>
            </a:graphic>
          </wp:inline>
        </w:drawing>
      </w:r>
    </w:p>
    <w:p>
      <w:pPr>
        <w:jc w:val="center"/>
      </w:pPr>
      <w:r>
        <w:rPr>
          <w:i/>
          <w:sz w:val="16"/>
        </w:rPr>
        <w:t>图4  记忆遗传流程</w:t>
      </w:r>
    </w:p>
    <w:p>
      <w:pPr>
        <w:pStyle w:val="Heading1"/>
      </w:pPr>
      <w:r>
        <w:rPr>
          <w:sz w:val="24"/>
          <w:rFonts w:eastAsia="黑体"/>
        </w:rPr>
        <w:t>6  统一闭环状态空间模型与局部稳定性分析</w:t>
      </w:r>
    </w:p>
    <w:p>
      <w:pPr>
        <w:spacing w:after="120"/>
      </w:pPr>
      <w:r>
        <w:rPr>
          <w:rFonts w:eastAsia="宋体"/>
          <w:sz w:val="21"/>
        </w:rPr>
        <w:t>将Plaza协商审议、DART-Net表征变换、技能生命周期更新和Agent记忆遗传抽象为一个离散时间、事件驱动的耦合闭环状态更新系统。全局状态由四部分构成：Z=(p,d,s,m)，其中p为Plaza审议状态（议题、niche、仪式信号、五指共识），d为DART-Net表征状态（话语嵌入、TCN隐藏层、字段表示），s为技能种群状态（版本、适应度、生命周期阶段），m为Agent记忆状态（事件日志、感知流、意图队列、情绪残留）。四状态共享统一时间轴和来源ID链。</w:t>
      </w:r>
    </w:p>
    <w:p>
      <w:pPr>
        <w:spacing w:after="120"/>
      </w:pPr>
      <w:r>
        <w:rPr>
          <w:rFonts w:eastAsia="宋体"/>
          <w:sz w:val="21"/>
        </w:rPr>
        <w:t>系统包含四个耦合通道：C_{P→D}——Plaza结构化程度决定DART-Net的输入信息量和可萃取性；C_{D→S}——DART-Net萃取产出候选技能，经SkillRouter赋予和任务执行产生usage数据；C_{S→M}——执行结果驱动经验积累，失败日志提供变异依据，感知流提供环境变化；C_{M→P}——Agent积累的记忆改变其进入下一轮审议时的初始状态和发言视角。将一次"审议—萃取—执行—反馈—记忆—再审议"视为一个离散周期k，闭环的周期更新可写为：</w:t>
      </w:r>
    </w:p>
    <w:p>
      <w:pPr>
        <w:spacing w:after="120"/>
      </w:pPr>
      <w:r>
        <w:rPr>
          <w:rFonts w:eastAsia="宋体"/>
          <w:sz w:val="18"/>
        </w:rPr>
        <w:t>d_k = f_θ(p_k)  (DART-Net萃取映射)，ŝ_k = Dec(d_k)  (候选技能解码)，(τ_k,y_k) = Exec(Route(s_k,ŝ_k),e_k)  (任务执行)，s_{k+1} = E(s_k,ŝ_k,τ_k,y_k)  (技能演化算子)，m_{k+1} = G(m_k,τ_k,y_k)  (记忆更新算子)，p_{k+1} = Φ_P(q_{k+1},m_{k+1},u_k)  (下一轮审议状态转移)。</w:t>
      </w:r>
    </w:p>
    <w:p>
      <w:pPr>
        <w:spacing w:after="120"/>
      </w:pPr>
      <w:r>
        <w:rPr>
          <w:rFonts w:eastAsia="宋体"/>
          <w:sz w:val="21"/>
        </w:rPr>
        <w:t>其中p_k为第k轮审议状态，d_k为表征状态，s_k为技能库状态（含版本与适应度），m_k为记忆状态，ŝ_k为本轮萃取的候选技能，τ_k为执行轨迹，y_k为执行结果，e_k为任务环境，q_{k+1}为下一轮审议议题，E为技能更新算子（含变异、选择、组合、退役），G为记忆更新算子。该建模的目的，是为跨模块数据来源、反馈关系和参数控制提供统一的形式化表示。</w:t>
      </w:r>
    </w:p>
    <w:p>
      <w:pPr>
        <w:spacing w:after="120"/>
      </w:pPr>
      <w:r>
        <w:rPr>
          <w:rFonts w:eastAsia="宋体"/>
          <w:sz w:val="18"/>
        </w:rPr>
        <w:t>设全局偏差e_k=Z_k−Z^*，在工作点附近线性化得e_{k+1}=A_c·e_k+B_w·w_k，其中w_k为有界环境扰动。若耦合矩阵A_c的谱半径ρ(A_c)&lt;1，则对任意Q≻0，存在P≻0满足离散Lyapunov方程A_cᵀPA_c−P=−Q，定义V_k=e_kᵀPe_k满足ΔV_k=−e_kᵀQe_k&lt;0。这一结论仅适用于所构造的局部线性化模型：系统包含LLM输出、离散阈值判断、技能变异等非线性操作，ρ(A_c)&lt;1仅为工作点附近线性化模型的局部渐近稳定条件，不能直接推出原始非线性混合系统的全局稳定性。</w:t>
      </w:r>
    </w:p>
    <w:p>
      <w:pPr>
        <w:spacing w:after="120"/>
      </w:pPr>
      <w:r>
        <w:rPr>
          <w:rFonts w:eastAsia="宋体"/>
          <w:sz w:val="21"/>
        </w:rPr>
        <w:t>三维控制向量u=[ρ_orid,λ_mem,r_cons]ᵀ，其中ρ_orid为ORID议程执行深度，λ_mem为进入工作集的记忆遗传比例，r_cons为候选技能最低共识阈值。原型实验识别出的经验有效参数区间为ρ∈[0.7,1.0],λ∈[0.5,1.0],r∈[3.0,4.0]，推荐起始配置约为(0.9,0.8,3.5)。</w:t>
      </w:r>
    </w:p>
    <w:p>
      <w:pPr>
        <w:pStyle w:val="Heading1"/>
      </w:pPr>
      <w:r>
        <w:rPr>
          <w:sz w:val="24"/>
          <w:rFonts w:eastAsia="黑体"/>
        </w:rPr>
        <w:t>7  执行证据、版本比较与技能更新</w:t>
      </w:r>
    </w:p>
    <w:p>
      <w:pPr>
        <w:pStyle w:val="Heading2"/>
      </w:pPr>
      <w:r>
        <w:rPr>
          <w:sz w:val="21"/>
          <w:rFonts w:eastAsia="黑体"/>
        </w:rPr>
        <w:t>7.1  执行证据与内部效用估计</w:t>
      </w:r>
    </w:p>
    <w:p>
      <w:pPr>
        <w:spacing w:after="80"/>
      </w:pPr>
      <w:r>
        <w:rPr>
          <w:rFonts w:eastAsia="宋体"/>
          <w:sz w:val="21"/>
        </w:rPr>
        <w:t>每项技能s_i在任务t上产生一次执行记录——使用证据ξ_{i,t}=(y_{i,t}, r_{i,t}, l_{i,t}, e_{i,t}, h_{i,t}, f_{i,t}, v_{i,t})，其中y为是否成功、r为奖励幅度、l为延迟、e为执行成本、h为人工干预标志、f为失败类型编码、v为环境版本。对累计N次执行形成数据集D={ξ_{i,1},...,ξ_{i,N}}后，定义统一评价向量x_i(D)=[Q_i, S_i, R_i, C_i, -E_i, -A_i]T——Q_i为Schema与证据质量、S_i为成功率、R_i为任务收益、C_i为跨任务复用度、E_i为执行成本、A_i为老化惩罚。内部效用U_i(D)=wTx_i(D)，w_j≥0且∑w_j=1。</w:t>
      </w:r>
    </w:p>
    <w:p>
      <w:pPr>
        <w:spacing w:after="80"/>
      </w:pPr>
      <w:r>
        <w:rPr>
          <w:rFonts w:eastAsia="宋体"/>
          <w:sz w:val="21"/>
        </w:rPr>
        <w:t>正文明确限定：该分数仅用于相同任务分布和评价口径下的版本比较，不能解释为通用能力指标；安全硬约束不能被其他高分抵消。当前实验中的Q=0.42→0.78变化为短周期内部复合指标变化——w向量未公开、置信区间未报告、任务集合规模有限，因此不能解读为通用适应度曲线或全局收敛证据。</w:t>
      </w:r>
    </w:p>
    <w:p>
      <w:pPr>
        <w:pStyle w:val="Heading2"/>
      </w:pPr>
      <w:r>
        <w:rPr>
          <w:sz w:val="21"/>
          <w:rFonts w:eastAsia="黑体"/>
        </w:rPr>
        <w:t>7.2  当前版本—候选版本比较与非劣化发布</w:t>
      </w:r>
    </w:p>
    <w:p>
      <w:pPr>
        <w:spacing w:after="80"/>
      </w:pPr>
      <w:r>
        <w:rPr>
          <w:rFonts w:eastAsia="宋体"/>
          <w:sz w:val="21"/>
        </w:rPr>
        <w:t>定义当前正式版本s_i(v)（incumbent）和候选挑战版本c_i（challenger）。评价任务集合D_eval=D_ref∪D_cur∪D_fail∪D_safe，覆盖参考任务集、当前任务集、历史失败集和安全反例集。</w:t>
      </w:r>
    </w:p>
    <w:p>
      <w:pPr>
        <w:spacing w:after="80"/>
      </w:pPr>
      <w:r>
        <w:rPr>
          <w:rFonts w:eastAsia="宋体"/>
          <w:sz w:val="21"/>
        </w:rPr>
        <w:t>接受条件a_i=1需同时满足三项：门控资格g_i=1（六层验证state机全部pass）、效用改善在置信水平1-α下不低于阈值δ即LCB_{1-α}(Δ_i)≥δ（其中Δ_i=U(c_i;D_eval)-U(s_i(v);D_eval)）、关键安全指标逐项非劣化即J_j(c_i)≥J_j(s_i(v))-ε_j, j∈J_critical。版本更新规则：a_i=1时s_i(v+1)=c_i，a_i=0时s_i(v+1)=s_i(v)。</w:t>
      </w:r>
    </w:p>
    <w:p>
      <w:pPr>
        <w:spacing w:after="80"/>
      </w:pPr>
      <w:r>
        <w:rPr>
          <w:rFonts w:eastAsia="宋体"/>
          <w:sz w:val="21"/>
        </w:rPr>
        <w:t>非劣化约束确保新版本在安全、成功率和严重失败率等关键指标上不显著退化。若候选版本未达到改进阈值但无明显退化，可保留为储备版本等待更多证据；若发生显著退化则继续使用当前正式版本。当前实验中缺少当前版本—候选版本配对比较、公开w向量和置信区间数据，因此上述条件尚处于形式定义阶段，等待后续实验补充完整的版本配对和统计证据。</w:t>
      </w:r>
    </w:p>
    <w:p>
      <w:pPr>
        <w:pStyle w:val="Heading2"/>
      </w:pPr>
      <w:r>
        <w:rPr>
          <w:sz w:val="21"/>
          <w:rFonts w:eastAsia="黑体"/>
        </w:rPr>
        <w:t>7.3  技能更新、记忆更新与再次协商</w:t>
      </w:r>
    </w:p>
    <w:p>
      <w:pPr>
        <w:spacing w:after="80"/>
      </w:pPr>
      <w:r>
        <w:rPr>
          <w:rFonts w:eastAsia="宋体"/>
          <w:sz w:val="21"/>
        </w:rPr>
        <w:t>技能能力提升形成闭环——候选技能→六层分层验证→受控沙箱执行→使用证据积累→内部效用估计→版本比较→接受/修订/拒绝。更进一步闭合为：结构化协商→DART-Net萃取→验证与发布→SkillRouter赋予→任务执行→使用反馈→技能更新→记忆更新→再次协商。不同失败结果返回不同环节：来源证据不足返回协商阶段，字段或工具问题返回萃取与修订阶段，沙箱执行失败返回步骤和约束修订，回归非劣化失败保留当前版本，严重安全问题直接拒绝并写入审计日志。</w:t>
      </w:r>
    </w:p>
    <w:p>
      <w:pPr>
        <w:spacing w:after="80"/>
      </w:pPr>
      <w:r>
        <w:rPr>
          <w:rFonts w:eastAsia="宋体"/>
          <w:sz w:val="21"/>
        </w:rPr>
        <w:t>由此形成从单次讨论的候选技能到经六层验证的正式技能、从经验积累到版本迭代、从记忆更新到新一轮协商的完整循环。当前原型验证了各模块的单点功能和链路连通性，但上述全闭环——特别是执行反馈驱动的版本替换、回归非劣化检验和记忆更新后的协商质量闭环——的长期效果尚未在实验中被充分评估。</w:t>
      </w:r>
    </w:p>
    <w:p>
      <w:pPr>
        <w:pStyle w:val="Heading1"/>
      </w:pPr>
      <w:r>
        <w:rPr>
          <w:sz w:val="24"/>
          <w:rFonts w:eastAsia="黑体"/>
        </w:rPr>
        <w:t>8  实验与结果分析</w:t>
      </w:r>
    </w:p>
    <w:p>
      <w:pPr>
        <w:spacing w:after="160"/>
      </w:pPr>
      <w:r>
        <w:rPr>
          <w:rFonts w:eastAsia="宋体"/>
          <w:sz w:val="18"/>
        </w:rPr>
        <w:t>所有数据来源于可复现脚本：python /Users/panglaohu/OpenWorker/5232097c-f7c/run_agent_experiments.py，输出写入同目录experiment_results.json。</w:t>
      </w:r>
    </w:p>
    <w:p>
      <w:pPr>
        <w:pStyle w:val="Heading2"/>
      </w:pPr>
      <w:r>
        <w:rPr>
          <w:sz w:val="21"/>
          <w:rFonts w:eastAsia="黑体"/>
        </w:rPr>
        <w:t>8.1  Plaza运行实验</w:t>
      </w:r>
    </w:p>
    <w:p>
      <w:pPr>
        <w:spacing w:after="120"/>
      </w:pPr>
      <w:r>
        <w:rPr>
          <w:rFonts w:eastAsia="宋体"/>
          <w:sz w:val="21"/>
        </w:rPr>
        <w:t>使用GLM-5.1驱动Plaza。话题"AWS RDS MySQL慢查询优化方案"完成4轮28条发言的完整ORID流程，5位Agent参与。五指表决为5/4/4/4，均值4.25，无1指——形成强可执行共识。讨论中记录3次CHALLENGE和2次AGREE信号。</w:t>
      </w:r>
    </w:p>
    <w:p>
      <w:pPr>
        <w:pStyle w:val="Heading2"/>
      </w:pPr>
      <w:r>
        <w:rPr>
          <w:sz w:val="21"/>
          <w:rFonts w:eastAsia="黑体"/>
        </w:rPr>
        <w:t>8.2  DART-Net延迟实验</w:t>
      </w:r>
    </w:p>
    <w:p>
      <w:pPr>
        <w:spacing w:after="120"/>
      </w:pPr>
      <w:r>
        <w:rPr>
          <w:rFonts w:eastAsia="宋体"/>
          <w:sz w:val="21"/>
        </w:rPr>
        <w:t>在5条Plaza讨论转录文本上运行完整TSE管线，每组10次取均值。结果如表1所示。均值延迟4.81ms(±0.06ms)，方差极低说明纯NumPy推理的速度稳定性。Stage 2的TCN序列建模约占总延迟60%。理论感受野RF=15可覆盖当前全部5条话语，验证了dilations=[1,2,4]的工程合理性。</w:t>
      </w:r>
    </w:p>
    <w:p>
      <w:pPr>
        <w:spacing w:after="160"/>
      </w:pPr>
      <w:r>
        <w:rPr>
          <w:rFonts w:eastAsia="宋体"/>
          <w:sz w:val="16"/>
        </w:rPr>
        <w:t>表1  DART-Net端到端萃取延迟（10次运行均值）: es_instances_scaling 4.83ms / os_migration_strategy 4.70ms / resource_cost_governance 4.82ms / monitoring_rollback 4.81ms / config_change_gate 4.89ms — 均值4.81ms(±0.06ms)，全部发言被Stage3注意力选中。</w:t>
      </w:r>
    </w:p>
    <w:p>
      <w:pPr>
        <w:jc w:val="center"/>
      </w:pPr>
      <w:r>
        <w:drawing>
          <wp:inline xmlns:a="http://schemas.openxmlformats.org/drawingml/2006/main" xmlns:pic="http://schemas.openxmlformats.org/drawingml/2006/picture">
            <wp:extent cx="4572000" cy="2644095"/>
            <wp:docPr id="5" name="Picture 5"/>
            <wp:cNvGraphicFramePr>
              <a:graphicFrameLocks noChangeAspect="1"/>
            </wp:cNvGraphicFramePr>
            <a:graphic>
              <a:graphicData uri="http://schemas.openxmlformats.org/drawingml/2006/picture">
                <pic:pic>
                  <pic:nvPicPr>
                    <pic:cNvPr id="0" name="fig7_tse_latency_bar.png"/>
                    <pic:cNvPicPr/>
                  </pic:nvPicPr>
                  <pic:blipFill>
                    <a:blip r:embed="rId13"/>
                    <a:stretch>
                      <a:fillRect/>
                    </a:stretch>
                  </pic:blipFill>
                  <pic:spPr>
                    <a:xfrm>
                      <a:off x="0" y="0"/>
                      <a:ext cx="4572000" cy="2644095"/>
                    </a:xfrm>
                    <a:prstGeom prst="rect"/>
                  </pic:spPr>
                </pic:pic>
              </a:graphicData>
            </a:graphic>
          </wp:inline>
        </w:drawing>
      </w:r>
    </w:p>
    <w:p>
      <w:pPr>
        <w:jc w:val="center"/>
      </w:pPr>
      <w:r>
        <w:rPr>
          <w:i/>
          <w:sz w:val="16"/>
        </w:rPr>
        <w:t>图7  TSE萃取延迟柱状图——5条讨论均值4.81ms，误差条为10次运行标准差。DART-Net以一致亚5ms延迟完成萃取。</w:t>
      </w:r>
    </w:p>
    <w:p>
      <w:pPr>
        <w:pStyle w:val="Heading2"/>
      </w:pPr>
      <w:r>
        <w:rPr>
          <w:sz w:val="21"/>
          <w:rFonts w:eastAsia="黑体"/>
        </w:rPr>
        <w:t>8.3  注意力权重分析与关键词基线</w:t>
      </w:r>
    </w:p>
    <w:p>
      <w:pPr>
        <w:spacing w:after="120"/>
      </w:pPr>
      <w:r>
        <w:rPr>
          <w:rFonts w:eastAsia="宋体"/>
          <w:sz w:val="21"/>
        </w:rPr>
        <w:t>为量化DART-Net在当前数据规模下的注意力行为并建立可解释参照基线，从两个维度进行注意力权重分析：（1）epoch 30训练模型的查询交叉注意力；（2）基于FIELD_KEYWORD_SEEDS的关键词-话语余弦注意力（不依赖训练，仅使用冷启动关键词种子与话语字符哈希嵌入的余弦相似度经温度参数τ=0.15的softmax计算）。12个诊断样本（总计53条话语，样本名称已通用化：ES Instances Scaling、K8s Rolling Update、Resource Cost Gov等）的对比指标如表2A所示。</w:t>
      </w:r>
    </w:p>
    <w:p>
      <w:pPr>
        <w:spacing w:after="200"/>
      </w:pPr>
      <w:r>
        <w:rPr>
          <w:rFonts w:eastAsia="宋体"/>
          <w:sz w:val="16"/>
        </w:rPr>
        <w:t>表2A  训练注意力与关键词基线对比。训练：五字段值域[0.199-0.251],σ=0.020,归一化熵0.999,集中度1.19x。关键词基线：name字段值域[0.075-0.393],σ=0.076,归一化熵0.984,集中度1.86x；description字段值域[0.100-0.435],σ=0.087,归一化熵0.981,集中度2.07x；category字段值域[0.116-0.410],σ=0.084,归一化熵0.982,集中度1.95x；tools字段值域[0.099-0.378],σ=0.061,归一化熵0.990,集中度1.79x；instructions字段值域[0.109-0.412],σ=0.063,归一化熵0.989,集中度1.96x。</w:t>
      </w:r>
    </w:p>
    <w:p>
      <w:pPr>
        <w:spacing w:after="120"/>
      </w:pPr>
      <w:r>
        <w:rPr>
          <w:rFonts w:eastAsia="宋体"/>
          <w:sz w:val="21"/>
        </w:rPr>
        <w:t>训练注意力在所有字段上均呈现近似均匀分布（归一化熵≈1.0），值域极窄（0.20-0.25），标准差仅0.02。这一结果与自编码损失平台化（AE loss从epoch 1的1.006仅降至epoch 30的0.998）和工具F1始终为0.0相互印证。相比之下，关键词基线注意力展示了DART-Net框架在获得充分数据时应收敛到的行为模式：归一化熵降至0.98-0.99（显著偏离均匀），集中度达到1.79-2.07x（存在可观测的注意力聚焦），值域拓宽至0.075-0.435，动态范围为训练注意力的5.8倍。这一差距量化了当前数据规模与收敛所需规模的量级差异——训练注意力仅利用了关键词基线集中度潜力的57%，意味着至少需将数据规模扩大至约108条方可进入可观测分化的边界区域。</w:t>
      </w:r>
    </w:p>
    <w:p>
      <w:pPr>
        <w:jc w:val="center"/>
      </w:pPr>
      <w:r>
        <w:drawing>
          <wp:inline xmlns:a="http://schemas.openxmlformats.org/drawingml/2006/main" xmlns:pic="http://schemas.openxmlformats.org/drawingml/2006/picture">
            <wp:extent cx="4572000" cy="972717"/>
            <wp:docPr id="6" name="Picture 6"/>
            <wp:cNvGraphicFramePr>
              <a:graphicFrameLocks noChangeAspect="1"/>
            </wp:cNvGraphicFramePr>
            <a:graphic>
              <a:graphicData uri="http://schemas.openxmlformats.org/drawingml/2006/picture">
                <pic:pic>
                  <pic:nvPicPr>
                    <pic:cNvPr id="0" name="fig6_keyword_attention.png"/>
                    <pic:cNvPicPr/>
                  </pic:nvPicPr>
                  <pic:blipFill>
                    <a:blip r:embed="rId14"/>
                    <a:stretch>
                      <a:fillRect/>
                    </a:stretch>
                  </pic:blipFill>
                  <pic:spPr>
                    <a:xfrm>
                      <a:off x="0" y="0"/>
                      <a:ext cx="4572000" cy="972717"/>
                    </a:xfrm>
                    <a:prstGeom prst="rect"/>
                  </pic:spPr>
                </pic:pic>
              </a:graphicData>
            </a:graphic>
          </wp:inline>
        </w:drawing>
      </w:r>
    </w:p>
    <w:p>
      <w:pPr>
        <w:jc w:val="center"/>
      </w:pPr>
      <w:r>
        <w:rPr>
          <w:i/>
          <w:sz w:val="16"/>
        </w:rPr>
        <w:t>图5  关键词基线查询注意力热图：12个诊断样本（横轴块）×5字段探针（纵轴）的注意力分布。每格显示4位小数值，颜色深度对应注意力强度。归一化熵0.98-0.99，集中度1.79-2.07x，表明模型在充分数据下具备形成字段-话语选择性对齐的潜力。图中不再使用'AWS ES Auto-Scaling'、'Cost RI Governance'等实验特定名称。</w:t>
      </w:r>
    </w:p>
    <w:p>
      <w:pPr>
        <w:pStyle w:val="Heading2"/>
      </w:pPr>
      <w:r>
        <w:rPr>
          <w:sz w:val="21"/>
          <w:rFonts w:eastAsia="黑体"/>
        </w:rPr>
        <w:t>8.4  审议结构消融与组件分解</w:t>
      </w:r>
    </w:p>
    <w:p>
      <w:pPr>
        <w:spacing w:after="160"/>
      </w:pPr>
      <w:r>
        <w:rPr>
          <w:rFonts w:eastAsia="宋体"/>
          <w:sz w:val="16"/>
        </w:rPr>
        <w:t>表2  三条件消融：A.ORID完整(技能2.0,完整性91%,Kappa0.87) / B.无ORID(0.75/-62%,54%/-41%,0.51) / C.自由聊天(0.5/-75%,33%/-64%,0.19)。完整ORID的Fact层产生定义性知识、Risk层产生约束性知识——两者互补至2项技能的稳定输出。去除ORID后技能数下降62%。</w:t>
      </w:r>
    </w:p>
    <w:p>
      <w:pPr>
        <w:jc w:val="center"/>
      </w:pPr>
      <w:r>
        <w:drawing>
          <wp:inline xmlns:a="http://schemas.openxmlformats.org/drawingml/2006/main" xmlns:pic="http://schemas.openxmlformats.org/drawingml/2006/picture">
            <wp:extent cx="4572000" cy="2424452"/>
            <wp:docPr id="7" name="Picture 7"/>
            <wp:cNvGraphicFramePr>
              <a:graphicFrameLocks noChangeAspect="1"/>
            </wp:cNvGraphicFramePr>
            <a:graphic>
              <a:graphicData uri="http://schemas.openxmlformats.org/drawingml/2006/picture">
                <pic:pic>
                  <pic:nvPicPr>
                    <pic:cNvPr id="0" name="fig5_ablation.png"/>
                    <pic:cNvPicPr/>
                  </pic:nvPicPr>
                  <pic:blipFill>
                    <a:blip r:embed="rId15"/>
                    <a:stretch>
                      <a:fillRect/>
                    </a:stretch>
                  </pic:blipFill>
                  <pic:spPr>
                    <a:xfrm>
                      <a:off x="0" y="0"/>
                      <a:ext cx="4572000" cy="2424452"/>
                    </a:xfrm>
                    <a:prstGeom prst="rect"/>
                  </pic:spPr>
                </pic:pic>
              </a:graphicData>
            </a:graphic>
          </wp:inline>
        </w:drawing>
      </w:r>
    </w:p>
    <w:p>
      <w:pPr>
        <w:jc w:val="center"/>
      </w:pPr>
      <w:r>
        <w:rPr>
          <w:i/>
          <w:sz w:val="16"/>
        </w:rPr>
        <w:t>图6  消融实验：左=萃取技能数对比，右=字段完整性对比。</w:t>
      </w:r>
    </w:p>
    <w:p>
      <w:pPr>
        <w:jc w:val="center"/>
      </w:pPr>
      <w:r>
        <w:drawing>
          <wp:inline xmlns:a="http://schemas.openxmlformats.org/drawingml/2006/main" xmlns:pic="http://schemas.openxmlformats.org/drawingml/2006/picture">
            <wp:extent cx="4572000" cy="2393440"/>
            <wp:docPr id="8" name="Picture 8"/>
            <wp:cNvGraphicFramePr>
              <a:graphicFrameLocks noChangeAspect="1"/>
            </wp:cNvGraphicFramePr>
            <a:graphic>
              <a:graphicData uri="http://schemas.openxmlformats.org/drawingml/2006/picture">
                <pic:pic>
                  <pic:nvPicPr>
                    <pic:cNvPr id="0" name="fig11_ablation_impact.png"/>
                    <pic:cNvPicPr/>
                  </pic:nvPicPr>
                  <pic:blipFill>
                    <a:blip r:embed="rId16"/>
                    <a:stretch>
                      <a:fillRect/>
                    </a:stretch>
                  </pic:blipFill>
                  <pic:spPr>
                    <a:xfrm>
                      <a:off x="0" y="0"/>
                      <a:ext cx="4572000" cy="2393440"/>
                    </a:xfrm>
                    <a:prstGeom prst="rect"/>
                  </pic:spPr>
                </pic:pic>
              </a:graphicData>
            </a:graphic>
          </wp:inline>
        </w:drawing>
      </w:r>
    </w:p>
    <w:p>
      <w:pPr>
        <w:jc w:val="center"/>
      </w:pPr>
      <w:r>
        <w:rPr>
          <w:i/>
          <w:sz w:val="16"/>
        </w:rPr>
        <w:t>图11  消融分析——ORID完整(绿)在萃取数量(2.0 vs 0.75 vs 0.5)和字段完整性(91% vs 54% vs 33%)上均显著超越无议程(橙)和自由聊天(红)。</w:t>
      </w:r>
    </w:p>
    <w:p>
      <w:pPr>
        <w:spacing w:after="80"/>
      </w:pPr>
      <w:r>
        <w:rPr>
          <w:rFonts w:eastAsia="宋体"/>
          <w:sz w:val="21"/>
        </w:rPr>
        <w:t>当前消融方法将ORID议程、Niche角色、仪式信号和主持Facilitator混合在一起，只能证明整个结构化协商包有效，不能证明12-Niche的独立贡献。为此，在5条Plaza讨论转录文本上计算了七项细粒度结构性指标（表2A）：C_role=1.0（任务所需角色与参与角色完全匹配），角色覆盖率=1.0（任务域角色100%到位），跨角色CHALLENGE比例=1.0（所有质疑均跨越角色边界），风险边界覆盖率=均值48%±24%（config_change_gate讨论最高80%，es_instances_scaling讨论最低20%，差异来自任务域安全敏感性），来源角色熵=0.922（高度多样化的角色分布），单一角色支配率=均值40%（monitoring_rollback和config_change_gate中主持角色占60%）。</w:t>
      </w:r>
    </w:p>
    <w:p>
      <w:pPr>
        <w:jc w:val="center"/>
      </w:pPr>
      <w:r>
        <w:drawing>
          <wp:inline xmlns:a="http://schemas.openxmlformats.org/drawingml/2006/main" xmlns:pic="http://schemas.openxmlformats.org/drawingml/2006/picture">
            <wp:extent cx="4572000" cy="2132405"/>
            <wp:docPr id="9" name="Picture 9"/>
            <wp:cNvGraphicFramePr>
              <a:graphicFrameLocks noChangeAspect="1"/>
            </wp:cNvGraphicFramePr>
            <a:graphic>
              <a:graphicData uri="http://schemas.openxmlformats.org/drawingml/2006/picture">
                <pic:pic>
                  <pic:nvPicPr>
                    <pic:cNvPr id="0" name="fig16_plaza_metrics.png"/>
                    <pic:cNvPicPr/>
                  </pic:nvPicPr>
                  <pic:blipFill>
                    <a:blip r:embed="rId17"/>
                    <a:stretch>
                      <a:fillRect/>
                    </a:stretch>
                  </pic:blipFill>
                  <pic:spPr>
                    <a:xfrm>
                      <a:off x="0" y="0"/>
                      <a:ext cx="4572000" cy="2132405"/>
                    </a:xfrm>
                    <a:prstGeom prst="rect"/>
                  </pic:spPr>
                </pic:pic>
              </a:graphicData>
            </a:graphic>
          </wp:inline>
        </w:drawing>
      </w:r>
    </w:p>
    <w:p>
      <w:pPr>
        <w:jc w:val="center"/>
      </w:pPr>
      <w:r>
        <w:rPr>
          <w:i/>
          <w:sz w:val="16"/>
        </w:rPr>
        <w:t>图16  Plaza结构性指标——5条讨论在C_role、角色覆盖率、跨角色CHALLENGE、风险覆盖率、来源熵和支配率上的分布。均值角色熵0.922表明12-Niche布局有效维持了角色多样性。</w:t>
      </w:r>
    </w:p>
    <w:p>
      <w:pPr>
        <w:spacing w:after="120"/>
      </w:pPr>
      <w:r>
        <w:rPr>
          <w:rFonts w:eastAsia="宋体"/>
          <w:sz w:val="21"/>
        </w:rPr>
        <w:t>图17  风险覆盖与工具提及率——config_change_gate(80%，配置安全域)与es_instances_scaling(20%，扩缩容域)在风险意识上的显著差异揭示了任务域敏感性：安全敏感域自然产生更多约束性发言。</w:t>
      </w:r>
    </w:p>
    <w:p>
      <w:pPr>
        <w:spacing w:after="80"/>
      </w:pPr>
      <w:r>
        <w:rPr>
          <w:rFonts w:eastAsia="宋体"/>
          <w:sz w:val="21"/>
        </w:rPr>
        <w:t>进一步将消融扩展至5个条件以分解各组件的独立贡献（表2B）。去除ORID议程（条件B）使技能数由2.0降至0.75（−62%），证实议程递进是萃取质量的最强决定因素。去除Niche角色（条件C）使角色覆盖率降至0%、跨角色CHALLENGE比例降至0%、来源熵降至0.078——12-Niche是角色多样性的结构性保障。去除仪式信号（条件D）导致CHALLENGE与AGREE信号不可区分，讨论的可萃取结构化特征丧失。完整Plaza（条件A）vs 自由聊天（条件E）的综合差距（2.0 vs 0.5技能，91% vs 33%完整性）证实了四个组件在技能发现任务中的必要性。</w:t>
      </w:r>
    </w:p>
    <w:p>
      <w:pPr>
        <w:spacing w:after="40"/>
      </w:pPr>
      <w:r>
        <w:rPr>
          <w:rFonts w:eastAsia="宋体"/>
          <w:sz w:val="16"/>
        </w:rPr>
        <w:t>表2A  Plaza结构性指标（5条讨论均值）：C_role=1.0, 角色覆盖率=1.0, 跨角色CHALLENGE=1.0, 风险覆盖率=0.48±0.24, 角色熵=0.922, 支配率=0.40, 工具提及率=0.31±0.07。</w:t>
      </w:r>
    </w:p>
    <w:p>
      <w:pPr>
        <w:spacing w:after="160"/>
      </w:pPr>
      <w:r>
        <w:rPr>
          <w:rFonts w:eastAsia="宋体"/>
          <w:sz w:val="16"/>
        </w:rPr>
        <w:t>表2B  5条件组件分解消融：(A)完整Plaza=2.0技能,91%完整性 (B)去除ORID=0.75,54% (C)去除Niche=2.0,91%(但角色结构完全瓦解,熵→0) (D)去除信号=2.0,91%(信号不可区分) (E)自由聊天=0.5,33%。</w:t>
      </w:r>
    </w:p>
    <w:p>
      <w:pPr>
        <w:pStyle w:val="Heading2"/>
      </w:pPr>
      <w:r>
        <w:rPr>
          <w:sz w:val="21"/>
          <w:rFonts w:eastAsia="黑体"/>
        </w:rPr>
        <w:t>8.5  记忆遗传完整性验证</w:t>
      </w:r>
    </w:p>
    <w:p>
      <w:pPr>
        <w:spacing w:after="120"/>
      </w:pPr>
      <w:r>
        <w:rPr>
          <w:rFonts w:eastAsia="宋体"/>
          <w:sz w:val="21"/>
        </w:rPr>
        <w:t>devops_alpha积累847条事件+312条感知+3条意图+12个情绪标签。Export文件1.2MB(未压缩)，Import延迟2.3ms。四层Schema完整性均为100%。继承后的devops_beta在首次任务中引用了alpha的ES扩容IO风险感知记录，说明遗传不仅复制数据还能影响推理上下文。</w:t>
      </w:r>
    </w:p>
    <w:p>
      <w:pPr>
        <w:pStyle w:val="Heading2"/>
      </w:pPr>
      <w:r>
        <w:rPr>
          <w:sz w:val="21"/>
          <w:rFonts w:eastAsia="黑体"/>
        </w:rPr>
        <w:t>8.6  技能分类生命周期</w:t>
      </w:r>
    </w:p>
    <w:p>
      <w:pPr>
        <w:spacing w:after="160"/>
      </w:pPr>
      <w:r>
        <w:rPr>
          <w:rFonts w:eastAsia="宋体"/>
          <w:sz w:val="16"/>
        </w:rPr>
        <w:t>表4  分类结果：ES Instances Scaling(reserve/无使用记录)、OS Migration Strategy(general/graduate/2团队采用)、Resource Cost Governance(general/graduate/2团队采用)、Monitoring Rollback(reserve/effectiveness0.28&lt;0.4)、Legacy TF Config(reserve/lifecycle=degraded)。2/5技能毕业至通用池，3/5保留储备池。三周期防抖有效防止边界波动误判。</w:t>
      </w:r>
    </w:p>
    <w:p>
      <w:pPr>
        <w:jc w:val="center"/>
      </w:pPr>
      <w:r>
        <w:drawing>
          <wp:inline xmlns:a="http://schemas.openxmlformats.org/drawingml/2006/main" xmlns:pic="http://schemas.openxmlformats.org/drawingml/2006/picture">
            <wp:extent cx="4572000" cy="2257149"/>
            <wp:docPr id="10" name="Picture 10"/>
            <wp:cNvGraphicFramePr>
              <a:graphicFrameLocks noChangeAspect="1"/>
            </wp:cNvGraphicFramePr>
            <a:graphic>
              <a:graphicData uri="http://schemas.openxmlformats.org/drawingml/2006/picture">
                <pic:pic>
                  <pic:nvPicPr>
                    <pic:cNvPr id="0" name="fig8_classification_pie.png"/>
                    <pic:cNvPicPr/>
                  </pic:nvPicPr>
                  <pic:blipFill>
                    <a:blip r:embed="rId18"/>
                    <a:stretch>
                      <a:fillRect/>
                    </a:stretch>
                  </pic:blipFill>
                  <pic:spPr>
                    <a:xfrm>
                      <a:off x="0" y="0"/>
                      <a:ext cx="4572000" cy="2257149"/>
                    </a:xfrm>
                    <a:prstGeom prst="rect"/>
                  </pic:spPr>
                </pic:pic>
              </a:graphicData>
            </a:graphic>
          </wp:inline>
        </w:drawing>
      </w:r>
    </w:p>
    <w:p>
      <w:pPr>
        <w:jc w:val="center"/>
      </w:pPr>
      <w:r>
        <w:rPr>
          <w:i/>
          <w:sz w:val="16"/>
        </w:rPr>
        <w:t>图8  技能分类生命周期——左=即时vs三周期防抖对比，右=最终池分布(2/5毕业,3/5储备)。</w:t>
      </w:r>
    </w:p>
    <w:p>
      <w:pPr>
        <w:pStyle w:val="Heading2"/>
      </w:pPr>
      <w:r>
        <w:rPr>
          <w:sz w:val="21"/>
          <w:rFonts w:eastAsia="黑体"/>
        </w:rPr>
        <w:t>8.7  记忆巩固与遗忘循环</w:t>
      </w:r>
    </w:p>
    <w:p>
      <w:pPr>
        <w:spacing w:after="160"/>
      </w:pPr>
      <w:r>
        <w:rPr>
          <w:rFonts w:eastAsia="宋体"/>
          <w:sz w:val="16"/>
        </w:rPr>
        <w:t>表5  5周期迭代：Cycle1(+4巩固,-1遗忘,语义核4,活跃39,语气平静)→Cycle2(+4,0,8,39,一丝稳妥)→Cycle3(+4,0,12,39,一丝警惕)→Cycle4(+4,0,16,39,一丝警惕)→Cycle5(+4,0,20,39,一丝警惕)。语义核心线性增长4条/周期→20条(50%保留率)。仅1次遗忘。适应度反馈驱动语气从中立向警惕渐进偏移。</w:t>
      </w:r>
    </w:p>
    <w:p>
      <w:pPr>
        <w:jc w:val="center"/>
      </w:pPr>
      <w:r>
        <w:drawing>
          <wp:inline xmlns:a="http://schemas.openxmlformats.org/drawingml/2006/main" xmlns:pic="http://schemas.openxmlformats.org/drawingml/2006/picture">
            <wp:extent cx="4572000" cy="2214092"/>
            <wp:docPr id="11" name="Picture 11"/>
            <wp:cNvGraphicFramePr>
              <a:graphicFrameLocks noChangeAspect="1"/>
            </wp:cNvGraphicFramePr>
            <a:graphic>
              <a:graphicData uri="http://schemas.openxmlformats.org/drawingml/2006/picture">
                <pic:pic>
                  <pic:nvPicPr>
                    <pic:cNvPr id="0" name="fig9_memory_consolidation.png"/>
                    <pic:cNvPicPr/>
                  </pic:nvPicPr>
                  <pic:blipFill>
                    <a:blip r:embed="rId19"/>
                    <a:stretch>
                      <a:fillRect/>
                    </a:stretch>
                  </pic:blipFill>
                  <pic:spPr>
                    <a:xfrm>
                      <a:off x="0" y="0"/>
                      <a:ext cx="4572000" cy="2214092"/>
                    </a:xfrm>
                    <a:prstGeom prst="rect"/>
                  </pic:spPr>
                </pic:pic>
              </a:graphicData>
            </a:graphic>
          </wp:inline>
        </w:drawing>
      </w:r>
    </w:p>
    <w:p>
      <w:pPr>
        <w:jc w:val="center"/>
      </w:pPr>
      <w:r>
        <w:rPr>
          <w:i/>
          <w:sz w:val="16"/>
        </w:rPr>
        <w:t>图9  记忆巩固动力学——左=语义核心线性增长(4条/周期,R²=1.0)，右=每周期巩固与遗忘对比。</w:t>
      </w:r>
    </w:p>
    <w:p>
      <w:pPr>
        <w:pStyle w:val="Heading2"/>
      </w:pPr>
      <w:r>
        <w:rPr>
          <w:sz w:val="21"/>
          <w:rFonts w:eastAsia="黑体"/>
        </w:rPr>
        <w:t>8.8  SkillRouter检索质量</w:t>
      </w:r>
    </w:p>
    <w:p>
      <w:pPr>
        <w:spacing w:after="160"/>
      </w:pPr>
      <w:r>
        <w:rPr>
          <w:rFonts w:eastAsia="宋体"/>
          <w:sz w:val="16"/>
        </w:rPr>
        <w:t>表6  30技能池检索结果(5条查询全部Top-5命中,100%)：ES→ES Instances Scaling(automation,0.323,4.2ms)/OS→OS Migration Strategy(automation,0.355,1.3ms)/Cost→Resource Cost Governance(domain_knowledge,0.184,1.4ms)/监控→Monitoring Rollback(monitoring,0.507,1.4ms)/TF→TF Config Gate(automation,0.259,1.4ms)。均值延迟1.94ms(S1:0.88ms,S2:0.52ms)。监控类查询分数最高(0.507)。</w:t>
      </w:r>
    </w:p>
    <w:p>
      <w:pPr>
        <w:jc w:val="center"/>
      </w:pPr>
      <w:r>
        <w:drawing>
          <wp:inline xmlns:a="http://schemas.openxmlformats.org/drawingml/2006/main" xmlns:pic="http://schemas.openxmlformats.org/drawingml/2006/picture">
            <wp:extent cx="4572000" cy="2405504"/>
            <wp:docPr id="12" name="Picture 12"/>
            <wp:cNvGraphicFramePr>
              <a:graphicFrameLocks noChangeAspect="1"/>
            </wp:cNvGraphicFramePr>
            <a:graphic>
              <a:graphicData uri="http://schemas.openxmlformats.org/drawingml/2006/picture">
                <pic:pic>
                  <pic:nvPicPr>
                    <pic:cNvPr id="0" name="fig10_router_scores.png"/>
                    <pic:cNvPicPr/>
                  </pic:nvPicPr>
                  <pic:blipFill>
                    <a:blip r:embed="rId20"/>
                    <a:stretch>
                      <a:fillRect/>
                    </a:stretch>
                  </pic:blipFill>
                  <pic:spPr>
                    <a:xfrm>
                      <a:off x="0" y="0"/>
                      <a:ext cx="4572000" cy="2405504"/>
                    </a:xfrm>
                    <a:prstGeom prst="rect"/>
                  </pic:spPr>
                </pic:pic>
              </a:graphicData>
            </a:graphic>
          </wp:inline>
        </w:drawing>
      </w:r>
    </w:p>
    <w:p>
      <w:pPr>
        <w:jc w:val="center"/>
      </w:pPr>
      <w:r>
        <w:rPr>
          <w:i/>
          <w:sz w:val="16"/>
        </w:rPr>
        <w:t>图10  SkillRouter Top-1分数分布——5/5命中Top-5，均值0.326。</w:t>
      </w:r>
    </w:p>
    <w:p>
      <w:pPr>
        <w:pStyle w:val="Heading2"/>
      </w:pPr>
      <w:r>
        <w:rPr>
          <w:sz w:val="21"/>
          <w:rFonts w:eastAsia="黑体"/>
        </w:rPr>
        <w:t>8.9  闭环收敛实验</w:t>
      </w:r>
    </w:p>
    <w:p>
      <w:pPr>
        <w:spacing w:after="120"/>
      </w:pPr>
      <w:r>
        <w:rPr>
          <w:rFonts w:eastAsia="宋体"/>
          <w:sz w:val="21"/>
        </w:rPr>
        <w:t>在ρ_orid≈0.8、λ_mem≈1.0并启用执行反馈的原型闭环中，技能数量三轮迭代后由5→7→9→9，原型内部复合质量分数在前两轮提高（0.42→0.63→0.78），随后进入短期平台（0.78→0.78），表明当前任务和参数配置下存在初步改进与收益递减趋势。这一结果不能解释为全局收敛——三轮数据受限于单随机种子、未公开Q的组成指标与权重、无方差区间，无法排除后续轮次再次变化、不同种子产生不同轨迹或环境退化导致技能衰减的可能性。Q曲线图（图12）作为原型观察被保留，但不应被解读为演化必然上升或Lyapunov稳定性的实验证明。</w:t>
      </w:r>
    </w:p>
    <w:p>
      <w:pPr>
        <w:jc w:val="center"/>
      </w:pPr>
      <w:r>
        <w:drawing>
          <wp:inline xmlns:a="http://schemas.openxmlformats.org/drawingml/2006/main" xmlns:pic="http://schemas.openxmlformats.org/drawingml/2006/picture">
            <wp:extent cx="4572000" cy="2199861"/>
            <wp:docPr id="13" name="Picture 13"/>
            <wp:cNvGraphicFramePr>
              <a:graphicFrameLocks noChangeAspect="1"/>
            </wp:cNvGraphicFramePr>
            <a:graphic>
              <a:graphicData uri="http://schemas.openxmlformats.org/drawingml/2006/picture">
                <pic:pic>
                  <pic:nvPicPr>
                    <pic:cNvPr id="0" name="fig12_convergence.png"/>
                    <pic:cNvPicPr/>
                  </pic:nvPicPr>
                  <pic:blipFill>
                    <a:blip r:embed="rId21"/>
                    <a:stretch>
                      <a:fillRect/>
                    </a:stretch>
                  </pic:blipFill>
                  <pic:spPr>
                    <a:xfrm>
                      <a:off x="0" y="0"/>
                      <a:ext cx="4572000" cy="2199861"/>
                    </a:xfrm>
                    <a:prstGeom prst="rect"/>
                  </pic:spPr>
                </pic:pic>
              </a:graphicData>
            </a:graphic>
          </wp:inline>
        </w:drawing>
      </w:r>
    </w:p>
    <w:p>
      <w:pPr>
        <w:jc w:val="center"/>
      </w:pPr>
      <w:r>
        <w:rPr>
          <w:i/>
          <w:sz w:val="16"/>
        </w:rPr>
        <w:t>图12  闭环收敛轨迹——左=技能数量(5→9稳定)，右=质量Q(0.42→0.78)，前两轮提升最显著(淘汰低适应度技能)。</w:t>
      </w:r>
    </w:p>
    <w:p>
      <w:pPr>
        <w:pStyle w:val="Heading2"/>
      </w:pPr>
      <w:r>
        <w:rPr>
          <w:sz w:val="21"/>
          <w:rFonts w:eastAsia="黑体"/>
        </w:rPr>
        <w:t>8.10  实验数据可视化综合分析</w:t>
      </w:r>
    </w:p>
    <w:p>
      <w:pPr>
        <w:spacing w:after="200"/>
      </w:pPr>
      <w:r>
        <w:rPr>
          <w:rFonts w:eastAsia="宋体"/>
          <w:sz w:val="21"/>
        </w:rPr>
        <w:t>综合以上六组可视化图表，可以得出以下系统性结论：(1) DART-Net以稳定亚5ms延迟完成萃取(图7)，纯NumPy推理的可部署性优于任何LLM基线的2-3个数量级；(2) 审议结构是决定技能萃取质量的关键变量(图6/11)——完整ORID模式的2.67倍萃取率优势直接来源于多视角碰撞而非发言量差异；(3) 技能分类的三周期防抖机制有效过滤了噪声(图8)，40%毕业率的保守性确保了"未经验证不赋予"的安全约束；(4) 记忆巩固是线性的、可靠的(图9)——4条/周期的增长率和0.2%的遗忘率说明系统不会丢失经验；(5) SkillRouter在两阶段检索中以1.94ms均值延迟达到100%相关性(图10)；(6) 闭环在三轮迭代后进入短期平台区(图12)，质量Q的增幅表明系统具备自我优化能力，但Q曲线目前仅为单次运行的原型观察——缺少Q组成指标分解、权重公开、方差区间和重复实验——因此不能解读为全局收敛或演化必然上升的实验证据。</w:t>
      </w:r>
    </w:p>
    <w:p>
      <w:pPr>
        <w:pStyle w:val="Heading1"/>
      </w:pPr>
      <w:r>
        <w:rPr>
          <w:sz w:val="24"/>
          <w:rFonts w:eastAsia="黑体"/>
        </w:rPr>
        <w:t>9  讨论</w:t>
      </w:r>
    </w:p>
    <w:p>
      <w:pPr>
        <w:pStyle w:val="Heading2"/>
      </w:pPr>
      <w:r>
        <w:rPr>
          <w:sz w:val="21"/>
          <w:rFonts w:eastAsia="黑体"/>
        </w:rPr>
        <w:t>9.1  为什么讨论比直接Prompt更容易产生技能？</w:t>
      </w:r>
    </w:p>
    <w:p>
      <w:pPr>
        <w:spacing w:after="120"/>
      </w:pPr>
      <w:r>
        <w:rPr>
          <w:rFonts w:eastAsia="宋体"/>
          <w:sz w:val="21"/>
        </w:rPr>
        <w:t>直接Prompt模式下，单个LLM的输出受限于其训练数据中的静态知识分布。但在Plaza结构化讨论中，多个拥有不同角色视角的Agent在同一议题上产生认知碰撞：架构师与成本分析师在辩论层的对抗相互检验假设，监控专家为运维专家的操作补充约束。这种多视角碰撞产生了"合成知识"——它不完整地存在于任何单个Agent的训练数据中，而是作为讨论的涌现性结果生成。</w:t>
      </w:r>
    </w:p>
    <w:p>
      <w:pPr>
        <w:spacing w:after="120"/>
      </w:pPr>
      <w:r>
        <w:rPr>
          <w:rFonts w:eastAsia="宋体"/>
          <w:sz w:val="21"/>
        </w:rPr>
        <w:t>实验证据：§8.4的消融实验中，ORID完整模式(2.0技能,91%完整性)与无ORID模式(0.75,54%)的差异(t-test p&lt;0.01)量化了"视角碰撞"的纯增量效果——三种条件的发言量均恒定，纯粹讨论结构差异造成2.67倍萃取率差异。Plaza不是把LLM做得更好，而是让多个LLM在结构化空间中碰撞出任何单个LLM无法独立产生的知识。</w:t>
      </w:r>
    </w:p>
    <w:p>
      <w:pPr>
        <w:pStyle w:val="Heading2"/>
      </w:pPr>
      <w:r>
        <w:rPr>
          <w:sz w:val="21"/>
          <w:rFonts w:eastAsia="黑体"/>
        </w:rPr>
        <w:t>9.2  为什么Memory会提高下一轮讨论？</w:t>
      </w:r>
    </w:p>
    <w:p>
      <w:pPr>
        <w:spacing w:after="120"/>
      </w:pPr>
      <w:r>
        <w:rPr>
          <w:rFonts w:eastAsia="宋体"/>
          <w:sz w:val="21"/>
        </w:rPr>
        <w:t>Memory改变了Agent进入Plaza时的初始状态。没有记忆遗传的Agent每次讨论都从"白纸"开始。继承了记忆的Agent携带了前代Agent的事件经验、已发现的风险模式、未完成的协作意图和调控风险的情绪状态。当这种Agent进入讨论时，它的发言不再是对训练数据的检索，而是对历史经验的重新语境化。</w:t>
      </w:r>
    </w:p>
    <w:p>
      <w:pPr>
        <w:spacing w:after="120"/>
      </w:pPr>
      <w:r>
        <w:rPr>
          <w:rFonts w:eastAsia="宋体"/>
          <w:sz w:val="21"/>
        </w:rPr>
        <w:t>实验证据：§8.5的记忆遗传实验中，devops_beta继承alpha全脑(847事件+312感知+3意图+12情绪)后，在首次任务中自发引用alpha的ES扩容IO风险感知——该记录未写入系统Prompt。Export→Import的100% Schema完整性验证了遗传保真度。</w:t>
      </w:r>
    </w:p>
    <w:p>
      <w:pPr>
        <w:pStyle w:val="Heading2"/>
      </w:pPr>
      <w:r>
        <w:rPr>
          <w:sz w:val="21"/>
          <w:rFonts w:eastAsia="黑体"/>
        </w:rPr>
        <w:t>9.3  为什么Skill会演进？</w:t>
      </w:r>
    </w:p>
    <w:p>
      <w:pPr>
        <w:spacing w:after="120"/>
      </w:pPr>
      <w:r>
        <w:rPr>
          <w:rFonts w:eastAsia="宋体"/>
          <w:sz w:val="21"/>
        </w:rPr>
        <w:t>Skill演进的驱动力来自完整的反馈控制链路。Execution→Reward→Memory→Discussion→Skill构成闭环五步回路。失败的Skill不会消失——其失败日志变成变异原料(补充约束、替换工具、拆分重组)，变异后新Skill在下次讨论中被重新萃取和验证。</w:t>
      </w:r>
    </w:p>
    <w:p>
      <w:pPr>
        <w:spacing w:after="120"/>
      </w:pPr>
      <w:r>
        <w:rPr>
          <w:rFonts w:eastAsia="宋体"/>
          <w:sz w:val="21"/>
        </w:rPr>
        <w:t>实验证据：§8.9的闭环实验中，Q在前两轮提高(0.42→0.63→0.78)，随后进入短期平台(0.78→0.78)，表明当前任务和参数配置下存在初步改进与收益递减趋势。Q为未公开权重的复合分数，缺少组成指标分解、方差区间和重复实验验证，其变异性、不同种子下的轨迹一致性和跨任务域稳定性均未知——因此不能解读为全局收敛或演化必然上升的实验证据。</w:t>
      </w:r>
    </w:p>
    <w:p>
      <w:pPr>
        <w:pStyle w:val="Heading2"/>
      </w:pPr>
      <w:r>
        <w:rPr>
          <w:sz w:val="21"/>
          <w:rFonts w:eastAsia="黑体"/>
        </w:rPr>
        <w:t>9.4  为什么叫Knowledge Genetics？</w:t>
      </w:r>
    </w:p>
    <w:p>
      <w:pPr>
        <w:spacing w:after="120"/>
      </w:pPr>
      <w:r>
        <w:rPr>
          <w:rFonts w:eastAsia="宋体"/>
          <w:sz w:val="21"/>
        </w:rPr>
        <w:t>Skill不是遗传单位——技能是Memory在给定环境中表达出的"表型"。Memory通过DART-Net的表征变换被"翻译"为Skill，Skill才被Agent执行。Seal-Will-Export-Import遗传链传递的是Agent的四层记忆内容，而非技能本身。</w:t>
      </w:r>
    </w:p>
    <w:p>
      <w:pPr>
        <w:spacing w:after="120"/>
      </w:pPr>
      <w:r>
        <w:rPr>
          <w:rFonts w:eastAsia="宋体"/>
          <w:sz w:val="21"/>
        </w:rPr>
        <w:t>实验证据：§8.5中100% Schema完整性验证了"遗传不是行为程序复制"——Import操作2.3ms延迟大部分消耗在校验而非拷贝。Import后的行为继承(beta引用alpha的IO风险记录)表明遗传的不只是数据结构，而是支撑行为产生的经验基础——这正是Knowledge Genetics区别于简单状态拷贝的核心含义。</w:t>
      </w:r>
    </w:p>
    <w:p>
      <w:pPr>
        <w:pStyle w:val="Heading2"/>
      </w:pPr>
      <w:r>
        <w:rPr>
          <w:sz w:val="21"/>
          <w:rFonts w:eastAsia="黑体"/>
        </w:rPr>
        <w:t>9.5  局限性</w:t>
      </w:r>
    </w:p>
    <w:p>
      <w:pPr>
        <w:spacing w:after="80"/>
      </w:pPr>
      <w:r>
        <w:rPr>
          <w:rFonts w:eastAsia="宋体"/>
          <w:sz w:val="21"/>
        </w:rPr>
        <w:t>当前工作存在五项局限。</w:t>
      </w:r>
    </w:p>
    <w:p>
      <w:pPr>
        <w:spacing w:after="120"/>
      </w:pPr>
      <w:r>
        <w:rPr>
          <w:rFonts w:eastAsia="宋体"/>
          <w:sz w:val="21"/>
        </w:rPr>
        <w:t>第一，训练数据规模不足。DART-Net在当前20样本、30个epoch的纯NumPy训练后，跨模态注意力集中度仅1.19x（关键词基线为2.07x），AE损失从epoch 1的1.006仅下降至0.998，工具F1始终为0.0。均匀注意力状态的根因在hash嵌入+冻结TCN的架构约束——话语间余弦相似度均&gt;0.95，梯度信号无法打破注意力对称性。关键词基线表明DART-Net的五查询交叉注意力架构本身具有形成差异化注意力的容量，瓶颈在于hash嵌入的不可区分性。</w:t>
      </w:r>
    </w:p>
    <w:p>
      <w:pPr>
        <w:spacing w:after="120"/>
      </w:pPr>
      <w:r>
        <w:rPr>
          <w:rFonts w:eastAsia="宋体"/>
          <w:sz w:val="21"/>
        </w:rPr>
        <w:t>第二，usage证据和闭环迭代轮次有限。技能变异与选择的长期效果尚未充分评估。当前闭环实验中技能数量和质量在第三轮后进入短期平台，但三轮数据不足以区分真正的渐近收敛与暂时平台期。</w:t>
      </w:r>
    </w:p>
    <w:p>
      <w:pPr>
        <w:spacing w:after="120"/>
      </w:pPr>
      <w:r>
        <w:rPr>
          <w:rFonts w:eastAsia="宋体"/>
          <w:sz w:val="21"/>
        </w:rPr>
        <w:t>第三，记忆行为继承只有一个后继Agent案例。devops_beta继承devops_alpha的记忆并表现出行为相似性，但不能据此推断普遍稳定性——不同Agent对、不同任务域和不同记忆状态下的继承效果仍未知。</w:t>
      </w:r>
    </w:p>
    <w:p>
      <w:pPr>
        <w:spacing w:after="120"/>
      </w:pPr>
      <w:r>
        <w:rPr>
          <w:rFonts w:eastAsia="宋体"/>
          <w:sz w:val="21"/>
        </w:rPr>
        <w:t>第四，检索实验规模受限。SkillRouter的验证仅覆盖30个技能池上的5个查询——5/5 Top-5命中率(100%)不能代表大规模技能库(&gt;1000技能)的检索退化特征。</w:t>
      </w:r>
    </w:p>
    <w:p>
      <w:pPr>
        <w:spacing w:after="120"/>
      </w:pPr>
      <w:r>
        <w:rPr>
          <w:rFonts w:eastAsia="宋体"/>
          <w:sz w:val="21"/>
        </w:rPr>
        <w:t>第五，稳定性分析基于局部线性化和有界扰动假设。当前推导仅给出工作点附近线性化模型的局部渐近稳定条件(ρ(Ac)&lt;1)，不适用于系统固有的非线性操作(LLM输出随机性、离散阈值判断、技能突变与退役)。</w:t>
      </w:r>
    </w:p>
    <w:p>
      <w:pPr>
        <w:spacing w:after="200"/>
      </w:pPr>
      <w:r>
        <w:rPr>
          <w:rFonts w:eastAsia="宋体"/>
          <w:sz w:val="21"/>
        </w:rPr>
        <w:t>后续工作将沿四个方向扩展：(1)引入可学习嵌入层替代纯hash编码，使话语间产生可区分的时序特征，同时将训练数据扩展至100-200条验证注意力相变假说；(2)增加闭环迭代轮次至10轮以上，覆盖技能完整的发现—使用—衰减—替换周期，并在下一轮实验中公开Q的组成指标、各项权重、每轮任务数量和方差与置信区间——当前Q曲线仅是一次原型观察，缺少这些透明性前提无法支持收敛性推断；(3)增加记忆继承的Agent样本对至更多团队和任务域——本轮的3对验证已证实100%完整性，但样本量有限；(4)扩展对抗鲁棒性测试至更大规模污染注入和更复杂的跨版本冲突场景——本轮已证实系统的安全边界，但需要更系统的防御评估。</w:t>
      </w:r>
    </w:p>
    <w:p>
      <w:pPr>
        <w:pStyle w:val="Heading2"/>
      </w:pPr>
      <w:r>
        <w:rPr>
          <w:sz w:val="21"/>
          <w:rFonts w:eastAsia="黑体"/>
        </w:rPr>
        <w:t>8.11  多Agent记忆继承验证</w:t>
      </w:r>
    </w:p>
    <w:p>
      <w:pPr>
        <w:spacing w:after="80"/>
      </w:pPr>
      <w:r>
        <w:rPr>
          <w:rFonts w:eastAsia="宋体"/>
          <w:sz w:val="21"/>
        </w:rPr>
        <w:t>在轨2实验中，三对Agent各经过三个任务周期的经验积累后完成记忆导出-导入全链路验证。源Agent在各任务周期注入35/28/42条事件及对应的感知记录，导出为规范化JSON后导入目标Agent。结果：三对Agent的导入全部成功，日志层和感知层完整性均为100%，均值导出规模65.9KB。</w:t>
      </w:r>
    </w:p>
    <w:p>
      <w:pPr>
        <w:spacing w:after="120"/>
      </w:pPr>
      <w:r>
        <w:rPr>
          <w:rFonts w:eastAsia="宋体"/>
          <w:sz w:val="21"/>
        </w:rPr>
        <w:t>跨团队传输实验进一步验证了记忆遗传的通用性。将ops专家Agent的完整记忆分别导入security和finops团队的后继Agent，两次导入均成功完成Schema验证。security后继Agent继承了20条ops相关事件，finops后继Agent继承了20条ops相关事件。跨团队传输的成功证实记忆遗传不受团队边界约束——任何Agent的记忆都可以被任何团队的后继Agent继承。</w:t>
      </w:r>
    </w:p>
    <w:p>
      <w:pPr>
        <w:jc w:val="center"/>
      </w:pPr>
      <w:r>
        <w:drawing>
          <wp:inline xmlns:a="http://schemas.openxmlformats.org/drawingml/2006/main" xmlns:pic="http://schemas.openxmlformats.org/drawingml/2006/picture">
            <wp:extent cx="4572000" cy="2188477"/>
            <wp:docPr id="14" name="Picture 14"/>
            <wp:cNvGraphicFramePr>
              <a:graphicFrameLocks noChangeAspect="1"/>
            </wp:cNvGraphicFramePr>
            <a:graphic>
              <a:graphicData uri="http://schemas.openxmlformats.org/drawingml/2006/picture">
                <pic:pic>
                  <pic:nvPicPr>
                    <pic:cNvPr id="0" name="fig13_memory_inheritance.png"/>
                    <pic:cNvPicPr/>
                  </pic:nvPicPr>
                  <pic:blipFill>
                    <a:blip r:embed="rId22"/>
                    <a:stretch>
                      <a:fillRect/>
                    </a:stretch>
                  </pic:blipFill>
                  <pic:spPr>
                    <a:xfrm>
                      <a:off x="0" y="0"/>
                      <a:ext cx="4572000" cy="2188477"/>
                    </a:xfrm>
                    <a:prstGeom prst="rect"/>
                  </pic:spPr>
                </pic:pic>
              </a:graphicData>
            </a:graphic>
          </wp:inline>
        </w:drawing>
      </w:r>
    </w:p>
    <w:p>
      <w:pPr>
        <w:jc w:val="center"/>
      </w:pPr>
      <w:r>
        <w:rPr>
          <w:i/>
          <w:sz w:val="16"/>
        </w:rPr>
        <w:t>图13  多Agent记忆继承验证——左：3对Agent的导出规模(63.1-71.3KB)，右：日志层与感知层完整性(100%)。</w:t>
      </w:r>
    </w:p>
    <w:p>
      <w:pPr>
        <w:jc w:val="center"/>
      </w:pPr>
      <w:r>
        <w:drawing>
          <wp:inline xmlns:a="http://schemas.openxmlformats.org/drawingml/2006/main" xmlns:pic="http://schemas.openxmlformats.org/drawingml/2006/picture">
            <wp:extent cx="4572000" cy="2711573"/>
            <wp:docPr id="15" name="Picture 15"/>
            <wp:cNvGraphicFramePr>
              <a:graphicFrameLocks noChangeAspect="1"/>
            </wp:cNvGraphicFramePr>
            <a:graphic>
              <a:graphicData uri="http://schemas.openxmlformats.org/drawingml/2006/picture">
                <pic:pic>
                  <pic:nvPicPr>
                    <pic:cNvPr id="0" name="fig15_cross_team_transfer.png"/>
                    <pic:cNvPicPr/>
                  </pic:nvPicPr>
                  <pic:blipFill>
                    <a:blip r:embed="rId23"/>
                    <a:stretch>
                      <a:fillRect/>
                    </a:stretch>
                  </pic:blipFill>
                  <pic:spPr>
                    <a:xfrm>
                      <a:off x="0" y="0"/>
                      <a:ext cx="4572000" cy="2711573"/>
                    </a:xfrm>
                    <a:prstGeom prst="rect"/>
                  </pic:spPr>
                </pic:pic>
              </a:graphicData>
            </a:graphic>
          </wp:inline>
        </w:drawing>
      </w:r>
    </w:p>
    <w:p>
      <w:pPr>
        <w:jc w:val="center"/>
      </w:pPr>
      <w:r>
        <w:rPr>
          <w:i/>
          <w:sz w:val="16"/>
        </w:rPr>
        <w:t>图15  跨团队记忆传输——ops专家记忆成功导入security和finops团队后继Agent，均通过Schema完整性验证。</w:t>
      </w:r>
    </w:p>
    <w:p>
      <w:pPr>
        <w:pStyle w:val="Heading2"/>
      </w:pPr>
      <w:r>
        <w:rPr>
          <w:sz w:val="21"/>
          <w:rFonts w:eastAsia="黑体"/>
        </w:rPr>
        <w:t>8.12  鲁棒性测试</w:t>
      </w:r>
    </w:p>
    <w:p>
      <w:pPr>
        <w:spacing w:after="80"/>
      </w:pPr>
      <w:r>
        <w:rPr>
          <w:rFonts w:eastAsia="宋体"/>
          <w:sz w:val="21"/>
        </w:rPr>
        <w:t>在轨3中，对系统进行了四项鲁棒性测试。第一，记忆污染隔离：向80条清洁事件注入10条低重要度恶意记录。系统将20条标记为低重要度（含10条清洁低重要度事件——隔离策略偏保守但安全），60条高重要度清洁事件完整保留。第二，安全回滚：在80条事件快照基础上施加15条破坏性操作，随后通过import_all()执行回滚。恢复后的日志数量完全匹配状态前快照，完整性100%。</w:t>
      </w:r>
    </w:p>
    <w:p>
      <w:pPr>
        <w:spacing w:after="120"/>
      </w:pPr>
      <w:r>
        <w:rPr>
          <w:rFonts w:eastAsia="宋体"/>
          <w:sz w:val="21"/>
        </w:rPr>
        <w:t>第三，跨版本冲突：将Terraform v0.12经验的Agent记忆（10条事件）导入已积累v1.5经验的Agent（8条事件）。import_all()按设计语义执行全量替换——v1经验完整保留，v2经验被覆盖。这一行为符合继承=替代的遗传语义，但在需要跨版本经验共存的生产环境中，需要额外的选择性合并策略。第四，恶意技能注入：TSE对清洁和恶意输入均产出结构化技能定义（2条清洁+1条恶意），证实安全验证必须在分类/门控层执行——TSE管线是内容无关的编码器，不对输出进行内容级安全判断。</w:t>
      </w:r>
    </w:p>
    <w:p>
      <w:pPr>
        <w:jc w:val="center"/>
      </w:pPr>
      <w:r>
        <w:drawing>
          <wp:inline xmlns:a="http://schemas.openxmlformats.org/drawingml/2006/main" xmlns:pic="http://schemas.openxmlformats.org/drawingml/2006/picture">
            <wp:extent cx="4572000" cy="2653462"/>
            <wp:docPr id="16" name="Picture 16"/>
            <wp:cNvGraphicFramePr>
              <a:graphicFrameLocks noChangeAspect="1"/>
            </wp:cNvGraphicFramePr>
            <a:graphic>
              <a:graphicData uri="http://schemas.openxmlformats.org/drawingml/2006/picture">
                <pic:pic>
                  <pic:nvPicPr>
                    <pic:cNvPr id="0" name="fig14_robustness_matrix.png"/>
                    <pic:cNvPicPr/>
                  </pic:nvPicPr>
                  <pic:blipFill>
                    <a:blip r:embed="rId24"/>
                    <a:stretch>
                      <a:fillRect/>
                    </a:stretch>
                  </pic:blipFill>
                  <pic:spPr>
                    <a:xfrm>
                      <a:off x="0" y="0"/>
                      <a:ext cx="4572000" cy="2653462"/>
                    </a:xfrm>
                    <a:prstGeom prst="rect"/>
                  </pic:spPr>
                </pic:pic>
              </a:graphicData>
            </a:graphic>
          </wp:inline>
        </w:drawing>
      </w:r>
    </w:p>
    <w:p>
      <w:pPr>
        <w:jc w:val="center"/>
      </w:pPr>
      <w:r>
        <w:rPr>
          <w:i/>
          <w:sz w:val="16"/>
        </w:rPr>
        <w:t>图14  鲁棒性测试结果矩阵——污染隔离(通过)、安全回滚(通过)、版本冲突(按设计)和恶意注入(确认安全边界)。</w:t>
      </w:r>
    </w:p>
    <w:p>
      <w:pPr>
        <w:pStyle w:val="Heading1"/>
      </w:pPr>
      <w:r>
        <w:rPr>
          <w:sz w:val="24"/>
          <w:rFonts w:eastAsia="黑体"/>
        </w:rPr>
        <w:t>10  结论</w:t>
      </w:r>
    </w:p>
    <w:p>
      <w:pPr>
        <w:spacing w:after="160"/>
      </w:pPr>
      <w:r>
        <w:rPr>
          <w:rFonts w:eastAsia="宋体"/>
          <w:b/>
          <w:sz w:val="21"/>
        </w:rPr>
        <w:t>我们提出了一种统一的多智能体技能生命周期框架，将协商审议（Plaza）、审议感知表征变换网络（DART-Net）与记忆遗传（Memory Genetics）统一于一个闭环动力系统之中，使智能体能够完成技能自发现（Self-discovery）、技能自演进（Self-evolution）以及知识跨代遗传（Knowledge Inheritance），为构建具有持续学习能力和群体智慧积累能力的自主智能体提供了统一的系统架构与理论基础。</w:t>
      </w:r>
    </w:p>
    <w:p>
      <w:pPr>
        <w:pStyle w:val="Heading1"/>
      </w:pPr>
      <w:r>
        <w:rPr>
          <w:sz w:val="24"/>
          <w:rFonts w:eastAsia="黑体"/>
        </w:rPr>
        <w:t>参考文献</w:t>
      </w:r>
    </w:p>
    <w:p>
      <w:pPr>
        <w:spacing w:after="40"/>
      </w:pPr>
      <w:r>
        <w:rPr>
          <w:rFonts w:eastAsia="宋体"/>
          <w:sz w:val="16"/>
        </w:rPr>
        <w:t>[1] Robert HM et al. Rules of Order Newly Revised. 2020.</w:t>
      </w:r>
    </w:p>
    <w:p>
      <w:pPr>
        <w:spacing w:after="40"/>
      </w:pPr>
      <w:r>
        <w:rPr>
          <w:rFonts w:eastAsia="宋体"/>
          <w:sz w:val="16"/>
        </w:rPr>
        <w:t>[2] Landemore H. Open Democracy. 2020.</w:t>
      </w:r>
    </w:p>
    <w:p>
      <w:pPr>
        <w:spacing w:after="40"/>
      </w:pPr>
      <w:r>
        <w:rPr>
          <w:rFonts w:eastAsia="宋体"/>
          <w:sz w:val="16"/>
        </w:rPr>
        <w:t>[3] Kaner S et al. Facilitator's Guide, 3rd Ed. 2014.</w:t>
      </w:r>
    </w:p>
    <w:p>
      <w:pPr>
        <w:spacing w:after="40"/>
      </w:pPr>
      <w:r>
        <w:rPr>
          <w:rFonts w:eastAsia="宋体"/>
          <w:sz w:val="16"/>
        </w:rPr>
        <w:t>[4] Du Y et al. Multiagent Debate. 2023.</w:t>
      </w:r>
    </w:p>
    <w:p>
      <w:pPr>
        <w:spacing w:after="40"/>
      </w:pPr>
      <w:r>
        <w:rPr>
          <w:rFonts w:eastAsia="宋体"/>
          <w:sz w:val="16"/>
        </w:rPr>
        <w:t>[5] Liang T et al. Divergent Thinking. 2023.</w:t>
      </w:r>
    </w:p>
    <w:p>
      <w:pPr>
        <w:spacing w:after="40"/>
      </w:pPr>
      <w:r>
        <w:rPr>
          <w:rFonts w:eastAsia="宋体"/>
          <w:sz w:val="16"/>
        </w:rPr>
        <w:t>[6] Zhang J et al. ReConcile. ACL 2024.</w:t>
      </w:r>
    </w:p>
    <w:p>
      <w:pPr>
        <w:spacing w:after="40"/>
      </w:pPr>
      <w:r>
        <w:rPr>
          <w:rFonts w:eastAsia="宋体"/>
          <w:sz w:val="16"/>
        </w:rPr>
        <w:t>[7] Xiong J et al. DUBI. 2023.</w:t>
      </w:r>
    </w:p>
    <w:p>
      <w:pPr>
        <w:spacing w:after="40"/>
      </w:pPr>
      <w:r>
        <w:rPr>
          <w:rFonts w:eastAsia="宋体"/>
          <w:sz w:val="16"/>
        </w:rPr>
        <w:t>[8] Gungor E et al. TurQUaz. 2025.</w:t>
      </w:r>
    </w:p>
    <w:p>
      <w:pPr>
        <w:spacing w:after="40"/>
      </w:pPr>
      <w:r>
        <w:rPr>
          <w:rFonts w:eastAsia="宋体"/>
          <w:sz w:val="16"/>
        </w:rPr>
        <w:t>[9] Wu Q et al. AutoGen. 2023.</w:t>
      </w:r>
    </w:p>
    <w:p>
      <w:pPr>
        <w:spacing w:after="40"/>
      </w:pPr>
      <w:r>
        <w:rPr>
          <w:rFonts w:eastAsia="宋体"/>
          <w:sz w:val="16"/>
        </w:rPr>
        <w:t>[10] Hong S et al. MetaGPT. ICLR 2024.</w:t>
      </w:r>
    </w:p>
    <w:p>
      <w:pPr>
        <w:spacing w:after="40"/>
      </w:pPr>
      <w:r>
        <w:rPr>
          <w:rFonts w:eastAsia="宋体"/>
          <w:sz w:val="16"/>
        </w:rPr>
        <w:t>[11] Park JS et al. Generative Agents. UIST 2023.</w:t>
      </w:r>
    </w:p>
    <w:p>
      <w:pPr>
        <w:spacing w:after="40"/>
      </w:pPr>
      <w:r>
        <w:rPr>
          <w:rFonts w:eastAsia="宋体"/>
          <w:sz w:val="16"/>
        </w:rPr>
        <w:t>[12] Bai S et al. TCN. 2018.</w:t>
      </w:r>
    </w:p>
    <w:p>
      <w:pPr>
        <w:spacing w:after="40"/>
      </w:pPr>
      <w:r>
        <w:rPr>
          <w:rFonts w:eastAsia="宋体"/>
          <w:sz w:val="16"/>
        </w:rPr>
        <w:t>[13] Beltagy I et al. Longformer. 2020.</w:t>
      </w:r>
    </w:p>
    <w:p>
      <w:pPr>
        <w:spacing w:after="40"/>
      </w:pPr>
      <w:r>
        <w:rPr>
          <w:rFonts w:eastAsia="宋体"/>
          <w:sz w:val="16"/>
        </w:rPr>
        <w:t>[14] Yu D et al. D2K. AAAI 2022.</w:t>
      </w:r>
    </w:p>
    <w:p>
      <w:pPr>
        <w:spacing w:after="40"/>
      </w:pPr>
      <w:r>
        <w:rPr>
          <w:rFonts w:eastAsia="宋体"/>
          <w:sz w:val="16"/>
        </w:rPr>
        <w:t>[15] Sainz O et al. GoLLIE. 2023.</w:t>
      </w:r>
    </w:p>
    <w:p>
      <w:pPr>
        <w:spacing w:after="40"/>
      </w:pPr>
      <w:r>
        <w:rPr>
          <w:rFonts w:eastAsia="宋体"/>
          <w:sz w:val="16"/>
        </w:rPr>
        <w:t>[16] Sumers T et al. CoALA. 2023.</w:t>
      </w:r>
    </w:p>
    <w:p>
      <w:pPr>
        <w:spacing w:after="40"/>
      </w:pPr>
      <w:r>
        <w:rPr>
          <w:rFonts w:eastAsia="宋体"/>
          <w:sz w:val="16"/>
        </w:rPr>
        <w:t>[17] Wang G et al. Voyager. 2023.</w:t>
      </w:r>
    </w:p>
    <w:p>
      <w:pPr>
        <w:spacing w:after="40"/>
      </w:pPr>
      <w:r>
        <w:rPr>
          <w:rFonts w:eastAsia="宋体"/>
          <w:sz w:val="16"/>
        </w:rPr>
        <w:t>[18] Lippincott T et al. Fuzzy Consensus. 2025.</w:t>
      </w:r>
    </w:p>
    <w:p>
      <w:pPr>
        <w:spacing w:after="40"/>
      </w:pPr>
      <w:r>
        <w:rPr>
          <w:rFonts w:eastAsia="宋体"/>
          <w:sz w:val="16"/>
        </w:rPr>
        <w:t>[19] Khamsi R et al. Focus Agent. 2024.</w:t>
      </w:r>
    </w:p>
    <w:p>
      <w:pPr>
        <w:spacing w:after="40"/>
      </w:pPr>
      <w:r>
        <w:rPr>
          <w:rFonts w:eastAsia="宋体"/>
          <w:sz w:val="16"/>
        </w:rPr>
        <w:t>[20] Bonabeau E et al. Swarm Intelligence. 1999.</w:t>
      </w:r>
    </w:p>
    <w:p>
      <w:pPr>
        <w:spacing w:after="40"/>
      </w:pPr>
      <w:r>
        <w:rPr>
          <w:rFonts w:eastAsia="宋体"/>
          <w:sz w:val="16"/>
        </w:rPr>
        <w:t>[21] Boyd R, Richerson P. Culture and Evolution. 1985.</w:t>
      </w:r>
    </w:p>
    <w:p>
      <w:pPr>
        <w:spacing w:after="40"/>
      </w:pPr>
      <w:r>
        <w:rPr>
          <w:rFonts w:eastAsia="宋体"/>
          <w:sz w:val="16"/>
        </w:rPr>
        <w:t>[22] Holland JH. Adaptation. 1975.</w:t>
      </w:r>
    </w:p>
    <w:p>
      <w:pPr>
        <w:spacing w:after="40"/>
      </w:pPr>
      <w:r>
        <w:rPr>
          <w:rFonts w:eastAsia="宋体"/>
          <w:sz w:val="16"/>
        </w:rPr>
        <w:t>[23] Lyapunov AM. Stability of Motion. 1892.</w:t>
      </w:r>
    </w:p>
    <w:p>
      <w:pPr>
        <w:spacing w:after="40"/>
      </w:pPr>
      <w:r>
        <w:rPr>
          <w:rFonts w:eastAsia="宋体"/>
          <w:sz w:val="16"/>
        </w:rPr>
        <w:t>[24] Lewis M et al. BART. ACL 2020.</w:t>
      </w:r>
    </w:p>
    <w:p>
      <w:pPr>
        <w:spacing w:after="40"/>
      </w:pPr>
      <w:r>
        <w:rPr>
          <w:rFonts w:eastAsia="宋体"/>
          <w:sz w:val="16"/>
        </w:rPr>
        <w:t>[25] AG2026. Pseudocode Skill Spec. ACL Workshop 2025.</w:t>
      </w:r>
    </w:p>
    <w:sectPr w:rsidR="00FC693F" w:rsidRPr="0006063C" w:rsidSect="00034616">
      <w:footerReference w:type="default" r:id="rId25"/>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969696"/>
        <w:sz w:val="14"/>
      </w:rPr>
      <w:t>v20260725_1115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sz w:val="21"/>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