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4F6124"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4F6124"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4F6124"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36FA63FB" w:rsidR="00DA40DE" w:rsidRPr="0085184F" w:rsidRDefault="00DA43CE" w:rsidP="0085184F">
      <w:pPr>
        <w:ind w:firstLine="723"/>
        <w:jc w:val="center"/>
        <w:rPr>
          <w:b/>
          <w:sz w:val="36"/>
          <w:szCs w:val="44"/>
        </w:rPr>
      </w:pPr>
      <w:r>
        <w:rPr>
          <w:b/>
          <w:sz w:val="36"/>
          <w:szCs w:val="44"/>
        </w:rPr>
        <w:t>二〇　二三年　三</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31B6C3AC"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077918">
      <w:pPr>
        <w:spacing w:before="0" w:beforeAutospacing="0" w:after="0" w:afterAutospacing="0"/>
        <w:ind w:firstLineChars="100" w:firstLine="24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075687">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A14CD1">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4F612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4F612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4F6124"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DA43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6E9F0F8E" w14:textId="57384F2D" w:rsidR="009A2E01" w:rsidRPr="009A2E01"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w:t>
      </w:r>
      <w:r>
        <w:rPr>
          <w:rFonts w:hint="eastAsia"/>
        </w:rPr>
        <w:lastRenderedPageBreak/>
        <w:t>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5C59D6">
        <w:br w:type="page"/>
      </w:r>
    </w:p>
    <w:p w14:paraId="0F06E2F4" w14:textId="18F08D72"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Pr>
          <w:rFonts w:ascii="SimSun" w:hAnsi="SimSun" w:hint="eastAsia"/>
        </w:rPr>
        <w:t>[</w:t>
      </w:r>
      <w:r w:rsidR="004B0E40">
        <w:rPr>
          <w:rFonts w:ascii="SimSun" w:hAnsi="SimSun"/>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Pr>
          <w:rFonts w:ascii="SimSun" w:hAnsi="SimSun" w:hint="eastAsia"/>
        </w:rPr>
        <w:t>[</w:t>
      </w:r>
      <w:r w:rsidR="004B0E40">
        <w:rPr>
          <w:rFonts w:ascii="SimSun" w:hAnsi="SimSun"/>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Pr>
          <w:rFonts w:ascii="SimSun" w:hAnsi="SimSun" w:hint="eastAsia"/>
        </w:rPr>
        <w:t>[</w:t>
      </w:r>
      <w:r w:rsidR="00F60B50">
        <w:rPr>
          <w:rFonts w:ascii="SimSun" w:hAnsi="SimSun"/>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53284B28" w:rsidR="009C6290" w:rsidRDefault="00901D5F" w:rsidP="002D6B64">
      <w:pPr>
        <w:spacing w:before="0" w:beforeAutospacing="0" w:after="0" w:afterAutospacing="0"/>
        <w:ind w:firstLine="48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4F6124"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75F19D7F"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 xml:space="preserve">图表 </w:t>
                  </w:r>
                  <w:r w:rsidRPr="004B0E40">
                    <w:rPr>
                      <w:rFonts w:ascii="SimSun" w:eastAsia="SimSun" w:hAnsi="SimSun"/>
                      <w:sz w:val="21"/>
                      <w:szCs w:val="21"/>
                    </w:rPr>
                    <w:t>3-1 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Pr>
          <w:rFonts w:ascii="SimSun" w:hAnsi="SimSun" w:hint="eastAsia"/>
        </w:rPr>
        <w:t>[</w:t>
      </w:r>
      <w:r w:rsidR="00F60B50">
        <w:rPr>
          <w:rFonts w:ascii="SimSun" w:hAnsi="SimSun"/>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Pr>
          <w:rFonts w:ascii="SimSun" w:hAnsi="SimSun" w:hint="eastAsia"/>
        </w:rPr>
        <w:t>[</w:t>
      </w:r>
      <w:r w:rsidR="00F60B50">
        <w:rPr>
          <w:rFonts w:ascii="SimSun" w:hAnsi="SimSun"/>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6FE74B10"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Pr>
          <w:rFonts w:ascii="SimSun" w:hAnsi="SimSun" w:hint="eastAsia"/>
        </w:rPr>
        <w:t>[</w:t>
      </w:r>
      <w:r w:rsidR="00F60B50">
        <w:rPr>
          <w:rFonts w:ascii="SimSun" w:hAnsi="SimSun"/>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Pr>
          <w:rFonts w:ascii="SimSun" w:hAnsi="SimSun" w:hint="eastAsia"/>
        </w:rPr>
        <w:t>[</w:t>
      </w:r>
      <w:r w:rsidR="00F60B50">
        <w:rPr>
          <w:rFonts w:ascii="SimSun" w:hAnsi="SimSun"/>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Pr>
          <w:rFonts w:ascii="SimSun" w:hAnsi="SimSun" w:hint="eastAsia"/>
        </w:rPr>
        <w:t>[</w:t>
      </w:r>
      <w:r w:rsidR="00F60B50">
        <w:rPr>
          <w:rFonts w:ascii="SimSun" w:hAnsi="SimSun"/>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Pr>
          <w:rFonts w:ascii="SimSun" w:hAnsi="SimSun" w:hint="eastAsia"/>
        </w:rPr>
        <w:t>[</w:t>
      </w:r>
      <w:r w:rsidR="00F60B50">
        <w:rPr>
          <w:rFonts w:ascii="SimSun" w:hAnsi="SimSun"/>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Pr>
          <w:rFonts w:ascii="SimSun" w:hAnsi="SimSun" w:hint="eastAsia"/>
        </w:rPr>
        <w:t>[</w:t>
      </w:r>
      <w:r w:rsidR="00F60B50">
        <w:rPr>
          <w:rFonts w:ascii="SimSun" w:hAnsi="SimSun"/>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Pr>
          <w:rFonts w:ascii="SimSun" w:hAnsi="SimSun" w:hint="eastAsia"/>
        </w:rPr>
        <w:t>[</w:t>
      </w:r>
      <w:r w:rsidR="00F60B50">
        <w:rPr>
          <w:rFonts w:ascii="SimSun" w:hAnsi="SimSun"/>
        </w:rPr>
        <w:t>11]</w:t>
      </w:r>
      <w:r>
        <w:rPr>
          <w:rFonts w:ascii="SimSun" w:hAnsi="SimSun" w:hint="eastAsia"/>
        </w:rPr>
        <w:t>。三维可视化技术也是最常用的技术手段，近些年无人机的使用更加频繁，在大连东港建设的过程中就多次使用无人机进行</w:t>
      </w:r>
      <w:r>
        <w:rPr>
          <w:rFonts w:ascii="SimSun" w:hAnsi="SimSun" w:hint="eastAsia"/>
        </w:rPr>
        <w:lastRenderedPageBreak/>
        <w:t>低空测量，由于东港地区属于大连填海地区，有一些地点必须要用到无人机技术</w:t>
      </w:r>
      <w:r w:rsidR="00D31D03">
        <w:rPr>
          <w:rFonts w:ascii="SimSun" w:hAnsi="SimSun" w:hint="eastAsia"/>
        </w:rPr>
        <w:t>，在无人机摄影侧量的过程中要经历以下步骤</w:t>
      </w:r>
      <w:r w:rsidR="00F60B50">
        <w:rPr>
          <w:rFonts w:ascii="SimSun" w:hAnsi="SimSun" w:hint="eastAsia"/>
        </w:rPr>
        <w:t>[</w:t>
      </w:r>
      <w:r w:rsidR="00F60B50">
        <w:rPr>
          <w:rFonts w:ascii="SimSun" w:hAnsi="SimSun"/>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Pr>
          <w:rFonts w:ascii="SimSun" w:hAnsi="SimSun" w:hint="eastAsia"/>
        </w:rPr>
        <w:t>[</w:t>
      </w:r>
      <w:r w:rsidR="00F60B50">
        <w:rPr>
          <w:rFonts w:ascii="SimSun" w:hAnsi="SimSun"/>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4F6124"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77777777"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 xml:space="preserve">图表 </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4F6124"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26FF681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Pr>
          <w:rFonts w:ascii="SimSun" w:hAnsi="SimSun" w:hint="eastAsia"/>
        </w:rPr>
        <w:t>[</w:t>
      </w:r>
      <w:r w:rsidR="00F60B50">
        <w:rPr>
          <w:rFonts w:ascii="SimSun" w:hAnsi="SimSun"/>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4F6124">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52FED1F5"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Pr>
          <w:rFonts w:ascii="SimSun" w:hAnsi="SimSun" w:hint="eastAsia"/>
        </w:rPr>
        <w:t>[</w:t>
      </w:r>
      <w:r w:rsidR="00F60B50">
        <w:rPr>
          <w:rFonts w:ascii="SimSun" w:hAnsi="SimSun"/>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4F6124"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3CEE3FA5"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Pr>
          <w:rFonts w:ascii="SimSun" w:hAnsi="SimSun" w:hint="eastAsia"/>
        </w:rPr>
        <w:t>[</w:t>
      </w:r>
      <w:r w:rsidR="00F60B50">
        <w:rPr>
          <w:rFonts w:ascii="SimSun" w:hAnsi="SimSun"/>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Pr>
          <w:rFonts w:ascii="SimSun" w:hAnsi="SimSun" w:hint="eastAsia"/>
        </w:rPr>
        <w:t>[</w:t>
      </w:r>
      <w:r w:rsidR="00F60B50">
        <w:rPr>
          <w:rFonts w:ascii="SimSun" w:hAnsi="SimSun"/>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Pr>
          <w:rFonts w:ascii="SimSun" w:hAnsi="SimSun" w:hint="eastAsia"/>
        </w:rPr>
        <w:t>[</w:t>
      </w:r>
      <w:r w:rsidR="00F60B50">
        <w:rPr>
          <w:rFonts w:ascii="SimSun" w:hAnsi="SimSun"/>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w:t>
      </w:r>
      <w:r w:rsidR="000F069A">
        <w:rPr>
          <w:rFonts w:ascii="SimSun" w:hAnsi="SimSun" w:hint="eastAsia"/>
        </w:rPr>
        <w:lastRenderedPageBreak/>
        <w:t>更好的把握规划方向</w:t>
      </w:r>
      <w:r w:rsidR="00F60B50">
        <w:rPr>
          <w:rFonts w:ascii="SimSun" w:hAnsi="SimSun" w:hint="eastAsia"/>
        </w:rPr>
        <w:t>[</w:t>
      </w:r>
      <w:r w:rsidR="00F60B50">
        <w:rPr>
          <w:rFonts w:ascii="SimSun" w:hAnsi="SimSun"/>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Pr>
          <w:rFonts w:ascii="SimSun" w:hAnsi="SimSun" w:hint="eastAsia"/>
        </w:rPr>
        <w:t>[</w:t>
      </w:r>
      <w:r w:rsidR="00F60B50">
        <w:rPr>
          <w:rFonts w:ascii="SimSun" w:hAnsi="SimSun"/>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4F6124"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4F6124"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4F6124"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4F6124"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4F6124"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4F6124"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4F6124"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4F6124"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77777777" w:rsidR="000A274F" w:rsidRDefault="000A274F" w:rsidP="00C13104">
      <w:pPr>
        <w:spacing w:before="0" w:beforeAutospacing="0" w:after="0" w:afterAutospacing="0"/>
        <w:ind w:firstLine="480"/>
        <w:rPr>
          <w:rFonts w:ascii="SimSun" w:hAnsi="SimSun"/>
        </w:rPr>
      </w:pPr>
    </w:p>
    <w:p w14:paraId="273B50BD" w14:textId="37A5E833" w:rsidR="00B74143" w:rsidRDefault="004F6124"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0;margin-top:.7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fit-shape-to-text:t" inset="0,0,0,0">
              <w:txbxContent>
                <w:p w14:paraId="018FE48F" w14:textId="49DF1530"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lastRenderedPageBreak/>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Pr>
          <w:rFonts w:ascii="SimSun" w:hAnsi="SimSun" w:hint="eastAsia"/>
        </w:rPr>
        <w:t>[</w:t>
      </w:r>
      <w:r w:rsidR="00F60B50">
        <w:rPr>
          <w:rFonts w:ascii="SimSun" w:hAnsi="SimSun"/>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Pr>
          <w:rFonts w:ascii="SimSun" w:hAnsi="SimSun" w:hint="eastAsia"/>
        </w:rPr>
        <w:t>[</w:t>
      </w:r>
      <w:r w:rsidR="00F60B50">
        <w:rPr>
          <w:rFonts w:ascii="SimSun" w:hAnsi="SimSun"/>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4ADC3074" w:rsidR="00493617" w:rsidRDefault="00F14561" w:rsidP="00156374">
      <w:pPr>
        <w:spacing w:before="0" w:beforeAutospacing="0" w:after="0" w:afterAutospacing="0"/>
        <w:ind w:firstLine="480"/>
        <w:rPr>
          <w:rFonts w:ascii="SimSun" w:hAnsi="SimSun"/>
        </w:rPr>
      </w:pPr>
      <w:r>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w:t>
      </w:r>
      <w:r w:rsidR="00276E0B">
        <w:rPr>
          <w:rFonts w:ascii="SimSun" w:hAnsi="SimSun" w:hint="eastAsia"/>
        </w:rPr>
        <w:lastRenderedPageBreak/>
        <w:t>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77777777"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Science.Geogra phic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Robert G,Hollands.Will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r w:rsidRPr="006D5845">
        <w:t>Laufs J,Borrion H,Bradford B.Security and the Smart City:A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ADA38" w14:textId="77777777" w:rsidR="004F6124" w:rsidRDefault="004F6124" w:rsidP="00DA40DE">
      <w:pPr>
        <w:spacing w:before="0" w:after="0"/>
        <w:ind w:firstLine="480"/>
      </w:pPr>
      <w:r>
        <w:separator/>
      </w:r>
    </w:p>
  </w:endnote>
  <w:endnote w:type="continuationSeparator" w:id="0">
    <w:p w14:paraId="08D5EB03" w14:textId="77777777" w:rsidR="004F6124" w:rsidRDefault="004F6124"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7686" w14:textId="77777777" w:rsidR="004F6124" w:rsidRDefault="004F6124" w:rsidP="00DA40DE">
      <w:pPr>
        <w:spacing w:before="0" w:after="0"/>
        <w:ind w:firstLine="480"/>
      </w:pPr>
      <w:r>
        <w:separator/>
      </w:r>
    </w:p>
  </w:footnote>
  <w:footnote w:type="continuationSeparator" w:id="0">
    <w:p w14:paraId="17CB79A6" w14:textId="77777777" w:rsidR="004F6124" w:rsidRDefault="004F6124"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Default="00F60B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D5993"/>
    <w:rsid w:val="004F2AD0"/>
    <w:rsid w:val="004F6124"/>
    <w:rsid w:val="00524E8E"/>
    <w:rsid w:val="00534118"/>
    <w:rsid w:val="00554BDB"/>
    <w:rsid w:val="0058723B"/>
    <w:rsid w:val="005938E4"/>
    <w:rsid w:val="005A566C"/>
    <w:rsid w:val="005A6DAD"/>
    <w:rsid w:val="005C59D6"/>
    <w:rsid w:val="005D5536"/>
    <w:rsid w:val="005F522E"/>
    <w:rsid w:val="006028FB"/>
    <w:rsid w:val="006061C3"/>
    <w:rsid w:val="00607520"/>
    <w:rsid w:val="00655BBE"/>
    <w:rsid w:val="00660D9F"/>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6183"/>
    <w:rsid w:val="008A62BA"/>
    <w:rsid w:val="008B235E"/>
    <w:rsid w:val="008B540E"/>
    <w:rsid w:val="008D4A5B"/>
    <w:rsid w:val="008F0CDC"/>
    <w:rsid w:val="00901378"/>
    <w:rsid w:val="00901D5F"/>
    <w:rsid w:val="009119DA"/>
    <w:rsid w:val="00930E90"/>
    <w:rsid w:val="00957B0A"/>
    <w:rsid w:val="00975C72"/>
    <w:rsid w:val="00992074"/>
    <w:rsid w:val="009A2E01"/>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C7C48"/>
    <w:rsid w:val="00E01057"/>
    <w:rsid w:val="00E86048"/>
    <w:rsid w:val="00E86310"/>
    <w:rsid w:val="00EA3348"/>
    <w:rsid w:val="00EB10BB"/>
    <w:rsid w:val="00EC31C4"/>
    <w:rsid w:val="00ED0458"/>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26</Pages>
  <Words>2399</Words>
  <Characters>13679</Characters>
  <Application>Microsoft Office Word</Application>
  <DocSecurity>0</DocSecurity>
  <Lines>113</Lines>
  <Paragraphs>32</Paragraphs>
  <ScaleCrop>false</ScaleCrop>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3</cp:revision>
  <cp:lastPrinted>2023-03-07T03:00:00Z</cp:lastPrinted>
  <dcterms:created xsi:type="dcterms:W3CDTF">2023-01-27T09:15:00Z</dcterms:created>
  <dcterms:modified xsi:type="dcterms:W3CDTF">2023-05-01T16:37:00Z</dcterms:modified>
</cp:coreProperties>
</file>