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5B433B5C">
      <w:pPr>
        <w:spacing w:before="840"/>
        <w:jc w:val="center"/>
        <w:rPr>
          <w:rFonts w:hint="eastAsia" w:ascii="宋体" w:hAnsi="宋体" w:eastAsia="宋体" w:cs="宋体"/>
        </w:rPr>
      </w:pPr>
      <w:r>
        <w:rPr>
          <w:rFonts w:hint="eastAsia" w:ascii="宋体" w:hAnsi="宋体" w:eastAsia="宋体" w:cs="宋体"/>
          <w:b/>
          <w:color w:val="17365D"/>
          <w:sz w:val="60"/>
        </w:rPr>
        <w:t>AlphaOrchestra</w:t>
      </w:r>
    </w:p>
    <w:p ns2:paraId="7389BD99">
      <w:pPr>
        <w:jc w:val="center"/>
        <w:rPr>
          <w:rFonts w:hint="eastAsia" w:ascii="宋体" w:hAnsi="宋体" w:eastAsia="宋体" w:cs="宋体"/>
        </w:rPr>
      </w:pPr>
      <w:r>
        <w:rPr>
          <w:rFonts w:hint="eastAsia" w:ascii="宋体" w:hAnsi="宋体" w:eastAsia="宋体" w:cs="宋体"/>
          <w:b/>
          <w:color w:val="1F4E79"/>
          <w:sz w:val="36"/>
        </w:rPr>
        <w:t>群智阿尔法：市场状态驱动的多智能体自适应编排与量化决策平台</w:t>
      </w:r>
    </w:p>
    <w:p ns2:paraId="402E925F">
      <w:pPr>
        <w:spacing w:before="160"/>
        <w:jc w:val="center"/>
        <w:rPr>
          <w:rFonts w:hint="eastAsia" w:ascii="宋体" w:hAnsi="宋体" w:eastAsia="宋体" w:cs="宋体"/>
        </w:rPr>
      </w:pPr>
      <w:r>
        <w:rPr>
          <w:rFonts w:hint="eastAsia" w:ascii="宋体" w:hAnsi="宋体" w:eastAsia="宋体" w:cs="宋体"/>
          <w:b/>
          <w:color w:val="1F6D7A"/>
          <w:sz w:val="30"/>
          <w:lang w:val="en-US" w:eastAsia="zh-CN"/>
        </w:rPr>
        <w:t>商业</w:t>
      </w:r>
      <w:r>
        <w:rPr>
          <w:rFonts w:hint="eastAsia" w:ascii="宋体" w:hAnsi="宋体" w:eastAsia="宋体" w:cs="宋体"/>
          <w:b/>
          <w:color w:val="1F6D7A"/>
          <w:sz w:val="30"/>
        </w:rPr>
        <w:t>计划</w:t>
      </w:r>
      <w:r>
        <w:rPr>
          <w:rFonts w:hint="eastAsia" w:ascii="宋体" w:hAnsi="宋体" w:eastAsia="宋体" w:cs="宋体"/>
          <w:b/>
          <w:color w:val="1F6D7A"/>
          <w:sz w:val="30"/>
          <w:lang w:val="en-US" w:eastAsia="zh-CN"/>
        </w:rPr>
        <w:t>项目</w:t>
      </w:r>
      <w:r>
        <w:rPr>
          <w:rFonts w:hint="eastAsia" w:ascii="宋体" w:hAnsi="宋体" w:eastAsia="宋体" w:cs="宋体"/>
          <w:b/>
          <w:color w:val="1F6D7A"/>
          <w:sz w:val="30"/>
        </w:rPr>
        <w:t>书</w:t>
      </w:r>
    </w:p>
    <w:p ns2:paraId="3199E258">
      <w:pPr>
        <w:spacing w:before="280" w:after="200"/>
        <w:jc w:val="center"/>
        <w:rPr>
          <w:rFonts w:hint="eastAsia" w:ascii="宋体" w:hAnsi="宋体" w:eastAsia="宋体" w:cs="宋体"/>
        </w:rPr>
      </w:pPr>
      <w:r>
        <w:rPr>
          <w:rFonts w:hint="eastAsia" w:ascii="宋体" w:hAnsi="宋体" w:eastAsia="宋体" w:cs="宋体"/>
          <w:b/>
          <w:color w:val="C55A11"/>
          <w:sz w:val="22"/>
        </w:rPr>
        <w:t>Who to ask  →  Why they disagree  →  Who to trust  →  How much to think</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ns2:paraId="02FD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F2F5F9"/>
            <w:tcMar>
              <w:top w:w="100" w:type="dxa"/>
              <w:left w:w="140" w:type="dxa"/>
              <w:bottom w:w="100" w:type="dxa"/>
              <w:right w:w="140" w:type="dxa"/>
            </w:tcMar>
          </w:tcPr>
          <w:p ns2:paraId="35DE5220">
            <w:pPr>
              <w:spacing w:after="0" w:line="240" w:lineRule="auto"/>
              <w:rPr>
                <w:rFonts w:hint="eastAsia" w:ascii="宋体" w:hAnsi="宋体" w:eastAsia="宋体" w:cs="宋体"/>
              </w:rPr>
            </w:pPr>
            <w:r>
              <w:rPr>
                <w:rFonts w:hint="eastAsia" w:ascii="宋体" w:hAnsi="宋体" w:eastAsia="宋体" w:cs="宋体"/>
                <w:b/>
                <w:color w:val="1F4E79"/>
                <w:sz w:val="21"/>
              </w:rPr>
              <w:t>参赛赛事</w:t>
            </w:r>
          </w:p>
        </w:tc>
        <w:tc>
          <w:tcPr>
            <w:tcW w:w="4986" w:type="dxa"/>
            <w:shd w:val="clear" w:color="auto" w:fill="FFFFFF"/>
            <w:tcMar>
              <w:top w:w="100" w:type="dxa"/>
              <w:left w:w="140" w:type="dxa"/>
              <w:bottom w:w="100" w:type="dxa"/>
              <w:right w:w="140" w:type="dxa"/>
            </w:tcMar>
          </w:tcPr>
          <w:p ns2:paraId="59E74698">
            <w:pPr>
              <w:spacing w:after="0" w:line="240" w:lineRule="auto"/>
              <w:rPr>
                <w:rFonts w:hint="eastAsia" w:ascii="宋体" w:hAnsi="宋体" w:eastAsia="宋体" w:cs="宋体"/>
              </w:rPr>
            </w:pPr>
            <w:r>
              <w:rPr>
                <w:rFonts w:hint="eastAsia" w:ascii="宋体" w:hAnsi="宋体" w:eastAsia="宋体" w:cs="宋体"/>
                <w:b w:val="0"/>
                <w:color w:val="333333"/>
                <w:sz w:val="21"/>
              </w:rPr>
              <w:t>北京大学金融AI智能体创新大赛</w:t>
            </w:r>
          </w:p>
        </w:tc>
      </w:tr>
      <w:tr ns2:paraId="6749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F2F5F9"/>
            <w:tcMar>
              <w:top w:w="100" w:type="dxa"/>
              <w:left w:w="140" w:type="dxa"/>
              <w:bottom w:w="100" w:type="dxa"/>
              <w:right w:w="140" w:type="dxa"/>
            </w:tcMar>
          </w:tcPr>
          <w:p ns2:paraId="24FC4969">
            <w:pPr>
              <w:spacing w:after="0" w:line="240" w:lineRule="auto"/>
              <w:rPr>
                <w:rFonts w:hint="eastAsia" w:ascii="宋体" w:hAnsi="宋体" w:eastAsia="宋体" w:cs="宋体"/>
              </w:rPr>
            </w:pPr>
            <w:r>
              <w:rPr>
                <w:rFonts w:hint="eastAsia" w:ascii="宋体" w:hAnsi="宋体" w:eastAsia="宋体" w:cs="宋体"/>
                <w:b/>
                <w:color w:val="1F4E79"/>
                <w:sz w:val="21"/>
              </w:rPr>
              <w:t>参赛赛道</w:t>
            </w:r>
          </w:p>
        </w:tc>
        <w:tc>
          <w:tcPr>
            <w:tcW w:w="4986" w:type="dxa"/>
            <w:shd w:val="clear" w:color="auto" w:fill="FFFFFF"/>
            <w:tcMar>
              <w:top w:w="100" w:type="dxa"/>
              <w:left w:w="140" w:type="dxa"/>
              <w:bottom w:w="100" w:type="dxa"/>
              <w:right w:w="140" w:type="dxa"/>
            </w:tcMar>
          </w:tcPr>
          <w:p ns2:paraId="1E79BAD3">
            <w:pPr>
              <w:spacing w:after="0" w:line="240" w:lineRule="auto"/>
              <w:rPr>
                <w:rFonts w:hint="eastAsia" w:ascii="宋体" w:hAnsi="宋体" w:eastAsia="宋体" w:cs="宋体"/>
              </w:rPr>
            </w:pPr>
            <w:r>
              <w:rPr>
                <w:rFonts w:hint="eastAsia" w:ascii="宋体" w:hAnsi="宋体" w:eastAsia="宋体" w:cs="宋体"/>
                <w:b w:val="0"/>
                <w:color w:val="333333"/>
                <w:sz w:val="21"/>
              </w:rPr>
              <w:t>赛道二：量化投资策略与金融科技工具研发</w:t>
            </w:r>
          </w:p>
        </w:tc>
      </w:tr>
      <w:tr ns2:paraId="75C5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F2F5F9"/>
            <w:tcMar>
              <w:top w:w="100" w:type="dxa"/>
              <w:left w:w="140" w:type="dxa"/>
              <w:bottom w:w="100" w:type="dxa"/>
              <w:right w:w="140" w:type="dxa"/>
            </w:tcMar>
          </w:tcPr>
          <w:p ns2:paraId="3598CAA3">
            <w:pPr>
              <w:spacing w:after="0" w:line="240" w:lineRule="auto"/>
              <w:rPr>
                <w:rFonts w:hint="eastAsia" w:ascii="宋体" w:hAnsi="宋体" w:eastAsia="宋体" w:cs="宋体"/>
              </w:rPr>
            </w:pPr>
            <w:r>
              <w:rPr>
                <w:rFonts w:hint="eastAsia" w:ascii="宋体" w:hAnsi="宋体" w:eastAsia="宋体" w:cs="宋体"/>
                <w:b/>
                <w:color w:val="1F4E79"/>
                <w:sz w:val="21"/>
              </w:rPr>
              <w:t>项目阶段</w:t>
            </w:r>
          </w:p>
        </w:tc>
        <w:tc>
          <w:tcPr>
            <w:tcW w:w="4986" w:type="dxa"/>
            <w:shd w:val="clear" w:color="auto" w:fill="FFFFFF"/>
            <w:tcMar>
              <w:top w:w="100" w:type="dxa"/>
              <w:left w:w="140" w:type="dxa"/>
              <w:bottom w:w="100" w:type="dxa"/>
              <w:right w:w="140" w:type="dxa"/>
            </w:tcMar>
          </w:tcPr>
          <w:p ns2:paraId="4A0848E7">
            <w:pPr>
              <w:spacing w:after="0" w:line="240" w:lineRule="auto"/>
              <w:rPr>
                <w:rFonts w:hint="eastAsia" w:ascii="宋体" w:hAnsi="宋体" w:eastAsia="宋体" w:cs="宋体"/>
              </w:rPr>
            </w:pPr>
            <w:r>
              <w:rPr>
                <w:rFonts w:hint="eastAsia" w:ascii="宋体" w:hAnsi="宋体" w:eastAsia="宋体" w:cs="宋体"/>
                <w:b w:val="0"/>
                <w:color w:val="333333"/>
                <w:sz w:val="21"/>
              </w:rPr>
              <w:t>技术方案与核心创新设计已完成；端到端工程闭环已验证；规模化对比实验与消融待完成</w:t>
            </w:r>
          </w:p>
        </w:tc>
      </w:tr>
      <w:tr ns2:paraId="4019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F2F5F9"/>
            <w:tcMar>
              <w:top w:w="100" w:type="dxa"/>
              <w:left w:w="140" w:type="dxa"/>
              <w:bottom w:w="100" w:type="dxa"/>
              <w:right w:w="140" w:type="dxa"/>
            </w:tcMar>
          </w:tcPr>
          <w:p ns2:paraId="35CE17BD">
            <w:pPr>
              <w:spacing w:after="0" w:line="240" w:lineRule="auto"/>
              <w:rPr>
                <w:rFonts w:hint="eastAsia" w:ascii="宋体" w:hAnsi="宋体" w:eastAsia="宋体" w:cs="宋体"/>
              </w:rPr>
            </w:pPr>
            <w:r>
              <w:rPr>
                <w:rFonts w:hint="eastAsia" w:ascii="宋体" w:hAnsi="宋体" w:eastAsia="宋体" w:cs="宋体"/>
                <w:b/>
                <w:color w:val="1F4E79"/>
                <w:sz w:val="21"/>
              </w:rPr>
              <w:t>团队名称</w:t>
            </w:r>
          </w:p>
        </w:tc>
        <w:tc>
          <w:tcPr>
            <w:tcW w:w="4986" w:type="dxa"/>
            <w:shd w:val="clear" w:color="auto" w:fill="FFFFFF"/>
            <w:tcMar>
              <w:top w:w="100" w:type="dxa"/>
              <w:left w:w="140" w:type="dxa"/>
              <w:bottom w:w="100" w:type="dxa"/>
              <w:right w:w="140" w:type="dxa"/>
            </w:tcMar>
          </w:tcPr>
          <w:p ns2:paraId="5132A835">
            <w:pPr>
              <w:spacing w:after="0" w:line="240" w:lineRule="auto"/>
              <w:rPr>
                <w:rFonts w:hint="eastAsia" w:ascii="宋体" w:hAnsi="宋体" w:eastAsia="宋体" w:cs="宋体"/>
                <w:lang w:val="en-US" w:eastAsia="zh-CN"/>
              </w:rPr>
            </w:pPr>
            <w:r>
              <w:rPr>
                <w:rFonts w:hint="eastAsia" w:ascii="宋体" w:hAnsi="宋体" w:eastAsia="宋体" w:cs="宋体"/>
                <w:lang w:val="en-US" w:eastAsia="zh-CN"/>
              </w:rPr>
              <w:t>孙浩霖、潘昊辰、谢永仪</w:t>
            </w:r>
          </w:p>
        </w:tc>
      </w:tr>
      <w:tr ns2:paraId="6F11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86" w:type="dxa"/>
            <w:shd w:val="clear" w:color="auto" w:fill="F2F5F9"/>
            <w:tcMar>
              <w:top w:w="100" w:type="dxa"/>
              <w:left w:w="140" w:type="dxa"/>
              <w:bottom w:w="100" w:type="dxa"/>
              <w:right w:w="140" w:type="dxa"/>
            </w:tcMar>
          </w:tcPr>
          <w:p ns2:paraId="71A07D0B">
            <w:pPr>
              <w:spacing w:after="0" w:line="240" w:lineRule="auto"/>
              <w:rPr>
                <w:rFonts w:hint="eastAsia" w:ascii="宋体" w:hAnsi="宋体" w:eastAsia="宋体" w:cs="宋体"/>
              </w:rPr>
            </w:pPr>
            <w:r>
              <w:rPr>
                <w:rFonts w:hint="eastAsia" w:ascii="宋体" w:hAnsi="宋体" w:eastAsia="宋体" w:cs="宋体"/>
                <w:b/>
                <w:color w:val="1F4E79"/>
                <w:sz w:val="21"/>
              </w:rPr>
              <w:t>版本日期</w:t>
            </w:r>
          </w:p>
        </w:tc>
        <w:tc>
          <w:tcPr>
            <w:tcW w:w="4986" w:type="dxa"/>
            <w:shd w:val="clear" w:color="auto" w:fill="FFFFFF"/>
            <w:tcMar>
              <w:top w:w="100" w:type="dxa"/>
              <w:left w:w="140" w:type="dxa"/>
              <w:bottom w:w="100" w:type="dxa"/>
              <w:right w:w="140" w:type="dxa"/>
            </w:tcMar>
          </w:tcPr>
          <w:p ns2:paraId="768D0075">
            <w:pPr>
              <w:spacing w:after="0" w:line="240" w:lineRule="auto"/>
              <w:rPr>
                <w:rFonts w:hint="eastAsia" w:ascii="宋体" w:hAnsi="宋体" w:eastAsia="宋体" w:cs="宋体"/>
              </w:rPr>
            </w:pPr>
            <w:r>
              <w:rPr>
                <w:rFonts w:hint="eastAsia" w:ascii="宋体" w:hAnsi="宋体" w:eastAsia="宋体" w:cs="宋体"/>
                <w:b w:val="0"/>
                <w:color w:val="333333"/>
                <w:sz w:val="21"/>
              </w:rPr>
              <w:t>2026年9月</w:t>
            </w:r>
          </w:p>
        </w:tc>
      </w:tr>
    </w:tbl>
    <w:p ns2:paraId="6AD64A2B">
      <w:pPr>
        <w:rPr>
          <w:rFonts w:hint="eastAsia" w:ascii="宋体" w:hAnsi="宋体" w:eastAsia="宋体" w:cs="宋体"/>
        </w:rPr>
      </w:pPr>
    </w:p>
    <w:tbl>
      <w:tblPr>
        <w:tblStyle w:val="33"/>
        <w:tblW w:w="0" w:type="auto"/>
        <w:jc w:val="center"/>
        <w:tblLayout w:type="autofit"/>
        <w:tblCellMar>
          <w:top w:w="0" w:type="dxa"/>
          <w:left w:w="108" w:type="dxa"/>
          <w:bottom w:w="0" w:type="dxa"/>
          <w:right w:w="108" w:type="dxa"/>
        </w:tblCellMar>
      </w:tblPr>
      <w:tblGrid>
        <w:gridCol w:w="9972"/>
      </w:tblGrid>
      <w:tr ns2:paraId="5BABF0FF">
        <w:tblPrEx>
          <w:tblCellMar>
            <w:top w:w="0" w:type="dxa"/>
            <w:left w:w="108" w:type="dxa"/>
            <w:bottom w:w="0" w:type="dxa"/>
            <w:right w:w="108" w:type="dxa"/>
          </w:tblCellMar>
        </w:tblPrEx>
        <w:trPr>
          <w:jc w:val="center"/>
        </w:trPr>
        <w:tc>
          <w:tcPr>
            <w:tcW w:w="9972" w:type="dxa"/>
            <w:shd w:val="clear" w:color="auto" w:fill="EEF5FB"/>
            <w:tcMar>
              <w:top w:w="160" w:type="dxa"/>
              <w:left w:w="180" w:type="dxa"/>
              <w:bottom w:w="160" w:type="dxa"/>
              <w:right w:w="180" w:type="dxa"/>
            </w:tcMar>
          </w:tcPr>
          <w:p ns2:paraId="0C0E155F">
            <w:pPr>
              <w:spacing w:after="60"/>
              <w:rPr>
                <w:rFonts w:hint="eastAsia" w:ascii="宋体" w:hAnsi="宋体" w:eastAsia="宋体" w:cs="宋体"/>
              </w:rPr>
            </w:pPr>
            <w:r>
              <w:rPr>
                <w:rFonts w:hint="eastAsia" w:ascii="宋体" w:hAnsi="宋体" w:eastAsia="宋体" w:cs="宋体"/>
                <w:b/>
                <w:color w:val="1F4E79"/>
                <w:sz w:val="21"/>
              </w:rPr>
              <w:t xml:space="preserve">一句话定位  </w:t>
            </w:r>
            <w:r>
              <w:rPr>
                <w:rFonts w:hint="eastAsia" w:ascii="宋体" w:hAnsi="宋体" w:eastAsia="宋体" w:cs="宋体"/>
                <w:color w:val="333333"/>
                <w:sz w:val="20"/>
              </w:rPr>
              <w:t>不是“让更多 Agent 一起投票”，而是让系统在每个市场状态下先选择最值得咨询的一组互补专家，识别分歧来源，再动态决定该信谁、信多少以及是否值得继续增加推理成本。</w:t>
            </w:r>
          </w:p>
        </w:tc>
      </w:tr>
    </w:tbl>
    <w:p ns2:paraId="6B8014C6">
      <w:pPr>
        <w:rPr>
          <w:rFonts w:hint="eastAsia" w:ascii="宋体" w:hAnsi="宋体" w:eastAsia="宋体" w:cs="宋体"/>
        </w:rPr>
      </w:pPr>
      <w:r>
        <w:rPr>
          <w:rFonts w:hint="eastAsia" w:ascii="宋体" w:hAnsi="宋体" w:eastAsia="宋体" w:cs="宋体"/>
        </w:rPr>
        <w:br w:type="page"/>
      </w:r>
    </w:p>
    <w:p ns2:paraId="5C9B462E">
      <w:pPr>
        <w:pStyle w:val="3"/>
        <w:keepNext/>
        <w:spacing w:before="240" w:after="120"/>
        <w:rPr>
          <w:rFonts w:hint="eastAsia" w:ascii="宋体" w:hAnsi="宋体" w:eastAsia="宋体" w:cs="宋体"/>
        </w:rPr>
      </w:pPr>
      <w:r>
        <w:rPr>
          <w:rFonts w:hint="eastAsia" w:ascii="宋体" w:hAnsi="宋体" w:eastAsia="宋体" w:cs="宋体"/>
          <w:b/>
          <w:color w:val="17365D"/>
          <w:sz w:val="32"/>
        </w:rPr>
        <w:t>目录</w:t>
      </w:r>
    </w:p>
    <w:p ns2:paraId="0BD0AB8C">
      <w:pPr>
        <w:spacing w:after="40"/>
        <w:rPr>
          <w:rFonts w:hint="eastAsia" w:ascii="宋体" w:hAnsi="宋体" w:eastAsia="宋体" w:cs="宋体"/>
        </w:rPr>
      </w:pPr>
      <w:r>
        <w:rPr>
          <w:rFonts w:hint="eastAsia" w:ascii="宋体" w:hAnsi="宋体" w:eastAsia="宋体" w:cs="宋体"/>
          <w:color w:val="1F4E79"/>
          <w:sz w:val="20"/>
        </w:rPr>
        <w:t>1. 执行摘要</w:t>
      </w:r>
    </w:p>
    <w:p ns2:paraId="39B7A115">
      <w:pPr>
        <w:spacing w:after="40"/>
        <w:rPr>
          <w:rFonts w:hint="eastAsia" w:ascii="宋体" w:hAnsi="宋体" w:eastAsia="宋体" w:cs="宋体"/>
        </w:rPr>
      </w:pPr>
      <w:r>
        <w:rPr>
          <w:rFonts w:hint="eastAsia" w:ascii="宋体" w:hAnsi="宋体" w:eastAsia="宋体" w:cs="宋体"/>
          <w:color w:val="1F4E79"/>
          <w:sz w:val="20"/>
        </w:rPr>
        <w:t>2. 项目背景与行业机会</w:t>
      </w:r>
    </w:p>
    <w:p ns2:paraId="4451A405">
      <w:pPr>
        <w:spacing w:after="40"/>
        <w:rPr>
          <w:rFonts w:hint="eastAsia" w:ascii="宋体" w:hAnsi="宋体" w:eastAsia="宋体" w:cs="宋体"/>
        </w:rPr>
      </w:pPr>
      <w:r>
        <w:rPr>
          <w:rFonts w:hint="eastAsia" w:ascii="宋体" w:hAnsi="宋体" w:eastAsia="宋体" w:cs="宋体"/>
          <w:color w:val="1F4E79"/>
          <w:sz w:val="20"/>
        </w:rPr>
        <w:t>3. 用户痛点与需求定义</w:t>
      </w:r>
    </w:p>
    <w:p ns2:paraId="5A05EC3D">
      <w:pPr>
        <w:spacing w:after="40"/>
        <w:rPr>
          <w:rFonts w:hint="eastAsia" w:ascii="宋体" w:hAnsi="宋体" w:eastAsia="宋体" w:cs="宋体"/>
        </w:rPr>
      </w:pPr>
      <w:r>
        <w:rPr>
          <w:rFonts w:hint="eastAsia" w:ascii="宋体" w:hAnsi="宋体" w:eastAsia="宋体" w:cs="宋体"/>
          <w:color w:val="1F4E79"/>
          <w:sz w:val="20"/>
        </w:rPr>
        <w:t>4. 产品定位与核心价值</w:t>
      </w:r>
    </w:p>
    <w:p ns2:paraId="32140715">
      <w:pPr>
        <w:spacing w:after="40"/>
        <w:rPr>
          <w:rFonts w:hint="eastAsia" w:ascii="宋体" w:hAnsi="宋体" w:eastAsia="宋体" w:cs="宋体"/>
        </w:rPr>
      </w:pPr>
      <w:r>
        <w:rPr>
          <w:rFonts w:hint="eastAsia" w:ascii="宋体" w:hAnsi="宋体" w:eastAsia="宋体" w:cs="宋体"/>
          <w:color w:val="1F4E79"/>
          <w:sz w:val="20"/>
        </w:rPr>
        <w:t>5. 技术架构与Agent工作流</w:t>
      </w:r>
    </w:p>
    <w:p ns2:paraId="28F93ACE">
      <w:pPr>
        <w:spacing w:after="40"/>
        <w:rPr>
          <w:rFonts w:hint="eastAsia" w:ascii="宋体" w:hAnsi="宋体" w:eastAsia="宋体" w:cs="宋体"/>
        </w:rPr>
      </w:pPr>
      <w:r>
        <w:rPr>
          <w:rFonts w:hint="eastAsia" w:ascii="宋体" w:hAnsi="宋体" w:eastAsia="宋体" w:cs="宋体"/>
          <w:color w:val="1F4E79"/>
          <w:sz w:val="20"/>
        </w:rPr>
        <w:t>6. 三项核心创新</w:t>
      </w:r>
    </w:p>
    <w:p ns2:paraId="2BD5410B">
      <w:pPr>
        <w:spacing w:after="40"/>
        <w:rPr>
          <w:rFonts w:hint="eastAsia" w:ascii="宋体" w:hAnsi="宋体" w:eastAsia="宋体" w:cs="宋体"/>
        </w:rPr>
      </w:pPr>
      <w:r>
        <w:rPr>
          <w:rFonts w:hint="eastAsia" w:ascii="宋体" w:hAnsi="宋体" w:eastAsia="宋体" w:cs="宋体"/>
          <w:color w:val="1F4E79"/>
          <w:sz w:val="20"/>
        </w:rPr>
        <w:t>7. 工程实现与系统落地方案</w:t>
      </w:r>
    </w:p>
    <w:p ns2:paraId="012397B1">
      <w:pPr>
        <w:spacing w:after="40"/>
        <w:rPr>
          <w:rFonts w:hint="eastAsia" w:ascii="宋体" w:hAnsi="宋体" w:eastAsia="宋体" w:cs="宋体"/>
        </w:rPr>
      </w:pPr>
      <w:r>
        <w:rPr>
          <w:rFonts w:hint="eastAsia" w:ascii="宋体" w:hAnsi="宋体" w:eastAsia="宋体" w:cs="宋体"/>
          <w:color w:val="1F4E79"/>
          <w:sz w:val="20"/>
        </w:rPr>
        <w:t>8. 数据、实验与评价体系</w:t>
      </w:r>
    </w:p>
    <w:p ns2:paraId="2C00B466">
      <w:pPr>
        <w:spacing w:after="40"/>
        <w:rPr>
          <w:rFonts w:hint="eastAsia" w:ascii="宋体" w:hAnsi="宋体" w:eastAsia="宋体" w:cs="宋体"/>
        </w:rPr>
      </w:pPr>
      <w:r>
        <w:rPr>
          <w:rFonts w:hint="eastAsia" w:ascii="宋体" w:hAnsi="宋体" w:eastAsia="宋体" w:cs="宋体"/>
          <w:color w:val="1F4E79"/>
          <w:sz w:val="20"/>
        </w:rPr>
        <w:t>9. MVP、演示与产品形态</w:t>
      </w:r>
    </w:p>
    <w:p ns2:paraId="63661AC0">
      <w:pPr>
        <w:spacing w:after="40"/>
        <w:rPr>
          <w:rFonts w:hint="eastAsia" w:ascii="宋体" w:hAnsi="宋体" w:eastAsia="宋体" w:cs="宋体"/>
        </w:rPr>
      </w:pPr>
      <w:r>
        <w:rPr>
          <w:rFonts w:hint="eastAsia" w:ascii="宋体" w:hAnsi="宋体" w:eastAsia="宋体" w:cs="宋体"/>
          <w:color w:val="1F4E79"/>
          <w:sz w:val="20"/>
        </w:rPr>
        <w:t>10. 目标市场与客户画像</w:t>
      </w:r>
    </w:p>
    <w:p ns2:paraId="0D0CE5FA">
      <w:pPr>
        <w:spacing w:after="40"/>
        <w:rPr>
          <w:rFonts w:hint="eastAsia" w:ascii="宋体" w:hAnsi="宋体" w:eastAsia="宋体" w:cs="宋体"/>
        </w:rPr>
      </w:pPr>
      <w:r>
        <w:rPr>
          <w:rFonts w:hint="eastAsia" w:ascii="宋体" w:hAnsi="宋体" w:eastAsia="宋体" w:cs="宋体"/>
          <w:color w:val="1F4E79"/>
          <w:sz w:val="20"/>
        </w:rPr>
        <w:t>11. 竞争格局与差异化壁垒</w:t>
      </w:r>
    </w:p>
    <w:p ns2:paraId="24ACE603">
      <w:pPr>
        <w:spacing w:after="40"/>
        <w:rPr>
          <w:rFonts w:hint="eastAsia" w:ascii="宋体" w:hAnsi="宋体" w:eastAsia="宋体" w:cs="宋体"/>
        </w:rPr>
      </w:pPr>
      <w:r>
        <w:rPr>
          <w:rFonts w:hint="eastAsia" w:ascii="宋体" w:hAnsi="宋体" w:eastAsia="宋体" w:cs="宋体"/>
          <w:color w:val="1F4E79"/>
          <w:sz w:val="20"/>
        </w:rPr>
        <w:t>12. 商业模式与定价</w:t>
      </w:r>
    </w:p>
    <w:p ns2:paraId="4FBCE292">
      <w:pPr>
        <w:spacing w:after="40"/>
        <w:rPr>
          <w:rFonts w:hint="eastAsia" w:ascii="宋体" w:hAnsi="宋体" w:eastAsia="宋体" w:cs="宋体"/>
        </w:rPr>
      </w:pPr>
      <w:r>
        <w:rPr>
          <w:rFonts w:hint="eastAsia" w:ascii="宋体" w:hAnsi="宋体" w:eastAsia="宋体" w:cs="宋体"/>
          <w:color w:val="1F4E79"/>
          <w:sz w:val="20"/>
        </w:rPr>
        <w:t>13. 市场进入与机构落地路径</w:t>
      </w:r>
    </w:p>
    <w:p ns2:paraId="524F72D5">
      <w:pPr>
        <w:spacing w:after="40"/>
        <w:rPr>
          <w:rFonts w:hint="eastAsia" w:ascii="宋体" w:hAnsi="宋体" w:eastAsia="宋体" w:cs="宋体"/>
        </w:rPr>
      </w:pPr>
      <w:r>
        <w:rPr>
          <w:rFonts w:hint="eastAsia" w:ascii="宋体" w:hAnsi="宋体" w:eastAsia="宋体" w:cs="宋体"/>
          <w:color w:val="1F4E79"/>
          <w:sz w:val="20"/>
        </w:rPr>
        <w:t>14. 合规、风险治理与知识产权</w:t>
      </w:r>
    </w:p>
    <w:p ns2:paraId="19B2039A">
      <w:pPr>
        <w:spacing w:after="40"/>
        <w:rPr>
          <w:rFonts w:hint="eastAsia" w:ascii="宋体" w:hAnsi="宋体" w:eastAsia="宋体" w:cs="宋体"/>
        </w:rPr>
      </w:pPr>
      <w:r>
        <w:rPr>
          <w:rFonts w:hint="eastAsia" w:ascii="宋体" w:hAnsi="宋体" w:eastAsia="宋体" w:cs="宋体"/>
          <w:color w:val="1F4E79"/>
          <w:sz w:val="20"/>
        </w:rPr>
        <w:t>1</w:t>
      </w:r>
      <w:r>
        <w:rPr>
          <w:rFonts w:hint="eastAsia" w:ascii="宋体" w:hAnsi="宋体" w:eastAsia="宋体" w:cs="宋体"/>
          <w:color w:val="1F4E79"/>
          <w:sz w:val="20"/>
          <w:lang w:val="en-US" w:eastAsia="zh-CN"/>
        </w:rPr>
        <w:t>5</w:t>
      </w:r>
      <w:r>
        <w:rPr>
          <w:rFonts w:hint="eastAsia" w:ascii="宋体" w:hAnsi="宋体" w:eastAsia="宋体" w:cs="宋体"/>
          <w:color w:val="1F4E79"/>
          <w:sz w:val="20"/>
        </w:rPr>
        <w:t>. 里程碑与研发路线</w:t>
      </w:r>
    </w:p>
    <w:p ns2:paraId="61475223">
      <w:pPr>
        <w:spacing w:after="40"/>
        <w:rPr>
          <w:rFonts w:hint="eastAsia" w:ascii="宋体" w:hAnsi="宋体" w:eastAsia="宋体" w:cs="宋体"/>
        </w:rPr>
      </w:pPr>
      <w:r>
        <w:rPr>
          <w:rFonts w:hint="eastAsia" w:ascii="宋体" w:hAnsi="宋体" w:eastAsia="宋体" w:cs="宋体"/>
          <w:color w:val="1F4E79"/>
          <w:sz w:val="20"/>
        </w:rPr>
        <w:t>1</w:t>
      </w:r>
      <w:r>
        <w:rPr>
          <w:rFonts w:hint="eastAsia" w:ascii="宋体" w:hAnsi="宋体" w:eastAsia="宋体" w:cs="宋体"/>
          <w:color w:val="1F4E79"/>
          <w:sz w:val="20"/>
          <w:lang w:val="en-US" w:eastAsia="zh-CN"/>
        </w:rPr>
        <w:t>6</w:t>
      </w:r>
      <w:r>
        <w:rPr>
          <w:rFonts w:hint="eastAsia" w:ascii="宋体" w:hAnsi="宋体" w:eastAsia="宋体" w:cs="宋体"/>
          <w:color w:val="1F4E79"/>
          <w:sz w:val="20"/>
        </w:rPr>
        <w:t>. 三年财务情景测算</w:t>
      </w:r>
    </w:p>
    <w:p ns2:paraId="536790FB">
      <w:pPr>
        <w:spacing w:after="40"/>
        <w:rPr>
          <w:rFonts w:hint="eastAsia" w:ascii="宋体" w:hAnsi="宋体" w:eastAsia="宋体" w:cs="宋体"/>
        </w:rPr>
      </w:pPr>
      <w:r>
        <w:rPr>
          <w:rFonts w:hint="eastAsia" w:ascii="宋体" w:hAnsi="宋体" w:eastAsia="宋体" w:cs="宋体"/>
          <w:color w:val="1F4E79"/>
          <w:sz w:val="20"/>
        </w:rPr>
        <w:t>1</w:t>
      </w:r>
      <w:r>
        <w:rPr>
          <w:rFonts w:hint="eastAsia" w:ascii="宋体" w:hAnsi="宋体" w:eastAsia="宋体" w:cs="宋体"/>
          <w:color w:val="1F4E79"/>
          <w:sz w:val="20"/>
          <w:lang w:val="en-US" w:eastAsia="zh-CN"/>
        </w:rPr>
        <w:t>7</w:t>
      </w:r>
      <w:r>
        <w:rPr>
          <w:rFonts w:hint="eastAsia" w:ascii="宋体" w:hAnsi="宋体" w:eastAsia="宋体" w:cs="宋体"/>
          <w:color w:val="1F4E79"/>
          <w:sz w:val="20"/>
        </w:rPr>
        <w:t>. 项目价值</w:t>
      </w:r>
      <w:r>
        <w:rPr>
          <w:rFonts w:hint="eastAsia" w:ascii="宋体" w:hAnsi="宋体" w:eastAsia="宋体" w:cs="宋体"/>
          <w:color w:val="1F4E79"/>
          <w:sz w:val="20"/>
          <w:lang w:val="en-US" w:eastAsia="zh-CN"/>
        </w:rPr>
        <w:t>与</w:t>
      </w:r>
      <w:r>
        <w:rPr>
          <w:rFonts w:hint="eastAsia" w:ascii="宋体" w:hAnsi="宋体" w:eastAsia="宋体" w:cs="宋体"/>
          <w:color w:val="1F4E79"/>
          <w:sz w:val="20"/>
        </w:rPr>
        <w:t>愿景</w:t>
      </w:r>
    </w:p>
    <w:p ns2:paraId="4B3A60EC">
      <w:pPr>
        <w:rPr>
          <w:rFonts w:hint="eastAsia" w:ascii="宋体" w:hAnsi="宋体" w:eastAsia="宋体" w:cs="宋体"/>
        </w:rPr>
      </w:pPr>
      <w:r>
        <w:rPr>
          <w:rFonts w:hint="eastAsia" w:ascii="宋体" w:hAnsi="宋体" w:eastAsia="宋体" w:cs="宋体"/>
        </w:rPr>
        <w:br w:type="page"/>
      </w:r>
    </w:p>
    <w:p ns2:paraId="1BA27C1F">
      <w:pPr>
        <w:pStyle w:val="3"/>
        <w:keepNext/>
        <w:spacing w:before="240" w:after="120"/>
        <w:rPr>
          <w:rFonts w:hint="eastAsia" w:ascii="宋体" w:hAnsi="宋体" w:eastAsia="宋体" w:cs="宋体"/>
        </w:rPr>
      </w:pPr>
      <w:r>
        <w:rPr>
          <w:rFonts w:hint="eastAsia" w:ascii="宋体" w:hAnsi="宋体" w:eastAsia="宋体" w:cs="宋体"/>
          <w:b/>
          <w:color w:val="17365D"/>
          <w:sz w:val="32"/>
        </w:rPr>
        <w:t>1. 执行摘要</w:t>
      </w:r>
    </w:p>
    <w:p ns2:paraId="0C95F695">
      <w:pPr>
        <w:pStyle w:val="4"/>
        <w:keepNext/>
        <w:spacing w:before="140" w:after="120"/>
        <w:rPr>
          <w:rFonts w:hint="eastAsia" w:ascii="宋体" w:hAnsi="宋体" w:eastAsia="宋体" w:cs="宋体"/>
          <w:lang w:val="en-US" w:eastAsia="zh-CN"/>
        </w:rPr>
      </w:pPr>
      <w:r>
        <w:rPr>
          <w:rFonts w:hint="eastAsia" w:ascii="宋体" w:hAnsi="宋体" w:eastAsia="宋体" w:cs="宋体"/>
          <w:b/>
          <w:color w:val="1F4E79"/>
          <w:sz w:val="26"/>
        </w:rPr>
        <w:t>1.1 项目</w:t>
      </w:r>
      <w:r>
        <w:rPr>
          <w:rFonts w:hint="eastAsia" w:ascii="宋体" w:hAnsi="宋体" w:eastAsia="宋体" w:cs="宋体"/>
          <w:b/>
          <w:color w:val="1F4E79"/>
          <w:sz w:val="26"/>
          <w:lang w:val="en-US" w:eastAsia="zh-CN"/>
        </w:rPr>
        <w:t>简介</w:t>
      </w:r>
    </w:p>
    <w:p ns2:paraId="45A3D7C3">
      <w:pPr>
        <w:spacing w:after="100" w:line="300" w:lineRule="auto"/>
        <w:ind w:firstLine="420"/>
        <w:rPr>
          <w:rFonts w:hint="eastAsia" w:ascii="宋体" w:hAnsi="宋体" w:eastAsia="宋体" w:cs="宋体"/>
        </w:rPr>
      </w:pPr>
      <w:r>
        <w:rPr>
          <w:rFonts w:hint="eastAsia" w:ascii="宋体" w:hAnsi="宋体" w:eastAsia="宋体" w:cs="宋体"/>
          <w:sz w:val="21"/>
        </w:rPr>
        <w:t>AlphaOrchestra是一套面向量化投研机构的市场状态驱动多智能体决策编排平台：系统不再每天无差别调用全部LLM投资者Agent，而是根据市场状态、专家历史能力、信息互补性与调用成本，先动态选择“今天应该问谁”，再诊断专家之间“为什么不同意”，最后决定“应该信谁多少、是否追加定向讨论、何时应当弃权”。</w:t>
      </w:r>
    </w:p>
    <w:p ns2:paraId="2FBAA08D">
      <w:pPr>
        <w:spacing w:after="100" w:line="300" w:lineRule="auto"/>
        <w:ind w:firstLine="420"/>
        <w:rPr>
          <w:rFonts w:hint="eastAsia" w:ascii="宋体" w:hAnsi="宋体" w:eastAsia="宋体" w:cs="宋体"/>
        </w:rPr>
      </w:pPr>
      <w:r>
        <w:rPr>
          <w:rFonts w:hint="eastAsia" w:ascii="宋体" w:hAnsi="宋体" w:eastAsia="宋体" w:cs="宋体"/>
          <w:sz w:val="21"/>
        </w:rPr>
        <w:t>比如，某日为政策冲击日，Router没有唤醒全部候选Agent，而是依据市场状态只调用12个信息互补的专家，Token与调用费用随之大幅下降；当基本面Agent与新闻Agent对同一标的给出相反判断时，系统先诊断冲突来源，再发起一次有边界的定向讨论，最终输出可审计的信号与决策理由。</w:t>
      </w:r>
    </w:p>
    <w:p ns2:paraId="6FFB84DC">
      <w:pPr>
        <w:pStyle w:val="4"/>
        <w:keepNext/>
        <w:spacing w:before="140" w:after="120"/>
        <w:rPr>
          <w:rFonts w:hint="eastAsia" w:ascii="宋体" w:hAnsi="宋体" w:eastAsia="宋体" w:cs="宋体"/>
        </w:rPr>
      </w:pPr>
      <w:r>
        <w:rPr>
          <w:rFonts w:hint="eastAsia" w:ascii="宋体" w:hAnsi="宋体" w:eastAsia="宋体" w:cs="宋体"/>
          <w:b/>
          <w:color w:val="1F4E79"/>
          <w:sz w:val="26"/>
        </w:rPr>
        <w:t>1.2 项目从哪里来</w:t>
      </w:r>
    </w:p>
    <w:p ns2:paraId="186353C5">
      <w:pPr>
        <w:spacing w:after="100" w:line="300" w:lineRule="auto"/>
        <w:ind w:firstLine="420"/>
        <w:rPr>
          <w:rFonts w:hint="eastAsia" w:ascii="宋体" w:hAnsi="宋体" w:eastAsia="宋体" w:cs="宋体"/>
        </w:rPr>
      </w:pPr>
      <w:r>
        <w:rPr>
          <w:rFonts w:hint="eastAsia" w:ascii="宋体" w:hAnsi="宋体" w:eastAsia="宋体" w:cs="宋体"/>
          <w:sz w:val="21"/>
        </w:rPr>
        <w:t>在相关研究中，MASS（Multi-Agent Simulation Scaling for Portfolio Construction）是具有代表性的多智能体组合构建方法之一。MASS将异构LLM投资者Agent直接用于组合构建：每日前向阶段由不同投资风格与不同数据模态的Agent生成投资决策，再用共识与分歧形成股票信号；日后通过Backward Optimization动态调整Agent Type权重。论文报告其在2023年A股多个股票池以及2025年一季度未见数据上的有效性，并开放代码与SSE50示例数据，可作为本项目实验中的公开对比基线。</w:t>
      </w:r>
    </w:p>
    <w:p ns2:paraId="5A03B410">
      <w:pPr>
        <w:spacing w:after="100" w:line="300" w:lineRule="auto"/>
        <w:ind w:firstLine="420"/>
        <w:rPr>
          <w:rFonts w:hint="eastAsia" w:ascii="宋体" w:hAnsi="宋体" w:eastAsia="宋体" w:cs="宋体"/>
        </w:rPr>
      </w:pPr>
      <w:r>
        <w:rPr>
          <w:rFonts w:hint="eastAsia" w:ascii="宋体" w:hAnsi="宋体" w:eastAsia="宋体" w:cs="宋体"/>
          <w:sz w:val="21"/>
        </w:rPr>
        <w:t>MASS验证了“Agent越多越强”的Scaling方向，而AlphaOrchestra回答的是Scaling之后的经济性与治理问题——用有限预算选出最有效的独立信息通道，让智能体之间的分歧可诊断、可治理、可审计。</w:t>
      </w:r>
    </w:p>
    <w:p ns2:paraId="318337B9">
      <w:pPr>
        <w:spacing w:after="100" w:line="300" w:lineRule="auto"/>
        <w:ind w:firstLine="420"/>
        <w:rPr>
          <w:rFonts w:hint="eastAsia" w:ascii="宋体" w:hAnsi="宋体" w:eastAsia="宋体" w:cs="宋体"/>
        </w:rPr>
      </w:pPr>
      <w:r>
        <w:rPr>
          <w:rFonts w:hint="eastAsia" w:ascii="宋体" w:hAnsi="宋体" w:eastAsia="宋体" w:cs="宋体"/>
          <w:sz w:val="21"/>
        </w:rPr>
        <w:t>AlphaOrchestra的创新不在于替换某一个现有优化器，而是独立设计并形成三层可验证的智能体机制：①事前Routing与事后Aggregation的双阶段编排；②结构化分歧诊断与条件式Debate/Abstention；③兼顾信息多样性、冗余、Token/API成本和市场复杂度的自适应计算预算。最终逻辑是“Who to ask → Why they disagree → Who to trust → How much to think”。</w:t>
      </w:r>
    </w:p>
    <w:p ns2:paraId="72C7B6C4">
      <w:pPr>
        <w:pStyle w:val="4"/>
        <w:keepNext/>
        <w:spacing w:before="140" w:after="120"/>
        <w:rPr>
          <w:rFonts w:hint="eastAsia" w:ascii="宋体" w:hAnsi="宋体" w:eastAsia="宋体" w:cs="宋体"/>
        </w:rPr>
      </w:pPr>
      <w:r>
        <w:rPr>
          <w:rFonts w:hint="eastAsia" w:ascii="宋体" w:hAnsi="宋体" w:eastAsia="宋体" w:cs="宋体"/>
          <w:b/>
          <w:color w:val="1F4E79"/>
          <w:sz w:val="26"/>
        </w:rPr>
        <w:t>1.3 为什么有商业价值</w:t>
      </w:r>
    </w:p>
    <w:p ns2:paraId="43CDE954">
      <w:pPr>
        <w:spacing w:after="100" w:line="300" w:lineRule="auto"/>
        <w:ind w:firstLine="420"/>
        <w:rPr>
          <w:rFonts w:hint="eastAsia" w:ascii="宋体" w:hAnsi="宋体" w:eastAsia="宋体" w:cs="宋体"/>
        </w:rPr>
      </w:pPr>
      <w:r>
        <w:rPr>
          <w:rFonts w:hint="eastAsia" w:ascii="宋体" w:hAnsi="宋体" w:eastAsia="宋体" w:cs="宋体"/>
          <w:sz w:val="21"/>
        </w:rPr>
        <w:t>MASS论文已经显示大规模多Agent的现实成本：在512-Agent配置下，论文报告SSE50、CSI300、创业板100的平均单日API费用分别约为0.679、2.265、1.192美元，对应平均耗时125、378、227秒；尽管作者通过缓存与低频更新降低成本，但随着模型更强、数据模态更多、机构要求更高，冗余Agent调用、冲突解释与实时延迟会成为工程瓶颈。</w:t>
      </w:r>
    </w:p>
    <w:p ns2:paraId="62C4E71A">
      <w:pPr>
        <w:spacing w:after="100" w:line="300" w:lineRule="auto"/>
        <w:ind w:firstLine="420"/>
        <w:rPr>
          <w:rFonts w:hint="eastAsia" w:ascii="宋体" w:hAnsi="宋体" w:eastAsia="宋体" w:cs="宋体"/>
        </w:rPr>
      </w:pPr>
      <w:r>
        <w:rPr>
          <w:rFonts w:hint="eastAsia" w:ascii="宋体" w:hAnsi="宋体" w:eastAsia="宋体" w:cs="宋体"/>
          <w:sz w:val="21"/>
        </w:rPr>
        <w:t>AlphaOrchestra的商业价值不承诺“保证收益”，而是面向机构量化投研的三个可量化目标：在相近的RankIC/Sharpe水平下减少冗余Agent调用和推理成本；在Regime切换时更快调整专家组合；把“为什么选这些专家、为什么对某个冲突触发Debate、为什么降低仓位”转化为可审计的Evidence Trace。</w:t>
      </w:r>
    </w:p>
    <w:p ns2:paraId="29ACDA6E">
      <w:pPr>
        <w:pStyle w:val="4"/>
        <w:keepNext/>
        <w:spacing w:before="140" w:after="120"/>
        <w:rPr>
          <w:rFonts w:hint="eastAsia" w:ascii="宋体" w:hAnsi="宋体" w:eastAsia="宋体" w:cs="宋体"/>
        </w:rPr>
      </w:pPr>
      <w:r>
        <w:rPr>
          <w:rFonts w:hint="eastAsia" w:ascii="宋体" w:hAnsi="宋体" w:eastAsia="宋体" w:cs="宋体"/>
          <w:b/>
          <w:color w:val="1F4E79"/>
          <w:sz w:val="26"/>
        </w:rPr>
        <w:t>1.4 当前阶段与本次比赛交付</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742"/>
        <w:gridCol w:w="4195"/>
      </w:tblGrid>
      <w:tr ns2:paraId="0594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1F4E79"/>
            <w:tcMar>
              <w:top w:w="90" w:type="dxa"/>
              <w:left w:w="90" w:type="dxa"/>
              <w:bottom w:w="90" w:type="dxa"/>
              <w:right w:w="90" w:type="dxa"/>
            </w:tcMar>
            <w:vAlign w:val="center"/>
          </w:tcPr>
          <w:p ns2:paraId="16112BC0">
            <w:pPr>
              <w:spacing w:after="0" w:line="240" w:lineRule="auto"/>
              <w:jc w:val="center"/>
              <w:rPr>
                <w:rFonts w:hint="eastAsia" w:ascii="宋体" w:hAnsi="宋体" w:eastAsia="宋体" w:cs="宋体"/>
              </w:rPr>
            </w:pPr>
            <w:r>
              <w:rPr>
                <w:rFonts w:hint="eastAsia" w:ascii="宋体" w:hAnsi="宋体" w:eastAsia="宋体" w:cs="宋体"/>
                <w:b/>
                <w:color w:val="FFFFFF"/>
                <w:sz w:val="18"/>
              </w:rPr>
              <w:t>维度</w:t>
            </w:r>
          </w:p>
        </w:tc>
        <w:tc>
          <w:tcPr>
            <w:tcW w:w="3742" w:type="dxa"/>
            <w:shd w:val="clear" w:color="auto" w:fill="1F4E79"/>
            <w:tcMar>
              <w:top w:w="90" w:type="dxa"/>
              <w:left w:w="90" w:type="dxa"/>
              <w:bottom w:w="90" w:type="dxa"/>
              <w:right w:w="90" w:type="dxa"/>
            </w:tcMar>
            <w:vAlign w:val="center"/>
          </w:tcPr>
          <w:p ns2:paraId="430786ED">
            <w:pPr>
              <w:spacing w:after="0" w:line="240" w:lineRule="auto"/>
              <w:jc w:val="center"/>
              <w:rPr>
                <w:rFonts w:hint="eastAsia" w:ascii="宋体" w:hAnsi="宋体" w:eastAsia="宋体" w:cs="宋体"/>
              </w:rPr>
            </w:pPr>
            <w:r>
              <w:rPr>
                <w:rFonts w:hint="eastAsia" w:ascii="宋体" w:hAnsi="宋体" w:eastAsia="宋体" w:cs="宋体"/>
                <w:b/>
                <w:color w:val="FFFFFF"/>
                <w:sz w:val="18"/>
              </w:rPr>
              <w:t>当前状态</w:t>
            </w:r>
          </w:p>
        </w:tc>
        <w:tc>
          <w:tcPr>
            <w:tcW w:w="4195" w:type="dxa"/>
            <w:shd w:val="clear" w:color="auto" w:fill="1F4E79"/>
            <w:tcMar>
              <w:top w:w="90" w:type="dxa"/>
              <w:left w:w="90" w:type="dxa"/>
              <w:bottom w:w="90" w:type="dxa"/>
              <w:right w:w="90" w:type="dxa"/>
            </w:tcMar>
            <w:vAlign w:val="center"/>
          </w:tcPr>
          <w:p ns2:paraId="7B0E3B73">
            <w:pPr>
              <w:spacing w:after="0" w:line="240" w:lineRule="auto"/>
              <w:jc w:val="center"/>
              <w:rPr>
                <w:rFonts w:hint="eastAsia" w:ascii="宋体" w:hAnsi="宋体" w:eastAsia="宋体" w:cs="宋体"/>
              </w:rPr>
            </w:pPr>
            <w:r>
              <w:rPr>
                <w:rFonts w:hint="eastAsia" w:ascii="宋体" w:hAnsi="宋体" w:eastAsia="宋体" w:cs="宋体"/>
                <w:b/>
                <w:color w:val="FFFFFF"/>
                <w:sz w:val="18"/>
              </w:rPr>
              <w:t>本次比赛目标</w:t>
            </w:r>
          </w:p>
        </w:tc>
      </w:tr>
      <w:tr ns2:paraId="5AC5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5" w:type="dxa"/>
              <w:left w:w="85" w:type="dxa"/>
              <w:bottom w:w="75" w:type="dxa"/>
              <w:right w:w="85" w:type="dxa"/>
            </w:tcMar>
            <w:vAlign w:val="center"/>
          </w:tcPr>
          <w:p ns2:paraId="2CA93868">
            <w:pPr>
              <w:spacing w:after="0" w:line="252" w:lineRule="auto"/>
              <w:rPr>
                <w:rFonts w:hint="eastAsia" w:ascii="宋体" w:hAnsi="宋体" w:eastAsia="宋体" w:cs="宋体"/>
              </w:rPr>
            </w:pPr>
            <w:r>
              <w:rPr>
                <w:rFonts w:hint="eastAsia" w:ascii="宋体" w:hAnsi="宋体" w:eastAsia="宋体" w:cs="宋体"/>
                <w:sz w:val="18"/>
              </w:rPr>
              <w:t>对比基线</w:t>
            </w:r>
          </w:p>
        </w:tc>
        <w:tc>
          <w:tcPr>
            <w:tcW w:w="3742" w:type="dxa"/>
            <w:tcMar>
              <w:top w:w="75" w:type="dxa"/>
              <w:left w:w="85" w:type="dxa"/>
              <w:bottom w:w="75" w:type="dxa"/>
              <w:right w:w="85" w:type="dxa"/>
            </w:tcMar>
            <w:vAlign w:val="center"/>
          </w:tcPr>
          <w:p ns2:paraId="03B220E9">
            <w:pPr>
              <w:spacing w:after="0" w:line="252" w:lineRule="auto"/>
              <w:rPr>
                <w:rFonts w:hint="eastAsia" w:ascii="宋体" w:hAnsi="宋体" w:eastAsia="宋体" w:cs="宋体"/>
              </w:rPr>
            </w:pPr>
            <w:r>
              <w:rPr>
                <w:rFonts w:hint="eastAsia" w:ascii="宋体" w:hAnsi="宋体" w:eastAsia="宋体" w:cs="宋体"/>
                <w:sz w:val="18"/>
              </w:rPr>
              <w:t>MASS等公开论文、SSE50示例数据及可复现实验资源可用</w:t>
            </w:r>
          </w:p>
        </w:tc>
        <w:tc>
          <w:tcPr>
            <w:tcW w:w="4195" w:type="dxa"/>
            <w:tcMar>
              <w:top w:w="75" w:type="dxa"/>
              <w:left w:w="85" w:type="dxa"/>
              <w:bottom w:w="75" w:type="dxa"/>
              <w:right w:w="85" w:type="dxa"/>
            </w:tcMar>
            <w:vAlign w:val="center"/>
          </w:tcPr>
          <w:p ns2:paraId="46BFCB76">
            <w:pPr>
              <w:spacing w:after="0" w:line="252" w:lineRule="auto"/>
              <w:rPr>
                <w:rFonts w:hint="eastAsia" w:ascii="宋体" w:hAnsi="宋体" w:eastAsia="宋体" w:cs="宋体"/>
              </w:rPr>
            </w:pPr>
            <w:r>
              <w:rPr>
                <w:rFonts w:hint="eastAsia" w:ascii="宋体" w:hAnsi="宋体" w:eastAsia="宋体" w:cs="宋体"/>
                <w:sz w:val="18"/>
              </w:rPr>
              <w:t>完成统一Benchmark复现与实验脚本</w:t>
            </w:r>
          </w:p>
        </w:tc>
      </w:tr>
      <w:tr ns2:paraId="5560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9FC"/>
            <w:tcMar>
              <w:top w:w="75" w:type="dxa"/>
              <w:left w:w="85" w:type="dxa"/>
              <w:bottom w:w="75" w:type="dxa"/>
              <w:right w:w="85" w:type="dxa"/>
            </w:tcMar>
            <w:vAlign w:val="center"/>
          </w:tcPr>
          <w:p ns2:paraId="7DBDD6A1">
            <w:pPr>
              <w:spacing w:after="0" w:line="252" w:lineRule="auto"/>
              <w:rPr>
                <w:rFonts w:hint="eastAsia" w:ascii="宋体" w:hAnsi="宋体" w:eastAsia="宋体" w:cs="宋体"/>
              </w:rPr>
            </w:pPr>
            <w:r>
              <w:rPr>
                <w:rFonts w:hint="eastAsia" w:ascii="宋体" w:hAnsi="宋体" w:eastAsia="宋体" w:cs="宋体"/>
                <w:sz w:val="18"/>
              </w:rPr>
              <w:t>创新方案</w:t>
            </w:r>
          </w:p>
        </w:tc>
        <w:tc>
          <w:tcPr>
            <w:tcW w:w="3742" w:type="dxa"/>
            <w:shd w:val="clear" w:color="auto" w:fill="F7F9FC"/>
            <w:tcMar>
              <w:top w:w="75" w:type="dxa"/>
              <w:left w:w="85" w:type="dxa"/>
              <w:bottom w:w="75" w:type="dxa"/>
              <w:right w:w="85" w:type="dxa"/>
            </w:tcMar>
            <w:vAlign w:val="center"/>
          </w:tcPr>
          <w:p ns2:paraId="5EC45E22">
            <w:pPr>
              <w:spacing w:after="0" w:line="252" w:lineRule="auto"/>
              <w:rPr>
                <w:rFonts w:hint="eastAsia" w:ascii="宋体" w:hAnsi="宋体" w:eastAsia="宋体" w:cs="宋体"/>
              </w:rPr>
            </w:pPr>
            <w:r>
              <w:rPr>
                <w:rFonts w:hint="eastAsia" w:ascii="宋体" w:hAnsi="宋体" w:eastAsia="宋体" w:cs="宋体"/>
                <w:sz w:val="18"/>
              </w:rPr>
              <w:t>三项创新已完成模块级设计；其中市场状态编码、智能体路由、基础分歧诊断与风险暴露控制初版已实现，并完成阶段性验证实验（见8.2节）</w:t>
            </w:r>
          </w:p>
        </w:tc>
        <w:tc>
          <w:tcPr>
            <w:tcW w:w="4195" w:type="dxa"/>
            <w:shd w:val="clear" w:color="auto" w:fill="F7F9FC"/>
            <w:tcMar>
              <w:top w:w="75" w:type="dxa"/>
              <w:left w:w="85" w:type="dxa"/>
              <w:bottom w:w="75" w:type="dxa"/>
              <w:right w:w="85" w:type="dxa"/>
            </w:tcMar>
            <w:vAlign w:val="center"/>
          </w:tcPr>
          <w:p ns2:paraId="77CF89CD">
            <w:pPr>
              <w:spacing w:after="0" w:line="252" w:lineRule="auto"/>
              <w:rPr>
                <w:rFonts w:hint="eastAsia" w:ascii="宋体" w:hAnsi="宋体" w:eastAsia="宋体" w:cs="宋体"/>
              </w:rPr>
            </w:pPr>
            <w:r>
              <w:rPr>
                <w:rFonts w:hint="eastAsia" w:ascii="宋体" w:hAnsi="宋体" w:eastAsia="宋体" w:cs="宋体"/>
                <w:sz w:val="18"/>
              </w:rPr>
              <w:t>补齐定向Debate/Abstention、Agent相似度矩阵与动态计算预算，形成完整闭环并通过规模化消融验证</w:t>
            </w:r>
          </w:p>
        </w:tc>
      </w:tr>
      <w:tr ns2:paraId="48DD1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5" w:type="dxa"/>
              <w:left w:w="85" w:type="dxa"/>
              <w:bottom w:w="75" w:type="dxa"/>
              <w:right w:w="85" w:type="dxa"/>
            </w:tcMar>
            <w:vAlign w:val="center"/>
          </w:tcPr>
          <w:p ns2:paraId="086B7548">
            <w:pPr>
              <w:spacing w:after="0" w:line="252" w:lineRule="auto"/>
              <w:rPr>
                <w:rFonts w:hint="eastAsia" w:ascii="宋体" w:hAnsi="宋体" w:eastAsia="宋体" w:cs="宋体"/>
              </w:rPr>
            </w:pPr>
            <w:r>
              <w:rPr>
                <w:rFonts w:hint="eastAsia" w:ascii="宋体" w:hAnsi="宋体" w:eastAsia="宋体" w:cs="宋体"/>
                <w:sz w:val="18"/>
              </w:rPr>
              <w:t>实验</w:t>
            </w:r>
          </w:p>
        </w:tc>
        <w:tc>
          <w:tcPr>
            <w:tcW w:w="3742" w:type="dxa"/>
            <w:tcMar>
              <w:top w:w="75" w:type="dxa"/>
              <w:left w:w="85" w:type="dxa"/>
              <w:bottom w:w="75" w:type="dxa"/>
              <w:right w:w="85" w:type="dxa"/>
            </w:tcMar>
            <w:vAlign w:val="center"/>
          </w:tcPr>
          <w:p ns2:paraId="677129FA">
            <w:pPr>
              <w:spacing w:after="0" w:line="252" w:lineRule="auto"/>
              <w:rPr>
                <w:rFonts w:hint="eastAsia" w:ascii="宋体" w:hAnsi="宋体" w:eastAsia="宋体" w:cs="宋体"/>
              </w:rPr>
            </w:pPr>
            <w:r>
              <w:rPr>
                <w:rFonts w:hint="eastAsia" w:ascii="宋体" w:hAnsi="宋体" w:eastAsia="宋体" w:cs="宋体"/>
                <w:sz w:val="18"/>
              </w:rPr>
              <w:t>已完成端到端阶段性验证实验：全流程跑通并产出IC/RankIC评估结果（见8.2节），未将规划目标冒充已实现结果</w:t>
            </w:r>
          </w:p>
        </w:tc>
        <w:tc>
          <w:tcPr>
            <w:tcW w:w="4195" w:type="dxa"/>
            <w:tcMar>
              <w:top w:w="75" w:type="dxa"/>
              <w:left w:w="85" w:type="dxa"/>
              <w:bottom w:w="75" w:type="dxa"/>
              <w:right w:w="85" w:type="dxa"/>
            </w:tcMar>
            <w:vAlign w:val="center"/>
          </w:tcPr>
          <w:p ns2:paraId="13024FDC">
            <w:pPr>
              <w:spacing w:after="0" w:line="252" w:lineRule="auto"/>
              <w:rPr>
                <w:rFonts w:hint="eastAsia" w:ascii="宋体" w:hAnsi="宋体" w:eastAsia="宋体" w:cs="宋体"/>
              </w:rPr>
            </w:pPr>
            <w:r>
              <w:rPr>
                <w:rFonts w:hint="eastAsia" w:ascii="宋体" w:hAnsi="宋体" w:eastAsia="宋体" w:cs="宋体"/>
                <w:sz w:val="18"/>
              </w:rPr>
              <w:t>完成核心消融、性能–成本前沿和Regime解释性实验</w:t>
            </w:r>
          </w:p>
        </w:tc>
      </w:tr>
      <w:tr ns2:paraId="73AA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9FC"/>
            <w:tcMar>
              <w:top w:w="75" w:type="dxa"/>
              <w:left w:w="85" w:type="dxa"/>
              <w:bottom w:w="75" w:type="dxa"/>
              <w:right w:w="85" w:type="dxa"/>
            </w:tcMar>
            <w:vAlign w:val="center"/>
          </w:tcPr>
          <w:p ns2:paraId="45160134">
            <w:pPr>
              <w:spacing w:after="0" w:line="252" w:lineRule="auto"/>
              <w:rPr>
                <w:rFonts w:hint="eastAsia" w:ascii="宋体" w:hAnsi="宋体" w:eastAsia="宋体" w:cs="宋体"/>
              </w:rPr>
            </w:pPr>
            <w:r>
              <w:rPr>
                <w:rFonts w:hint="eastAsia" w:ascii="宋体" w:hAnsi="宋体" w:eastAsia="宋体" w:cs="宋体"/>
                <w:sz w:val="18"/>
              </w:rPr>
              <w:t>产品</w:t>
            </w:r>
          </w:p>
        </w:tc>
        <w:tc>
          <w:tcPr>
            <w:tcW w:w="3742" w:type="dxa"/>
            <w:shd w:val="clear" w:color="auto" w:fill="F7F9FC"/>
            <w:tcMar>
              <w:top w:w="75" w:type="dxa"/>
              <w:left w:w="85" w:type="dxa"/>
              <w:bottom w:w="75" w:type="dxa"/>
              <w:right w:w="85" w:type="dxa"/>
            </w:tcMar>
            <w:vAlign w:val="center"/>
          </w:tcPr>
          <w:p ns2:paraId="6711EF61">
            <w:pPr>
              <w:spacing w:after="0" w:line="252" w:lineRule="auto"/>
              <w:rPr>
                <w:rFonts w:hint="eastAsia" w:ascii="宋体" w:hAnsi="宋体" w:eastAsia="宋体" w:cs="宋体"/>
              </w:rPr>
            </w:pPr>
            <w:r>
              <w:rPr>
                <w:rFonts w:hint="eastAsia" w:ascii="宋体" w:hAnsi="宋体" w:eastAsia="宋体" w:cs="宋体"/>
                <w:sz w:val="18"/>
              </w:rPr>
              <w:t>处于概念验证阶段</w:t>
            </w:r>
          </w:p>
        </w:tc>
        <w:tc>
          <w:tcPr>
            <w:tcW w:w="4195" w:type="dxa"/>
            <w:shd w:val="clear" w:color="auto" w:fill="F7F9FC"/>
            <w:tcMar>
              <w:top w:w="75" w:type="dxa"/>
              <w:left w:w="85" w:type="dxa"/>
              <w:bottom w:w="75" w:type="dxa"/>
              <w:right w:w="85" w:type="dxa"/>
            </w:tcMar>
            <w:vAlign w:val="center"/>
          </w:tcPr>
          <w:p ns2:paraId="26773E97">
            <w:pPr>
              <w:spacing w:after="0" w:line="252" w:lineRule="auto"/>
              <w:rPr>
                <w:rFonts w:hint="eastAsia" w:ascii="宋体" w:hAnsi="宋体" w:eastAsia="宋体" w:cs="宋体"/>
              </w:rPr>
            </w:pPr>
            <w:r>
              <w:rPr>
                <w:rFonts w:hint="eastAsia" w:ascii="宋体" w:hAnsi="宋体" w:eastAsia="宋体" w:cs="宋体"/>
                <w:sz w:val="18"/>
              </w:rPr>
              <w:t>提供可演示Dashboard/Trace与Shadow Mode原型</w:t>
            </w:r>
          </w:p>
        </w:tc>
      </w:tr>
      <w:tr ns2:paraId="31C6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5" w:type="dxa"/>
              <w:left w:w="85" w:type="dxa"/>
              <w:bottom w:w="75" w:type="dxa"/>
              <w:right w:w="85" w:type="dxa"/>
            </w:tcMar>
            <w:vAlign w:val="center"/>
          </w:tcPr>
          <w:p ns2:paraId="1FCD8A9D">
            <w:pPr>
              <w:spacing w:after="0" w:line="252" w:lineRule="auto"/>
              <w:rPr>
                <w:rFonts w:hint="eastAsia" w:ascii="宋体" w:hAnsi="宋体" w:eastAsia="宋体" w:cs="宋体"/>
              </w:rPr>
            </w:pPr>
            <w:r>
              <w:rPr>
                <w:rFonts w:hint="eastAsia" w:ascii="宋体" w:hAnsi="宋体" w:eastAsia="宋体" w:cs="宋体"/>
                <w:sz w:val="18"/>
              </w:rPr>
              <w:t>商业</w:t>
            </w:r>
          </w:p>
        </w:tc>
        <w:tc>
          <w:tcPr>
            <w:tcW w:w="3742" w:type="dxa"/>
            <w:tcMar>
              <w:top w:w="75" w:type="dxa"/>
              <w:left w:w="85" w:type="dxa"/>
              <w:bottom w:w="75" w:type="dxa"/>
              <w:right w:w="85" w:type="dxa"/>
            </w:tcMar>
            <w:vAlign w:val="center"/>
          </w:tcPr>
          <w:p ns2:paraId="47A1A01E">
            <w:pPr>
              <w:spacing w:after="0" w:line="252" w:lineRule="auto"/>
              <w:rPr>
                <w:rFonts w:hint="eastAsia" w:ascii="宋体" w:hAnsi="宋体" w:eastAsia="宋体" w:cs="宋体"/>
              </w:rPr>
            </w:pPr>
            <w:r>
              <w:rPr>
                <w:rFonts w:hint="eastAsia" w:ascii="宋体" w:hAnsi="宋体" w:eastAsia="宋体" w:cs="宋体"/>
                <w:sz w:val="18"/>
              </w:rPr>
              <w:t>尚无已签客户，不虚构订单</w:t>
            </w:r>
          </w:p>
        </w:tc>
        <w:tc>
          <w:tcPr>
            <w:tcW w:w="4195" w:type="dxa"/>
            <w:tcMar>
              <w:top w:w="75" w:type="dxa"/>
              <w:left w:w="85" w:type="dxa"/>
              <w:bottom w:w="75" w:type="dxa"/>
              <w:right w:w="85" w:type="dxa"/>
            </w:tcMar>
            <w:vAlign w:val="center"/>
          </w:tcPr>
          <w:p ns2:paraId="13E8CD11">
            <w:pPr>
              <w:spacing w:after="0" w:line="252" w:lineRule="auto"/>
              <w:rPr>
                <w:rFonts w:hint="eastAsia" w:ascii="宋体" w:hAnsi="宋体" w:eastAsia="宋体" w:cs="宋体"/>
              </w:rPr>
            </w:pPr>
            <w:r>
              <w:rPr>
                <w:rFonts w:hint="eastAsia" w:ascii="宋体" w:hAnsi="宋体" w:eastAsia="宋体" w:cs="宋体"/>
                <w:sz w:val="18"/>
              </w:rPr>
              <w:t>形成机构访谈清单、POC报价与私有化交付方案</w:t>
            </w:r>
          </w:p>
        </w:tc>
      </w:tr>
    </w:tbl>
    <w:p ns2:paraId="5443400A">
      <w:pPr>
        <w:spacing w:after="20"/>
        <w:rPr>
          <w:rFonts w:hint="eastAsia" w:ascii="宋体" w:hAnsi="宋体" w:eastAsia="宋体" w:cs="宋体"/>
        </w:rPr>
      </w:pPr>
    </w:p>
    <w:p ns2:paraId="16CF821D">
      <w:pPr>
        <w:pStyle w:val="3"/>
        <w:keepNext/>
        <w:spacing w:before="240" w:after="120"/>
        <w:rPr>
          <w:rFonts w:hint="eastAsia" w:ascii="宋体" w:hAnsi="宋体" w:eastAsia="宋体" w:cs="宋体"/>
        </w:rPr>
      </w:pPr>
      <w:r>
        <w:rPr>
          <w:rFonts w:hint="eastAsia" w:ascii="宋体" w:hAnsi="宋体" w:eastAsia="宋体" w:cs="宋体"/>
          <w:b/>
          <w:color w:val="17365D"/>
          <w:sz w:val="32"/>
        </w:rPr>
        <w:t>2. 项目背景与行业机会</w:t>
      </w:r>
    </w:p>
    <w:p ns2:paraId="0D744771">
      <w:pPr>
        <w:pStyle w:val="4"/>
        <w:keepNext/>
        <w:spacing w:before="140" w:after="120"/>
        <w:rPr>
          <w:rFonts w:hint="eastAsia" w:ascii="宋体" w:hAnsi="宋体" w:eastAsia="宋体" w:cs="宋体"/>
        </w:rPr>
      </w:pPr>
      <w:r>
        <w:rPr>
          <w:rFonts w:hint="eastAsia" w:ascii="宋体" w:hAnsi="宋体" w:eastAsia="宋体" w:cs="宋体"/>
          <w:b/>
          <w:color w:val="1F4E79"/>
          <w:sz w:val="26"/>
        </w:rPr>
        <w:t>2.1 “为什么现在”：量化与金融Agent同时进入工程化阶段</w:t>
      </w:r>
    </w:p>
    <w:p ns2:paraId="082058C3">
      <w:pPr>
        <w:spacing w:after="100" w:line="300" w:lineRule="auto"/>
        <w:ind w:firstLine="420"/>
        <w:rPr>
          <w:rFonts w:hint="eastAsia" w:ascii="宋体" w:hAnsi="宋体" w:eastAsia="宋体" w:cs="宋体"/>
        </w:rPr>
      </w:pPr>
      <w:r>
        <w:rPr>
          <w:rFonts w:hint="eastAsia" w:ascii="宋体" w:hAnsi="宋体" w:eastAsia="宋体" w:cs="宋体"/>
          <w:sz w:val="21"/>
        </w:rPr>
        <w:t>一方面，中国私募证券基金已经形成大规模机构化市场：中国证券投资基金业协会披露，2025年私募证券投资基金规模首次突破7万亿元。对本项目而言，这一数字并不等同于“量化Agent软件市场规模”，但它说明潜在B2B客户基础庞大，机构在投研效率、系统化决策和风险治理上的需求具有现实基础。</w:t>
      </w:r>
    </w:p>
    <w:p ns2:paraId="1FD72D99">
      <w:pPr>
        <w:spacing w:after="100" w:line="300" w:lineRule="auto"/>
        <w:ind w:firstLine="420"/>
        <w:rPr>
          <w:rFonts w:hint="eastAsia" w:ascii="宋体" w:hAnsi="宋体" w:eastAsia="宋体" w:cs="宋体"/>
        </w:rPr>
      </w:pPr>
      <w:r>
        <w:rPr>
          <w:rFonts w:hint="eastAsia" w:ascii="宋体" w:hAnsi="宋体" w:eastAsia="宋体" w:cs="宋体"/>
          <w:sz w:val="21"/>
        </w:rPr>
        <w:t>另一方面，金融AI正在从单次问答和单Agent助手走向可执行、可组合、可治理的Agent系统。MASS、TradingAgents、FinCON等研究说明多角色协作已进入量化投资决策；更一般的多智能体研究也开始从静态拓扑转向动态Orchestration，例如Evolving Orchestration以中央编排器动态排序和优先调用Agent，并以降低计算成本为明确目标。</w:t>
      </w:r>
    </w:p>
    <w:p ns2:paraId="41764049">
      <w:pPr>
        <w:spacing w:after="100" w:line="300" w:lineRule="auto"/>
        <w:ind w:firstLine="420"/>
        <w:rPr>
          <w:rFonts w:hint="eastAsia" w:ascii="宋体" w:hAnsi="宋体" w:eastAsia="宋体" w:cs="宋体"/>
        </w:rPr>
      </w:pPr>
      <w:r>
        <w:rPr>
          <w:rFonts w:hint="eastAsia" w:ascii="宋体" w:hAnsi="宋体" w:eastAsia="宋体" w:cs="宋体"/>
          <w:sz w:val="21"/>
        </w:rPr>
        <w:t>政策环境同样强化“可控、可审计、风险优先”的落地逻辑。中国证监会《证券市场程序化交易管理规定（试行）》自2024年10月8日起实施，强调报告、实时监测、风险防控和信息系统管理；证监会《加强证券期货业标准化工作三年行动计划（2024–2026年）》明确将大模型和人工智能纳入金融科技标准研制重点。</w:t>
      </w:r>
    </w:p>
    <w:tbl>
      <w:tblPr>
        <w:tblStyle w:val="33"/>
        <w:tblW w:w="0" w:type="auto"/>
        <w:jc w:val="center"/>
        <w:tblLayout w:type="autofit"/>
        <w:tblCellMar>
          <w:top w:w="0" w:type="dxa"/>
          <w:left w:w="108" w:type="dxa"/>
          <w:bottom w:w="0" w:type="dxa"/>
          <w:right w:w="108" w:type="dxa"/>
        </w:tblCellMar>
      </w:tblPr>
      <w:tblGrid>
        <w:gridCol w:w="9972"/>
      </w:tblGrid>
      <w:tr ns2:paraId="14A160DE">
        <w:tblPrEx>
          <w:tblCellMar>
            <w:top w:w="0" w:type="dxa"/>
            <w:left w:w="108" w:type="dxa"/>
            <w:bottom w:w="0" w:type="dxa"/>
            <w:right w:w="108" w:type="dxa"/>
          </w:tblCellMar>
        </w:tblPrEx>
        <w:trPr>
          <w:jc w:val="center"/>
        </w:trPr>
        <w:tc>
          <w:tcPr>
            <w:tcW w:w="9972" w:type="dxa"/>
            <w:shd w:val="clear" w:color="auto" w:fill="EAF2F8"/>
            <w:tcMar>
              <w:top w:w="160" w:type="dxa"/>
              <w:left w:w="180" w:type="dxa"/>
              <w:bottom w:w="160" w:type="dxa"/>
              <w:right w:w="180" w:type="dxa"/>
            </w:tcMar>
          </w:tcPr>
          <w:p ns2:paraId="44507EE7">
            <w:pPr>
              <w:spacing w:after="60"/>
              <w:rPr>
                <w:rFonts w:hint="eastAsia" w:ascii="宋体" w:hAnsi="宋体" w:eastAsia="宋体" w:cs="宋体"/>
              </w:rPr>
            </w:pPr>
            <w:r>
              <w:rPr>
                <w:rFonts w:hint="eastAsia" w:ascii="宋体" w:hAnsi="宋体" w:eastAsia="宋体" w:cs="宋体"/>
                <w:b/>
                <w:color w:val="1F4E79"/>
                <w:sz w:val="21"/>
              </w:rPr>
              <w:t xml:space="preserve">Why Now  </w:t>
            </w:r>
            <w:r>
              <w:rPr>
                <w:rFonts w:hint="eastAsia" w:ascii="宋体" w:hAnsi="宋体" w:eastAsia="宋体" w:cs="宋体"/>
                <w:color w:val="333333"/>
                <w:sz w:val="20"/>
              </w:rPr>
              <w:t>模型能力足以承担金融信息理解与多角色推理；开源量化/Agent框架降低工程门槛；同时监管与机构治理要求推动系统从“能给答案”升级为“能解释、能审计、能限权、能控制成本”。</w:t>
            </w:r>
          </w:p>
        </w:tc>
      </w:tr>
    </w:tbl>
    <w:p ns2:paraId="6D936F28">
      <w:pPr>
        <w:spacing w:after="20"/>
        <w:rPr>
          <w:rFonts w:hint="eastAsia" w:ascii="宋体" w:hAnsi="宋体" w:eastAsia="宋体" w:cs="宋体"/>
        </w:rPr>
      </w:pPr>
    </w:p>
    <w:p ns2:paraId="1742E17F">
      <w:pPr>
        <w:pStyle w:val="4"/>
        <w:keepNext/>
        <w:spacing w:before="140" w:after="120"/>
        <w:rPr>
          <w:rFonts w:hint="eastAsia" w:ascii="宋体" w:hAnsi="宋体" w:eastAsia="宋体" w:cs="宋体"/>
        </w:rPr>
      </w:pPr>
      <w:r>
        <w:rPr>
          <w:rFonts w:hint="eastAsia" w:ascii="宋体" w:hAnsi="宋体" w:eastAsia="宋体" w:cs="宋体"/>
          <w:b/>
          <w:color w:val="1F4E79"/>
          <w:sz w:val="26"/>
        </w:rPr>
        <w:t>2.2 代表性方法已经解决了什么、还缺什么</w:t>
      </w:r>
    </w:p>
    <w:p ns2:paraId="50C827D8">
      <w:pPr>
        <w:spacing w:after="100" w:line="300" w:lineRule="auto"/>
        <w:ind w:firstLine="420"/>
        <w:rPr>
          <w:rFonts w:hint="eastAsia" w:ascii="宋体" w:hAnsi="宋体" w:eastAsia="宋体" w:cs="宋体"/>
        </w:rPr>
      </w:pPr>
      <w:r>
        <w:rPr>
          <w:rFonts w:hint="eastAsia" w:ascii="宋体" w:hAnsi="宋体" w:eastAsia="宋体" w:cs="宋体"/>
          <w:sz w:val="21"/>
        </w:rPr>
        <w:t>以MASS等代表性方法为例，其将组合构建建模为“每日前向决策 → 按Agent类型权重形成加权共识与分歧信号 → 依据近期真实收益反向优化权重”的在线循环；公开论文与实现为本项目提供了可复现的模块参照与公平对比基线。</w:t>
      </w:r>
    </w:p>
    <w:p ns2:paraId="15573118">
      <w:pPr>
        <w:spacing w:after="100" w:line="300" w:lineRule="auto"/>
        <w:ind w:firstLine="420"/>
        <w:rPr>
          <w:rFonts w:hint="eastAsia" w:ascii="宋体" w:hAnsi="宋体" w:eastAsia="宋体" w:cs="宋体"/>
        </w:rPr>
      </w:pPr>
      <w:r>
        <w:rPr>
          <w:rFonts w:hint="eastAsia" w:ascii="宋体" w:hAnsi="宋体" w:eastAsia="宋体" w:cs="宋体"/>
          <w:sz w:val="21"/>
        </w:rPr>
        <w:t>公开论文与实现为对比实验提供了可复现参照：典型系统通常包含异构Agent执行、信号聚合、历史反馈与动态权重优化等模块。本项目在此问题基础上采用独立的模块化工程实现，核心的Market State、Router、Structured Disagreement、Diagnosis、Adaptive Aggregation、Cost/Memory与风险接口均按AlphaOrchestra架构自主设计，并通过统一实验脚本与公开基线进行公平比较。上述方法在机构落地时的缺口，将在下一章归纳为四类高频用户痛点及其应对。</w:t>
      </w:r>
    </w:p>
    <w:p ns2:paraId="576D8B0F">
      <w:pPr>
        <w:pStyle w:val="3"/>
        <w:keepNext/>
        <w:spacing w:before="240" w:after="120"/>
        <w:rPr>
          <w:rFonts w:hint="eastAsia" w:ascii="宋体" w:hAnsi="宋体" w:eastAsia="宋体" w:cs="宋体"/>
        </w:rPr>
      </w:pPr>
      <w:r>
        <w:rPr>
          <w:rFonts w:hint="eastAsia" w:ascii="宋体" w:hAnsi="宋体" w:eastAsia="宋体" w:cs="宋体"/>
          <w:b/>
          <w:color w:val="17365D"/>
          <w:sz w:val="32"/>
        </w:rPr>
        <w:t>3. 用户痛点与需求定义</w:t>
      </w:r>
    </w:p>
    <w:p ns2:paraId="7F594EF1">
      <w:pPr>
        <w:pStyle w:val="4"/>
        <w:keepNext/>
        <w:spacing w:before="140" w:after="120"/>
        <w:rPr>
          <w:rFonts w:hint="eastAsia" w:ascii="宋体" w:hAnsi="宋体" w:eastAsia="宋体" w:cs="宋体"/>
        </w:rPr>
      </w:pPr>
      <w:r>
        <w:rPr>
          <w:rFonts w:hint="eastAsia" w:ascii="宋体" w:hAnsi="宋体" w:eastAsia="宋体" w:cs="宋体"/>
          <w:b/>
          <w:color w:val="1F4E79"/>
          <w:sz w:val="26"/>
        </w:rPr>
        <w:t>3.1 目标用户</w:t>
      </w:r>
    </w:p>
    <w:p ns2:paraId="7C2601BA">
      <w:pPr>
        <w:spacing w:after="100" w:line="300" w:lineRule="auto"/>
        <w:ind w:firstLine="420"/>
        <w:rPr>
          <w:rFonts w:hint="eastAsia" w:ascii="宋体" w:hAnsi="宋体" w:eastAsia="宋体" w:cs="宋体"/>
        </w:rPr>
      </w:pPr>
      <w:r>
        <w:rPr>
          <w:rFonts w:hint="eastAsia" w:ascii="宋体" w:hAnsi="宋体" w:eastAsia="宋体" w:cs="宋体"/>
          <w:sz w:val="21"/>
        </w:rPr>
        <w:t>首批目标用户不是散户，而是具备数据与回测基础设施、愿意采用大模型但对成本和治理敏感的B2B机构：量化私募研究团队、券商自营/资管量化团队、公募量化与指数增强团队、金融科技投研平台，以及大型资管机构的AI/模型风险团队。</w:t>
      </w:r>
    </w:p>
    <w:p ns2:paraId="3E368D75">
      <w:pPr>
        <w:pStyle w:val="4"/>
        <w:keepNext/>
        <w:spacing w:before="140" w:after="120"/>
        <w:rPr>
          <w:rFonts w:hint="eastAsia" w:ascii="宋体" w:hAnsi="宋体" w:eastAsia="宋体" w:cs="宋体"/>
        </w:rPr>
      </w:pPr>
      <w:r>
        <w:rPr>
          <w:rFonts w:hint="eastAsia" w:ascii="宋体" w:hAnsi="宋体" w:eastAsia="宋体" w:cs="宋体"/>
          <w:b/>
          <w:color w:val="1F4E79"/>
          <w:sz w:val="26"/>
        </w:rPr>
        <w:t>3.2 四个高频痛点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4535"/>
      </w:tblGrid>
      <w:tr ns2:paraId="54C9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F4E79"/>
            <w:tcMar>
              <w:top w:w="90" w:type="dxa"/>
              <w:left w:w="90" w:type="dxa"/>
              <w:bottom w:w="90" w:type="dxa"/>
              <w:right w:w="90" w:type="dxa"/>
            </w:tcMar>
            <w:vAlign w:val="center"/>
          </w:tcPr>
          <w:p ns2:paraId="11520FB5">
            <w:pPr>
              <w:spacing w:after="0" w:line="240" w:lineRule="auto"/>
              <w:jc w:val="center"/>
              <w:rPr>
                <w:rFonts w:hint="eastAsia" w:ascii="宋体" w:hAnsi="宋体" w:eastAsia="宋体" w:cs="宋体"/>
              </w:rPr>
            </w:pPr>
            <w:r>
              <w:rPr>
                <w:rFonts w:hint="eastAsia" w:ascii="宋体" w:hAnsi="宋体" w:eastAsia="宋体" w:cs="宋体"/>
                <w:b/>
                <w:color w:val="FFFFFF"/>
                <w:sz w:val="18"/>
              </w:rPr>
              <w:t>痛点</w:t>
            </w:r>
          </w:p>
        </w:tc>
        <w:tc>
          <w:tcPr>
            <w:tcW w:w="2835" w:type="dxa"/>
            <w:shd w:val="clear" w:color="auto" w:fill="1F4E79"/>
            <w:tcMar>
              <w:top w:w="90" w:type="dxa"/>
              <w:left w:w="90" w:type="dxa"/>
              <w:bottom w:w="90" w:type="dxa"/>
              <w:right w:w="90" w:type="dxa"/>
            </w:tcMar>
            <w:vAlign w:val="center"/>
          </w:tcPr>
          <w:p ns2:paraId="128BB358">
            <w:pPr>
              <w:spacing w:after="0" w:line="240" w:lineRule="auto"/>
              <w:jc w:val="center"/>
              <w:rPr>
                <w:rFonts w:hint="eastAsia" w:ascii="宋体" w:hAnsi="宋体" w:eastAsia="宋体" w:cs="宋体"/>
              </w:rPr>
            </w:pPr>
            <w:r>
              <w:rPr>
                <w:rFonts w:hint="eastAsia" w:ascii="宋体" w:hAnsi="宋体" w:eastAsia="宋体" w:cs="宋体"/>
                <w:b/>
                <w:color w:val="FFFFFF"/>
                <w:sz w:val="18"/>
              </w:rPr>
              <w:t>传统处理方式</w:t>
            </w:r>
          </w:p>
        </w:tc>
        <w:tc>
          <w:tcPr>
            <w:tcW w:w="4535" w:type="dxa"/>
            <w:shd w:val="clear" w:color="auto" w:fill="1F4E79"/>
            <w:tcMar>
              <w:top w:w="90" w:type="dxa"/>
              <w:left w:w="90" w:type="dxa"/>
              <w:bottom w:w="90" w:type="dxa"/>
              <w:right w:w="90" w:type="dxa"/>
            </w:tcMar>
            <w:vAlign w:val="center"/>
          </w:tcPr>
          <w:p ns2:paraId="2E7EA24E">
            <w:pPr>
              <w:spacing w:after="0" w:line="240" w:lineRule="auto"/>
              <w:jc w:val="center"/>
              <w:rPr>
                <w:rFonts w:hint="eastAsia" w:ascii="宋体" w:hAnsi="宋体" w:eastAsia="宋体" w:cs="宋体"/>
              </w:rPr>
            </w:pPr>
            <w:r>
              <w:rPr>
                <w:rFonts w:hint="eastAsia" w:ascii="宋体" w:hAnsi="宋体" w:eastAsia="宋体" w:cs="宋体"/>
                <w:b/>
                <w:color w:val="FFFFFF"/>
                <w:sz w:val="18"/>
              </w:rPr>
              <w:t>AlphaOrchestra要解决什么</w:t>
            </w:r>
          </w:p>
        </w:tc>
      </w:tr>
      <w:tr ns2:paraId="0D67C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5DCEFD12">
            <w:pPr>
              <w:spacing w:after="0" w:line="252" w:lineRule="auto"/>
              <w:rPr>
                <w:rFonts w:hint="eastAsia" w:ascii="宋体" w:hAnsi="宋体" w:eastAsia="宋体" w:cs="宋体"/>
              </w:rPr>
            </w:pPr>
            <w:r>
              <w:rPr>
                <w:rFonts w:hint="eastAsia" w:ascii="宋体" w:hAnsi="宋体" w:eastAsia="宋体" w:cs="宋体"/>
                <w:sz w:val="18"/>
              </w:rPr>
              <w:t>Agent调用“越多越好”难持续</w:t>
            </w:r>
          </w:p>
        </w:tc>
        <w:tc>
          <w:tcPr>
            <w:tcW w:w="2835" w:type="dxa"/>
            <w:tcMar>
              <w:top w:w="75" w:type="dxa"/>
              <w:left w:w="85" w:type="dxa"/>
              <w:bottom w:w="75" w:type="dxa"/>
              <w:right w:w="85" w:type="dxa"/>
            </w:tcMar>
            <w:vAlign w:val="center"/>
          </w:tcPr>
          <w:p ns2:paraId="78060DCF">
            <w:pPr>
              <w:spacing w:after="0" w:line="252" w:lineRule="auto"/>
              <w:rPr>
                <w:rFonts w:hint="eastAsia" w:ascii="宋体" w:hAnsi="宋体" w:eastAsia="宋体" w:cs="宋体"/>
              </w:rPr>
            </w:pPr>
            <w:r>
              <w:rPr>
                <w:rFonts w:hint="eastAsia" w:ascii="宋体" w:hAnsi="宋体" w:eastAsia="宋体" w:cs="宋体"/>
                <w:sz w:val="18"/>
              </w:rPr>
              <w:t>固定配置、全量并行、人工调并发</w:t>
            </w:r>
          </w:p>
        </w:tc>
        <w:tc>
          <w:tcPr>
            <w:tcW w:w="4535" w:type="dxa"/>
            <w:tcMar>
              <w:top w:w="75" w:type="dxa"/>
              <w:left w:w="85" w:type="dxa"/>
              <w:bottom w:w="75" w:type="dxa"/>
              <w:right w:w="85" w:type="dxa"/>
            </w:tcMar>
            <w:vAlign w:val="center"/>
          </w:tcPr>
          <w:p ns2:paraId="796DD133">
            <w:pPr>
              <w:spacing w:after="0" w:line="252" w:lineRule="auto"/>
              <w:rPr>
                <w:rFonts w:hint="eastAsia" w:ascii="宋体" w:hAnsi="宋体" w:eastAsia="宋体" w:cs="宋体"/>
              </w:rPr>
            </w:pPr>
            <w:r>
              <w:rPr>
                <w:rFonts w:hint="eastAsia" w:ascii="宋体" w:hAnsi="宋体" w:eastAsia="宋体" w:cs="宋体"/>
                <w:sz w:val="18"/>
              </w:rPr>
              <w:t>按市场状态和边际信息价值动态组队</w:t>
            </w:r>
          </w:p>
        </w:tc>
      </w:tr>
      <w:tr ns2:paraId="5664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251612B5">
            <w:pPr>
              <w:spacing w:after="0" w:line="252" w:lineRule="auto"/>
              <w:rPr>
                <w:rFonts w:hint="eastAsia" w:ascii="宋体" w:hAnsi="宋体" w:eastAsia="宋体" w:cs="宋体"/>
              </w:rPr>
            </w:pPr>
            <w:r>
              <w:rPr>
                <w:rFonts w:hint="eastAsia" w:ascii="宋体" w:hAnsi="宋体" w:eastAsia="宋体" w:cs="宋体"/>
                <w:sz w:val="18"/>
              </w:rPr>
              <w:t>模型意见冲突难解释</w:t>
            </w:r>
          </w:p>
        </w:tc>
        <w:tc>
          <w:tcPr>
            <w:tcW w:w="2835" w:type="dxa"/>
            <w:shd w:val="clear" w:color="auto" w:fill="F7F9FC"/>
            <w:tcMar>
              <w:top w:w="75" w:type="dxa"/>
              <w:left w:w="85" w:type="dxa"/>
              <w:bottom w:w="75" w:type="dxa"/>
              <w:right w:w="85" w:type="dxa"/>
            </w:tcMar>
            <w:vAlign w:val="center"/>
          </w:tcPr>
          <w:p ns2:paraId="2533EACA">
            <w:pPr>
              <w:spacing w:after="0" w:line="252" w:lineRule="auto"/>
              <w:rPr>
                <w:rFonts w:hint="eastAsia" w:ascii="宋体" w:hAnsi="宋体" w:eastAsia="宋体" w:cs="宋体"/>
              </w:rPr>
            </w:pPr>
            <w:r>
              <w:rPr>
                <w:rFonts w:hint="eastAsia" w:ascii="宋体" w:hAnsi="宋体" w:eastAsia="宋体" w:cs="宋体"/>
                <w:sz w:val="18"/>
              </w:rPr>
              <w:t>均值/投票/标准差惩罚</w:t>
            </w:r>
          </w:p>
        </w:tc>
        <w:tc>
          <w:tcPr>
            <w:tcW w:w="4535" w:type="dxa"/>
            <w:shd w:val="clear" w:color="auto" w:fill="F7F9FC"/>
            <w:tcMar>
              <w:top w:w="75" w:type="dxa"/>
              <w:left w:w="85" w:type="dxa"/>
              <w:bottom w:w="75" w:type="dxa"/>
              <w:right w:w="85" w:type="dxa"/>
            </w:tcMar>
            <w:vAlign w:val="center"/>
          </w:tcPr>
          <w:p ns2:paraId="4E227A13">
            <w:pPr>
              <w:spacing w:after="0" w:line="252" w:lineRule="auto"/>
              <w:rPr>
                <w:rFonts w:hint="eastAsia" w:ascii="宋体" w:hAnsi="宋体" w:eastAsia="宋体" w:cs="宋体"/>
              </w:rPr>
            </w:pPr>
            <w:r>
              <w:rPr>
                <w:rFonts w:hint="eastAsia" w:ascii="宋体" w:hAnsi="宋体" w:eastAsia="宋体" w:cs="宋体"/>
                <w:sz w:val="18"/>
              </w:rPr>
              <w:t>识别方向、证据、期限、置信度与语义冲突</w:t>
            </w:r>
          </w:p>
        </w:tc>
      </w:tr>
      <w:tr ns2:paraId="40EF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5A3DD392">
            <w:pPr>
              <w:spacing w:after="0" w:line="252" w:lineRule="auto"/>
              <w:rPr>
                <w:rFonts w:hint="eastAsia" w:ascii="宋体" w:hAnsi="宋体" w:eastAsia="宋体" w:cs="宋体"/>
              </w:rPr>
            </w:pPr>
            <w:r>
              <w:rPr>
                <w:rFonts w:hint="eastAsia" w:ascii="宋体" w:hAnsi="宋体" w:eastAsia="宋体" w:cs="宋体"/>
                <w:sz w:val="18"/>
              </w:rPr>
              <w:t>动态权重存在滞后</w:t>
            </w:r>
          </w:p>
        </w:tc>
        <w:tc>
          <w:tcPr>
            <w:tcW w:w="2835" w:type="dxa"/>
            <w:tcMar>
              <w:top w:w="75" w:type="dxa"/>
              <w:left w:w="85" w:type="dxa"/>
              <w:bottom w:w="75" w:type="dxa"/>
              <w:right w:w="85" w:type="dxa"/>
            </w:tcMar>
            <w:vAlign w:val="center"/>
          </w:tcPr>
          <w:p ns2:paraId="1E443275">
            <w:pPr>
              <w:spacing w:after="0" w:line="252" w:lineRule="auto"/>
              <w:rPr>
                <w:rFonts w:hint="eastAsia" w:ascii="宋体" w:hAnsi="宋体" w:eastAsia="宋体" w:cs="宋体"/>
              </w:rPr>
            </w:pPr>
            <w:r>
              <w:rPr>
                <w:rFonts w:hint="eastAsia" w:ascii="宋体" w:hAnsi="宋体" w:eastAsia="宋体" w:cs="宋体"/>
                <w:sz w:val="18"/>
              </w:rPr>
              <w:t>只看近几日收益/IC调整</w:t>
            </w:r>
          </w:p>
        </w:tc>
        <w:tc>
          <w:tcPr>
            <w:tcW w:w="4535" w:type="dxa"/>
            <w:tcMar>
              <w:top w:w="75" w:type="dxa"/>
              <w:left w:w="85" w:type="dxa"/>
              <w:bottom w:w="75" w:type="dxa"/>
              <w:right w:w="85" w:type="dxa"/>
            </w:tcMar>
            <w:vAlign w:val="center"/>
          </w:tcPr>
          <w:p ns2:paraId="0ED89AD9">
            <w:pPr>
              <w:spacing w:after="0" w:line="252" w:lineRule="auto"/>
              <w:rPr>
                <w:rFonts w:hint="eastAsia" w:ascii="宋体" w:hAnsi="宋体" w:eastAsia="宋体" w:cs="宋体"/>
              </w:rPr>
            </w:pPr>
            <w:r>
              <w:rPr>
                <w:rFonts w:hint="eastAsia" w:ascii="宋体" w:hAnsi="宋体" w:eastAsia="宋体" w:cs="宋体"/>
                <w:sz w:val="18"/>
              </w:rPr>
              <w:t>把当前Regime与当日具体输出纳入动态信任</w:t>
            </w:r>
          </w:p>
        </w:tc>
      </w:tr>
      <w:tr ns2:paraId="21E6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701A83F6">
            <w:pPr>
              <w:spacing w:after="0" w:line="252" w:lineRule="auto"/>
              <w:rPr>
                <w:rFonts w:hint="eastAsia" w:ascii="宋体" w:hAnsi="宋体" w:eastAsia="宋体" w:cs="宋体"/>
              </w:rPr>
            </w:pPr>
            <w:r>
              <w:rPr>
                <w:rFonts w:hint="eastAsia" w:ascii="宋体" w:hAnsi="宋体" w:eastAsia="宋体" w:cs="宋体"/>
                <w:sz w:val="18"/>
              </w:rPr>
              <w:t>AI投研难审计</w:t>
            </w:r>
          </w:p>
        </w:tc>
        <w:tc>
          <w:tcPr>
            <w:tcW w:w="2835" w:type="dxa"/>
            <w:shd w:val="clear" w:color="auto" w:fill="F7F9FC"/>
            <w:tcMar>
              <w:top w:w="75" w:type="dxa"/>
              <w:left w:w="85" w:type="dxa"/>
              <w:bottom w:w="75" w:type="dxa"/>
              <w:right w:w="85" w:type="dxa"/>
            </w:tcMar>
            <w:vAlign w:val="center"/>
          </w:tcPr>
          <w:p ns2:paraId="6B2EAF88">
            <w:pPr>
              <w:spacing w:after="0" w:line="252" w:lineRule="auto"/>
              <w:rPr>
                <w:rFonts w:hint="eastAsia" w:ascii="宋体" w:hAnsi="宋体" w:eastAsia="宋体" w:cs="宋体"/>
              </w:rPr>
            </w:pPr>
            <w:r>
              <w:rPr>
                <w:rFonts w:hint="eastAsia" w:ascii="宋体" w:hAnsi="宋体" w:eastAsia="宋体" w:cs="宋体"/>
                <w:sz w:val="18"/>
              </w:rPr>
              <w:t>只保留最终结论</w:t>
            </w:r>
          </w:p>
        </w:tc>
        <w:tc>
          <w:tcPr>
            <w:tcW w:w="4535" w:type="dxa"/>
            <w:shd w:val="clear" w:color="auto" w:fill="F7F9FC"/>
            <w:tcMar>
              <w:top w:w="75" w:type="dxa"/>
              <w:left w:w="85" w:type="dxa"/>
              <w:bottom w:w="75" w:type="dxa"/>
              <w:right w:w="85" w:type="dxa"/>
            </w:tcMar>
            <w:vAlign w:val="center"/>
          </w:tcPr>
          <w:p ns2:paraId="7AAF87C4">
            <w:pPr>
              <w:spacing w:after="0" w:line="252" w:lineRule="auto"/>
              <w:rPr>
                <w:rFonts w:hint="eastAsia" w:ascii="宋体" w:hAnsi="宋体" w:eastAsia="宋体" w:cs="宋体"/>
              </w:rPr>
            </w:pPr>
            <w:r>
              <w:rPr>
                <w:rFonts w:hint="eastAsia" w:ascii="宋体" w:hAnsi="宋体" w:eastAsia="宋体" w:cs="宋体"/>
                <w:sz w:val="18"/>
              </w:rPr>
              <w:t>保存selection score、证据、debate原因、abstain原因和成本</w:t>
            </w:r>
          </w:p>
        </w:tc>
      </w:tr>
    </w:tbl>
    <w:p ns2:paraId="40D9B0CC">
      <w:pPr>
        <w:spacing w:after="20"/>
        <w:rPr>
          <w:rFonts w:hint="eastAsia" w:ascii="宋体" w:hAnsi="宋体" w:eastAsia="宋体" w:cs="宋体"/>
        </w:rPr>
      </w:pPr>
    </w:p>
    <w:p ns2:paraId="56ED9DC2">
      <w:pPr>
        <w:pStyle w:val="4"/>
        <w:keepNext/>
        <w:spacing w:before="140" w:after="120"/>
        <w:rPr>
          <w:rFonts w:hint="eastAsia" w:ascii="宋体" w:hAnsi="宋体" w:eastAsia="宋体" w:cs="宋体"/>
        </w:rPr>
      </w:pPr>
      <w:r>
        <w:rPr>
          <w:rFonts w:hint="eastAsia" w:ascii="宋体" w:hAnsi="宋体" w:eastAsia="宋体" w:cs="宋体"/>
          <w:b/>
          <w:color w:val="1F4E79"/>
          <w:sz w:val="26"/>
        </w:rPr>
        <w:t>3.3 客户购买的不是“一个神奇Alpha”</w:t>
      </w:r>
    </w:p>
    <w:p ns2:paraId="7B933B80">
      <w:pPr>
        <w:spacing w:after="100" w:line="300" w:lineRule="auto"/>
        <w:ind w:firstLine="420"/>
        <w:rPr>
          <w:rFonts w:hint="eastAsia" w:ascii="宋体" w:hAnsi="宋体" w:eastAsia="宋体" w:cs="宋体"/>
        </w:rPr>
      </w:pPr>
      <w:r>
        <w:rPr>
          <w:rFonts w:hint="eastAsia" w:ascii="宋体" w:hAnsi="宋体" w:eastAsia="宋体" w:cs="宋体"/>
          <w:sz w:val="21"/>
        </w:rPr>
        <w:t>产品定位必须避免“卖一个黑箱策略”的短视逻辑。机构真正可能付费的是一个可接入自有数据、模型、策略和风控模块的Agentic Control Plane：它把已有研究基础设施变成可调度的Tools，把LLM专家变成受预算和规则约束的研究资源，再以结构化Trace帮助研究员复盘和治理。</w:t>
      </w:r>
    </w:p>
    <w:p ns2:paraId="30C9A338">
      <w:pPr>
        <w:pStyle w:val="3"/>
        <w:keepNext/>
        <w:spacing w:before="240" w:after="120"/>
        <w:rPr>
          <w:rFonts w:hint="eastAsia" w:ascii="宋体" w:hAnsi="宋体" w:eastAsia="宋体" w:cs="宋体"/>
        </w:rPr>
      </w:pPr>
      <w:r>
        <w:rPr>
          <w:rFonts w:hint="eastAsia" w:ascii="宋体" w:hAnsi="宋体" w:eastAsia="宋体" w:cs="宋体"/>
          <w:b/>
          <w:color w:val="17365D"/>
          <w:sz w:val="32"/>
        </w:rPr>
        <w:t>4. 产品定位与核心价值</w:t>
      </w:r>
    </w:p>
    <w:p ns2:paraId="291FF1C1">
      <w:pPr>
        <w:pStyle w:val="4"/>
        <w:keepNext/>
        <w:spacing w:before="140" w:after="120"/>
        <w:rPr>
          <w:rFonts w:hint="eastAsia" w:ascii="宋体" w:hAnsi="宋体" w:eastAsia="宋体" w:cs="宋体"/>
        </w:rPr>
      </w:pPr>
      <w:r>
        <w:rPr>
          <w:rFonts w:hint="eastAsia" w:ascii="宋体" w:hAnsi="宋体" w:eastAsia="宋体" w:cs="宋体"/>
          <w:b/>
          <w:color w:val="1F4E79"/>
          <w:sz w:val="26"/>
        </w:rPr>
        <w:t>4.1 产品定义</w:t>
      </w:r>
    </w:p>
    <w:tbl>
      <w:tblPr>
        <w:tblStyle w:val="33"/>
        <w:tblW w:w="0" w:type="auto"/>
        <w:jc w:val="center"/>
        <w:tblLayout w:type="autofit"/>
        <w:tblCellMar>
          <w:top w:w="0" w:type="dxa"/>
          <w:left w:w="108" w:type="dxa"/>
          <w:bottom w:w="0" w:type="dxa"/>
          <w:right w:w="108" w:type="dxa"/>
        </w:tblCellMar>
      </w:tblPr>
      <w:tblGrid>
        <w:gridCol w:w="9972"/>
      </w:tblGrid>
      <w:tr ns2:paraId="1A874E87">
        <w:tblPrEx>
          <w:tblCellMar>
            <w:top w:w="0" w:type="dxa"/>
            <w:left w:w="108" w:type="dxa"/>
            <w:bottom w:w="0" w:type="dxa"/>
            <w:right w:w="108" w:type="dxa"/>
          </w:tblCellMar>
        </w:tblPrEx>
        <w:trPr>
          <w:jc w:val="center"/>
        </w:trPr>
        <w:tc>
          <w:tcPr>
            <w:tcW w:w="9972" w:type="dxa"/>
            <w:shd w:val="clear" w:color="auto" w:fill="EAF2F8"/>
            <w:tcMar>
              <w:top w:w="160" w:type="dxa"/>
              <w:left w:w="180" w:type="dxa"/>
              <w:bottom w:w="160" w:type="dxa"/>
              <w:right w:w="180" w:type="dxa"/>
            </w:tcMar>
          </w:tcPr>
          <w:p ns2:paraId="5AC6169F">
            <w:pPr>
              <w:spacing w:after="60"/>
              <w:rPr>
                <w:rFonts w:hint="eastAsia" w:ascii="宋体" w:hAnsi="宋体" w:eastAsia="宋体" w:cs="宋体"/>
              </w:rPr>
            </w:pPr>
            <w:r>
              <w:rPr>
                <w:rFonts w:hint="eastAsia" w:ascii="宋体" w:hAnsi="宋体" w:eastAsia="宋体" w:cs="宋体"/>
                <w:b/>
                <w:color w:val="1F4E79"/>
                <w:sz w:val="21"/>
              </w:rPr>
              <w:t xml:space="preserve">产品名称  </w:t>
            </w:r>
            <w:r>
              <w:rPr>
                <w:rFonts w:hint="eastAsia" w:ascii="宋体" w:hAnsi="宋体" w:eastAsia="宋体" w:cs="宋体"/>
                <w:color w:val="333333"/>
                <w:sz w:val="20"/>
              </w:rPr>
              <w:t>AlphaOrchestra（群智阿尔法）——面向机构量化投研的“多智能体编排与可信聚合中枢”。</w:t>
            </w:r>
          </w:p>
        </w:tc>
      </w:tr>
    </w:tbl>
    <w:p ns2:paraId="572CC144">
      <w:pPr>
        <w:spacing w:after="20"/>
        <w:rPr>
          <w:rFonts w:hint="eastAsia" w:ascii="宋体" w:hAnsi="宋体" w:eastAsia="宋体" w:cs="宋体"/>
        </w:rPr>
      </w:pPr>
    </w:p>
    <w:p ns2:paraId="530A4992">
      <w:pPr>
        <w:spacing w:after="100" w:line="300" w:lineRule="auto"/>
        <w:ind w:firstLine="420"/>
        <w:rPr>
          <w:rFonts w:hint="eastAsia" w:ascii="宋体" w:hAnsi="宋体" w:eastAsia="宋体" w:cs="宋体"/>
        </w:rPr>
      </w:pPr>
      <w:r>
        <w:rPr>
          <w:rFonts w:hint="eastAsia" w:ascii="宋体" w:hAnsi="宋体" w:eastAsia="宋体" w:cs="宋体"/>
          <w:sz w:val="21"/>
        </w:rPr>
        <w:t>其产品边界是“决策辅助与投研编排”，不是直接获得无限交易权限。第一阶段以Research/Shadow Mode运行：系统输出候选股票排序、专家选择理由、冲突诊断、置信度和组合建议，最终是否进入实盘由机构现有Portfolio Optimizer、风险系统和人工审批决定。</w:t>
      </w:r>
    </w:p>
    <w:p ns2:paraId="7D88EC61">
      <w:pPr>
        <w:pStyle w:val="4"/>
        <w:keepNext/>
        <w:spacing w:before="140" w:after="120"/>
        <w:rPr>
          <w:rFonts w:hint="eastAsia" w:ascii="宋体" w:hAnsi="宋体" w:eastAsia="宋体" w:cs="宋体"/>
        </w:rPr>
      </w:pPr>
      <w:r>
        <w:rPr>
          <w:rFonts w:hint="eastAsia" w:ascii="宋体" w:hAnsi="宋体" w:eastAsia="宋体" w:cs="宋体"/>
          <w:b/>
          <w:color w:val="1F4E79"/>
          <w:sz w:val="26"/>
        </w:rPr>
        <w:t>4.2 三层产品架构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3969"/>
        <w:gridCol w:w="3515"/>
      </w:tblGrid>
      <w:tr ns2:paraId="3B6E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1F4E79"/>
            <w:tcMar>
              <w:top w:w="90" w:type="dxa"/>
              <w:left w:w="90" w:type="dxa"/>
              <w:bottom w:w="90" w:type="dxa"/>
              <w:right w:w="90" w:type="dxa"/>
            </w:tcMar>
            <w:vAlign w:val="center"/>
          </w:tcPr>
          <w:p ns2:paraId="573BBD8F">
            <w:pPr>
              <w:spacing w:after="0" w:line="240" w:lineRule="auto"/>
              <w:jc w:val="center"/>
              <w:rPr>
                <w:rFonts w:hint="eastAsia" w:ascii="宋体" w:hAnsi="宋体" w:eastAsia="宋体" w:cs="宋体"/>
              </w:rPr>
            </w:pPr>
            <w:r>
              <w:rPr>
                <w:rFonts w:hint="eastAsia" w:ascii="宋体" w:hAnsi="宋体" w:eastAsia="宋体" w:cs="宋体"/>
                <w:b/>
                <w:color w:val="FFFFFF"/>
                <w:sz w:val="18"/>
              </w:rPr>
              <w:t>层级</w:t>
            </w:r>
          </w:p>
        </w:tc>
        <w:tc>
          <w:tcPr>
            <w:tcW w:w="3969" w:type="dxa"/>
            <w:shd w:val="clear" w:color="auto" w:fill="1F4E79"/>
            <w:tcMar>
              <w:top w:w="90" w:type="dxa"/>
              <w:left w:w="90" w:type="dxa"/>
              <w:bottom w:w="90" w:type="dxa"/>
              <w:right w:w="90" w:type="dxa"/>
            </w:tcMar>
            <w:vAlign w:val="center"/>
          </w:tcPr>
          <w:p ns2:paraId="005936DE">
            <w:pPr>
              <w:spacing w:after="0" w:line="240" w:lineRule="auto"/>
              <w:jc w:val="center"/>
              <w:rPr>
                <w:rFonts w:hint="eastAsia" w:ascii="宋体" w:hAnsi="宋体" w:eastAsia="宋体" w:cs="宋体"/>
              </w:rPr>
            </w:pPr>
            <w:r>
              <w:rPr>
                <w:rFonts w:hint="eastAsia" w:ascii="宋体" w:hAnsi="宋体" w:eastAsia="宋体" w:cs="宋体"/>
                <w:b/>
                <w:color w:val="FFFFFF"/>
                <w:sz w:val="18"/>
              </w:rPr>
              <w:t>核心组件</w:t>
            </w:r>
          </w:p>
        </w:tc>
        <w:tc>
          <w:tcPr>
            <w:tcW w:w="3515" w:type="dxa"/>
            <w:shd w:val="clear" w:color="auto" w:fill="1F4E79"/>
            <w:tcMar>
              <w:top w:w="90" w:type="dxa"/>
              <w:left w:w="90" w:type="dxa"/>
              <w:bottom w:w="90" w:type="dxa"/>
              <w:right w:w="90" w:type="dxa"/>
            </w:tcMar>
            <w:vAlign w:val="center"/>
          </w:tcPr>
          <w:p ns2:paraId="5DFB93CA">
            <w:pPr>
              <w:spacing w:after="0" w:line="240" w:lineRule="auto"/>
              <w:jc w:val="center"/>
              <w:rPr>
                <w:rFonts w:hint="eastAsia" w:ascii="宋体" w:hAnsi="宋体" w:eastAsia="宋体" w:cs="宋体"/>
              </w:rPr>
            </w:pPr>
            <w:r>
              <w:rPr>
                <w:rFonts w:hint="eastAsia" w:ascii="宋体" w:hAnsi="宋体" w:eastAsia="宋体" w:cs="宋体"/>
                <w:b/>
                <w:color w:val="FFFFFF"/>
                <w:sz w:val="18"/>
              </w:rPr>
              <w:t>客户可见价值</w:t>
            </w:r>
          </w:p>
        </w:tc>
      </w:tr>
      <w:tr ns2:paraId="005F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5" w:type="dxa"/>
              <w:left w:w="85" w:type="dxa"/>
              <w:bottom w:w="75" w:type="dxa"/>
              <w:right w:w="85" w:type="dxa"/>
            </w:tcMar>
            <w:vAlign w:val="center"/>
          </w:tcPr>
          <w:p ns2:paraId="3A544DDC">
            <w:pPr>
              <w:spacing w:after="0" w:line="252" w:lineRule="auto"/>
              <w:rPr>
                <w:rFonts w:hint="eastAsia" w:ascii="宋体" w:hAnsi="宋体" w:eastAsia="宋体" w:cs="宋体"/>
              </w:rPr>
            </w:pPr>
            <w:r>
              <w:rPr>
                <w:rFonts w:hint="eastAsia" w:ascii="宋体" w:hAnsi="宋体" w:eastAsia="宋体" w:cs="宋体"/>
                <w:sz w:val="18"/>
              </w:rPr>
              <w:t>Agentic Control Plane</w:t>
            </w:r>
          </w:p>
        </w:tc>
        <w:tc>
          <w:tcPr>
            <w:tcW w:w="3969" w:type="dxa"/>
            <w:tcMar>
              <w:top w:w="75" w:type="dxa"/>
              <w:left w:w="85" w:type="dxa"/>
              <w:bottom w:w="75" w:type="dxa"/>
              <w:right w:w="85" w:type="dxa"/>
            </w:tcMar>
            <w:vAlign w:val="center"/>
          </w:tcPr>
          <w:p ns2:paraId="3CC47A0E">
            <w:pPr>
              <w:spacing w:after="0" w:line="252" w:lineRule="auto"/>
              <w:rPr>
                <w:rFonts w:hint="eastAsia" w:ascii="宋体" w:hAnsi="宋体" w:eastAsia="宋体" w:cs="宋体"/>
              </w:rPr>
            </w:pPr>
            <w:r>
              <w:rPr>
                <w:rFonts w:hint="eastAsia" w:ascii="宋体" w:hAnsi="宋体" w:eastAsia="宋体" w:cs="宋体"/>
                <w:sz w:val="18"/>
              </w:rPr>
              <w:t>Market State Encoder、Router、Diagnosis、Aggregation、Memory</w:t>
            </w:r>
          </w:p>
        </w:tc>
        <w:tc>
          <w:tcPr>
            <w:tcW w:w="3515" w:type="dxa"/>
            <w:tcMar>
              <w:top w:w="75" w:type="dxa"/>
              <w:left w:w="85" w:type="dxa"/>
              <w:bottom w:w="75" w:type="dxa"/>
              <w:right w:w="85" w:type="dxa"/>
            </w:tcMar>
            <w:vAlign w:val="center"/>
          </w:tcPr>
          <w:p ns2:paraId="585C09DC">
            <w:pPr>
              <w:spacing w:after="0" w:line="252" w:lineRule="auto"/>
              <w:rPr>
                <w:rFonts w:hint="eastAsia" w:ascii="宋体" w:hAnsi="宋体" w:eastAsia="宋体" w:cs="宋体"/>
              </w:rPr>
            </w:pPr>
            <w:r>
              <w:rPr>
                <w:rFonts w:hint="eastAsia" w:ascii="宋体" w:hAnsi="宋体" w:eastAsia="宋体" w:cs="宋体"/>
                <w:sz w:val="18"/>
              </w:rPr>
              <w:t>动态决定问谁、何时讨论、何时停止</w:t>
            </w:r>
          </w:p>
        </w:tc>
      </w:tr>
      <w:tr ns2:paraId="084D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7F9FC"/>
            <w:tcMar>
              <w:top w:w="75" w:type="dxa"/>
              <w:left w:w="85" w:type="dxa"/>
              <w:bottom w:w="75" w:type="dxa"/>
              <w:right w:w="85" w:type="dxa"/>
            </w:tcMar>
            <w:vAlign w:val="center"/>
          </w:tcPr>
          <w:p ns2:paraId="0815EF02">
            <w:pPr>
              <w:spacing w:after="0" w:line="252" w:lineRule="auto"/>
              <w:rPr>
                <w:rFonts w:hint="eastAsia" w:ascii="宋体" w:hAnsi="宋体" w:eastAsia="宋体" w:cs="宋体"/>
              </w:rPr>
            </w:pPr>
            <w:r>
              <w:rPr>
                <w:rFonts w:hint="eastAsia" w:ascii="宋体" w:hAnsi="宋体" w:eastAsia="宋体" w:cs="宋体"/>
                <w:sz w:val="18"/>
              </w:rPr>
              <w:t>Quant / Model Tool Layer</w:t>
            </w:r>
          </w:p>
        </w:tc>
        <w:tc>
          <w:tcPr>
            <w:tcW w:w="3969" w:type="dxa"/>
            <w:shd w:val="clear" w:color="auto" w:fill="F7F9FC"/>
            <w:tcMar>
              <w:top w:w="75" w:type="dxa"/>
              <w:left w:w="85" w:type="dxa"/>
              <w:bottom w:w="75" w:type="dxa"/>
              <w:right w:w="85" w:type="dxa"/>
            </w:tcMar>
            <w:vAlign w:val="center"/>
          </w:tcPr>
          <w:p ns2:paraId="26CD8B85">
            <w:pPr>
              <w:spacing w:after="0" w:line="252" w:lineRule="auto"/>
              <w:rPr>
                <w:rFonts w:hint="eastAsia" w:ascii="宋体" w:hAnsi="宋体" w:eastAsia="宋体" w:cs="宋体"/>
              </w:rPr>
            </w:pPr>
            <w:r>
              <w:rPr>
                <w:rFonts w:hint="eastAsia" w:ascii="宋体" w:hAnsi="宋体" w:eastAsia="宋体" w:cs="宋体"/>
                <w:sz w:val="18"/>
              </w:rPr>
              <w:t>数据接口、LLM专家、回测器、风险模型、成本模型、优化器</w:t>
            </w:r>
          </w:p>
        </w:tc>
        <w:tc>
          <w:tcPr>
            <w:tcW w:w="3515" w:type="dxa"/>
            <w:shd w:val="clear" w:color="auto" w:fill="F7F9FC"/>
            <w:tcMar>
              <w:top w:w="75" w:type="dxa"/>
              <w:left w:w="85" w:type="dxa"/>
              <w:bottom w:w="75" w:type="dxa"/>
              <w:right w:w="85" w:type="dxa"/>
            </w:tcMar>
            <w:vAlign w:val="center"/>
          </w:tcPr>
          <w:p ns2:paraId="6AD89B0B">
            <w:pPr>
              <w:spacing w:after="0" w:line="252" w:lineRule="auto"/>
              <w:rPr>
                <w:rFonts w:hint="eastAsia" w:ascii="宋体" w:hAnsi="宋体" w:eastAsia="宋体" w:cs="宋体"/>
              </w:rPr>
            </w:pPr>
            <w:r>
              <w:rPr>
                <w:rFonts w:hint="eastAsia" w:ascii="宋体" w:hAnsi="宋体" w:eastAsia="宋体" w:cs="宋体"/>
                <w:sz w:val="18"/>
              </w:rPr>
              <w:t>保留机构现有基础设施，不要求全部重建</w:t>
            </w:r>
          </w:p>
        </w:tc>
      </w:tr>
      <w:tr ns2:paraId="50DC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Mar>
              <w:top w:w="75" w:type="dxa"/>
              <w:left w:w="85" w:type="dxa"/>
              <w:bottom w:w="75" w:type="dxa"/>
              <w:right w:w="85" w:type="dxa"/>
            </w:tcMar>
            <w:vAlign w:val="center"/>
          </w:tcPr>
          <w:p ns2:paraId="5EF01E8D">
            <w:pPr>
              <w:spacing w:after="0" w:line="252" w:lineRule="auto"/>
              <w:rPr>
                <w:rFonts w:hint="eastAsia" w:ascii="宋体" w:hAnsi="宋体" w:eastAsia="宋体" w:cs="宋体"/>
              </w:rPr>
            </w:pPr>
            <w:r>
              <w:rPr>
                <w:rFonts w:hint="eastAsia" w:ascii="宋体" w:hAnsi="宋体" w:eastAsia="宋体" w:cs="宋体"/>
                <w:sz w:val="18"/>
              </w:rPr>
              <w:t>Evidence &amp; Governance Layer</w:t>
            </w:r>
          </w:p>
        </w:tc>
        <w:tc>
          <w:tcPr>
            <w:tcW w:w="3969" w:type="dxa"/>
            <w:tcMar>
              <w:top w:w="75" w:type="dxa"/>
              <w:left w:w="85" w:type="dxa"/>
              <w:bottom w:w="75" w:type="dxa"/>
              <w:right w:w="85" w:type="dxa"/>
            </w:tcMar>
            <w:vAlign w:val="center"/>
          </w:tcPr>
          <w:p ns2:paraId="372C1525">
            <w:pPr>
              <w:spacing w:after="0" w:line="252" w:lineRule="auto"/>
              <w:rPr>
                <w:rFonts w:hint="eastAsia" w:ascii="宋体" w:hAnsi="宋体" w:eastAsia="宋体" w:cs="宋体"/>
              </w:rPr>
            </w:pPr>
            <w:r>
              <w:rPr>
                <w:rFonts w:hint="eastAsia" w:ascii="宋体" w:hAnsi="宋体" w:eastAsia="宋体" w:cs="宋体"/>
                <w:sz w:val="18"/>
              </w:rPr>
              <w:t>决策Trace、成本账单、版本记录、阈值与权限</w:t>
            </w:r>
          </w:p>
        </w:tc>
        <w:tc>
          <w:tcPr>
            <w:tcW w:w="3515" w:type="dxa"/>
            <w:tcMar>
              <w:top w:w="75" w:type="dxa"/>
              <w:left w:w="85" w:type="dxa"/>
              <w:bottom w:w="75" w:type="dxa"/>
              <w:right w:w="85" w:type="dxa"/>
            </w:tcMar>
            <w:vAlign w:val="center"/>
          </w:tcPr>
          <w:p ns2:paraId="0B7C3C53">
            <w:pPr>
              <w:spacing w:after="0" w:line="252" w:lineRule="auto"/>
              <w:rPr>
                <w:rFonts w:hint="eastAsia" w:ascii="宋体" w:hAnsi="宋体" w:eastAsia="宋体" w:cs="宋体"/>
              </w:rPr>
            </w:pPr>
            <w:r>
              <w:rPr>
                <w:rFonts w:hint="eastAsia" w:ascii="宋体" w:hAnsi="宋体" w:eastAsia="宋体" w:cs="宋体"/>
                <w:sz w:val="18"/>
              </w:rPr>
              <w:t>每次决策可解释、可复现、可审计</w:t>
            </w:r>
          </w:p>
        </w:tc>
      </w:tr>
    </w:tbl>
    <w:p ns2:paraId="17C12F40">
      <w:pPr>
        <w:spacing w:after="20"/>
        <w:rPr>
          <w:rFonts w:hint="eastAsia" w:ascii="宋体" w:hAnsi="宋体" w:eastAsia="宋体" w:cs="宋体"/>
        </w:rPr>
      </w:pPr>
    </w:p>
    <w:p ns2:paraId="034A3F9C">
      <w:pPr>
        <w:pStyle w:val="4"/>
        <w:keepNext/>
        <w:spacing w:before="140" w:after="120"/>
        <w:rPr>
          <w:rFonts w:hint="eastAsia" w:ascii="宋体" w:hAnsi="宋体" w:eastAsia="宋体" w:cs="宋体"/>
        </w:rPr>
      </w:pPr>
      <w:r>
        <w:rPr>
          <w:rFonts w:hint="eastAsia" w:ascii="宋体" w:hAnsi="宋体" w:eastAsia="宋体" w:cs="宋体"/>
          <w:b/>
          <w:color w:val="1F4E79"/>
          <w:sz w:val="26"/>
        </w:rPr>
        <w:t>4.3 核心价值主张</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803"/>
      </w:tblGrid>
      <w:tr ns2:paraId="683C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1F4E79"/>
            <w:tcMar>
              <w:top w:w="90" w:type="dxa"/>
              <w:left w:w="90" w:type="dxa"/>
              <w:bottom w:w="90" w:type="dxa"/>
              <w:right w:w="90" w:type="dxa"/>
            </w:tcMar>
            <w:vAlign w:val="center"/>
          </w:tcPr>
          <w:p ns2:paraId="3EFF3530">
            <w:pPr>
              <w:spacing w:after="0" w:line="240" w:lineRule="auto"/>
              <w:jc w:val="center"/>
              <w:rPr>
                <w:rFonts w:hint="eastAsia" w:ascii="宋体" w:hAnsi="宋体" w:eastAsia="宋体" w:cs="宋体"/>
              </w:rPr>
            </w:pPr>
            <w:r>
              <w:rPr>
                <w:rFonts w:hint="eastAsia" w:ascii="宋体" w:hAnsi="宋体" w:eastAsia="宋体" w:cs="宋体"/>
                <w:b/>
                <w:color w:val="FFFFFF"/>
                <w:sz w:val="18"/>
              </w:rPr>
              <w:t>价值</w:t>
            </w:r>
          </w:p>
        </w:tc>
        <w:tc>
          <w:tcPr>
            <w:tcW w:w="6803" w:type="dxa"/>
            <w:shd w:val="clear" w:color="auto" w:fill="1F4E79"/>
            <w:tcMar>
              <w:top w:w="90" w:type="dxa"/>
              <w:left w:w="90" w:type="dxa"/>
              <w:bottom w:w="90" w:type="dxa"/>
              <w:right w:w="90" w:type="dxa"/>
            </w:tcMar>
            <w:vAlign w:val="center"/>
          </w:tcPr>
          <w:p ns2:paraId="07CB1922">
            <w:pPr>
              <w:spacing w:after="0" w:line="240" w:lineRule="auto"/>
              <w:jc w:val="center"/>
              <w:rPr>
                <w:rFonts w:hint="eastAsia" w:ascii="宋体" w:hAnsi="宋体" w:eastAsia="宋体" w:cs="宋体"/>
              </w:rPr>
            </w:pPr>
            <w:r>
              <w:rPr>
                <w:rFonts w:hint="eastAsia" w:ascii="宋体" w:hAnsi="宋体" w:eastAsia="宋体" w:cs="宋体"/>
                <w:b/>
                <w:color w:val="FFFFFF"/>
                <w:sz w:val="18"/>
              </w:rPr>
              <w:t>目标指标（待实验/POC验证）</w:t>
            </w:r>
          </w:p>
        </w:tc>
      </w:tr>
      <w:tr ns2:paraId="271B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5BE68C23">
            <w:pPr>
              <w:spacing w:after="0" w:line="252" w:lineRule="auto"/>
              <w:rPr>
                <w:rFonts w:hint="eastAsia" w:ascii="宋体" w:hAnsi="宋体" w:eastAsia="宋体" w:cs="宋体"/>
              </w:rPr>
            </w:pPr>
            <w:r>
              <w:rPr>
                <w:rFonts w:hint="eastAsia" w:ascii="宋体" w:hAnsi="宋体" w:eastAsia="宋体" w:cs="宋体"/>
                <w:sz w:val="18"/>
              </w:rPr>
              <w:t>更有效的信息利用</w:t>
            </w:r>
          </w:p>
        </w:tc>
        <w:tc>
          <w:tcPr>
            <w:tcW w:w="6803" w:type="dxa"/>
            <w:tcMar>
              <w:top w:w="75" w:type="dxa"/>
              <w:left w:w="85" w:type="dxa"/>
              <w:bottom w:w="75" w:type="dxa"/>
              <w:right w:w="85" w:type="dxa"/>
            </w:tcMar>
            <w:vAlign w:val="center"/>
          </w:tcPr>
          <w:p ns2:paraId="1D354801">
            <w:pPr>
              <w:spacing w:after="0" w:line="252" w:lineRule="auto"/>
              <w:rPr>
                <w:rFonts w:hint="eastAsia" w:ascii="宋体" w:hAnsi="宋体" w:eastAsia="宋体" w:cs="宋体"/>
              </w:rPr>
            </w:pPr>
            <w:r>
              <w:rPr>
                <w:rFonts w:hint="eastAsia" w:ascii="宋体" w:hAnsi="宋体" w:eastAsia="宋体" w:cs="宋体"/>
                <w:sz w:val="18"/>
              </w:rPr>
              <w:t>在同等Agent调用数下，提高RankIC/ICIR、Sharpe或Regime稳定性</w:t>
            </w:r>
          </w:p>
        </w:tc>
      </w:tr>
      <w:tr ns2:paraId="79E5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9FC"/>
            <w:tcMar>
              <w:top w:w="75" w:type="dxa"/>
              <w:left w:w="85" w:type="dxa"/>
              <w:bottom w:w="75" w:type="dxa"/>
              <w:right w:w="85" w:type="dxa"/>
            </w:tcMar>
            <w:vAlign w:val="center"/>
          </w:tcPr>
          <w:p ns2:paraId="0EE67979">
            <w:pPr>
              <w:spacing w:after="0" w:line="252" w:lineRule="auto"/>
              <w:rPr>
                <w:rFonts w:hint="eastAsia" w:ascii="宋体" w:hAnsi="宋体" w:eastAsia="宋体" w:cs="宋体"/>
              </w:rPr>
            </w:pPr>
            <w:r>
              <w:rPr>
                <w:rFonts w:hint="eastAsia" w:ascii="宋体" w:hAnsi="宋体" w:eastAsia="宋体" w:cs="宋体"/>
                <w:sz w:val="18"/>
              </w:rPr>
              <w:t>更低推理成本</w:t>
            </w:r>
          </w:p>
        </w:tc>
        <w:tc>
          <w:tcPr>
            <w:tcW w:w="6803" w:type="dxa"/>
            <w:shd w:val="clear" w:color="auto" w:fill="F7F9FC"/>
            <w:tcMar>
              <w:top w:w="75" w:type="dxa"/>
              <w:left w:w="85" w:type="dxa"/>
              <w:bottom w:w="75" w:type="dxa"/>
              <w:right w:w="85" w:type="dxa"/>
            </w:tcMar>
            <w:vAlign w:val="center"/>
          </w:tcPr>
          <w:p ns2:paraId="3289FBAD">
            <w:pPr>
              <w:spacing w:after="0" w:line="252" w:lineRule="auto"/>
              <w:rPr>
                <w:rFonts w:hint="eastAsia" w:ascii="宋体" w:hAnsi="宋体" w:eastAsia="宋体" w:cs="宋体"/>
              </w:rPr>
            </w:pPr>
            <w:r>
              <w:rPr>
                <w:rFonts w:hint="eastAsia" w:ascii="宋体" w:hAnsi="宋体" w:eastAsia="宋体" w:cs="宋体"/>
                <w:sz w:val="18"/>
              </w:rPr>
              <w:t>在接近基线表现的条件下，目标减少30%–60%的Agent/Token调用</w:t>
            </w:r>
          </w:p>
        </w:tc>
      </w:tr>
      <w:tr ns2:paraId="030A1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55BE60E1">
            <w:pPr>
              <w:spacing w:after="0" w:line="252" w:lineRule="auto"/>
              <w:rPr>
                <w:rFonts w:hint="eastAsia" w:ascii="宋体" w:hAnsi="宋体" w:eastAsia="宋体" w:cs="宋体"/>
              </w:rPr>
            </w:pPr>
            <w:r>
              <w:rPr>
                <w:rFonts w:hint="eastAsia" w:ascii="宋体" w:hAnsi="宋体" w:eastAsia="宋体" w:cs="宋体"/>
                <w:sz w:val="18"/>
              </w:rPr>
              <w:t>更快适应市场变化</w:t>
            </w:r>
          </w:p>
        </w:tc>
        <w:tc>
          <w:tcPr>
            <w:tcW w:w="6803" w:type="dxa"/>
            <w:tcMar>
              <w:top w:w="75" w:type="dxa"/>
              <w:left w:w="85" w:type="dxa"/>
              <w:bottom w:w="75" w:type="dxa"/>
              <w:right w:w="85" w:type="dxa"/>
            </w:tcMar>
            <w:vAlign w:val="center"/>
          </w:tcPr>
          <w:p ns2:paraId="3F642DCC">
            <w:pPr>
              <w:spacing w:after="0" w:line="252" w:lineRule="auto"/>
              <w:rPr>
                <w:rFonts w:hint="eastAsia" w:ascii="宋体" w:hAnsi="宋体" w:eastAsia="宋体" w:cs="宋体"/>
              </w:rPr>
            </w:pPr>
            <w:r>
              <w:rPr>
                <w:rFonts w:hint="eastAsia" w:ascii="宋体" w:hAnsi="宋体" w:eastAsia="宋体" w:cs="宋体"/>
                <w:sz w:val="18"/>
              </w:rPr>
              <w:t>缩短Regime变化后的专家组合恢复时间，减少“昨日冠军”权重惯性</w:t>
            </w:r>
          </w:p>
        </w:tc>
      </w:tr>
      <w:tr ns2:paraId="1794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9FC"/>
            <w:tcMar>
              <w:top w:w="75" w:type="dxa"/>
              <w:left w:w="85" w:type="dxa"/>
              <w:bottom w:w="75" w:type="dxa"/>
              <w:right w:w="85" w:type="dxa"/>
            </w:tcMar>
            <w:vAlign w:val="center"/>
          </w:tcPr>
          <w:p ns2:paraId="2D5B7B1A">
            <w:pPr>
              <w:spacing w:after="0" w:line="252" w:lineRule="auto"/>
              <w:rPr>
                <w:rFonts w:hint="eastAsia" w:ascii="宋体" w:hAnsi="宋体" w:eastAsia="宋体" w:cs="宋体"/>
              </w:rPr>
            </w:pPr>
            <w:r>
              <w:rPr>
                <w:rFonts w:hint="eastAsia" w:ascii="宋体" w:hAnsi="宋体" w:eastAsia="宋体" w:cs="宋体"/>
                <w:sz w:val="18"/>
              </w:rPr>
              <w:t>更可信的冲突处理</w:t>
            </w:r>
          </w:p>
        </w:tc>
        <w:tc>
          <w:tcPr>
            <w:tcW w:w="6803" w:type="dxa"/>
            <w:shd w:val="clear" w:color="auto" w:fill="F7F9FC"/>
            <w:tcMar>
              <w:top w:w="75" w:type="dxa"/>
              <w:left w:w="85" w:type="dxa"/>
              <w:bottom w:w="75" w:type="dxa"/>
              <w:right w:w="85" w:type="dxa"/>
            </w:tcMar>
            <w:vAlign w:val="center"/>
          </w:tcPr>
          <w:p ns2:paraId="5A8979A7">
            <w:pPr>
              <w:spacing w:after="0" w:line="252" w:lineRule="auto"/>
              <w:rPr>
                <w:rFonts w:hint="eastAsia" w:ascii="宋体" w:hAnsi="宋体" w:eastAsia="宋体" w:cs="宋体"/>
              </w:rPr>
            </w:pPr>
            <w:r>
              <w:rPr>
                <w:rFonts w:hint="eastAsia" w:ascii="宋体" w:hAnsi="宋体" w:eastAsia="宋体" w:cs="宋体"/>
                <w:sz w:val="18"/>
              </w:rPr>
              <w:t>Debate只在高价值冲突触发；低置信度场景允许Abstain/降暴露</w:t>
            </w:r>
          </w:p>
        </w:tc>
      </w:tr>
      <w:tr ns2:paraId="5626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732F1DE6">
            <w:pPr>
              <w:spacing w:after="0" w:line="252" w:lineRule="auto"/>
              <w:rPr>
                <w:rFonts w:hint="eastAsia" w:ascii="宋体" w:hAnsi="宋体" w:eastAsia="宋体" w:cs="宋体"/>
              </w:rPr>
            </w:pPr>
            <w:r>
              <w:rPr>
                <w:rFonts w:hint="eastAsia" w:ascii="宋体" w:hAnsi="宋体" w:eastAsia="宋体" w:cs="宋体"/>
                <w:sz w:val="18"/>
              </w:rPr>
              <w:t>机构级可治理</w:t>
            </w:r>
          </w:p>
        </w:tc>
        <w:tc>
          <w:tcPr>
            <w:tcW w:w="6803" w:type="dxa"/>
            <w:tcMar>
              <w:top w:w="75" w:type="dxa"/>
              <w:left w:w="85" w:type="dxa"/>
              <w:bottom w:w="75" w:type="dxa"/>
              <w:right w:w="85" w:type="dxa"/>
            </w:tcMar>
            <w:vAlign w:val="center"/>
          </w:tcPr>
          <w:p ns2:paraId="7CDA424C">
            <w:pPr>
              <w:spacing w:after="0" w:line="252" w:lineRule="auto"/>
              <w:rPr>
                <w:rFonts w:hint="eastAsia" w:ascii="宋体" w:hAnsi="宋体" w:eastAsia="宋体" w:cs="宋体"/>
              </w:rPr>
            </w:pPr>
            <w:r>
              <w:rPr>
                <w:rFonts w:hint="eastAsia" w:ascii="宋体" w:hAnsi="宋体" w:eastAsia="宋体" w:cs="宋体"/>
                <w:sz w:val="18"/>
              </w:rPr>
              <w:t>完整记录输入版本、Tool Call、Agent选择、证据、成本与最终审批</w:t>
            </w:r>
          </w:p>
        </w:tc>
      </w:tr>
    </w:tbl>
    <w:p ns2:paraId="14B94A26">
      <w:pPr>
        <w:spacing w:after="20"/>
        <w:rPr>
          <w:rFonts w:hint="eastAsia" w:ascii="宋体" w:hAnsi="宋体" w:eastAsia="宋体" w:cs="宋体"/>
        </w:rPr>
      </w:pPr>
    </w:p>
    <w:p ns2:paraId="2BF3F3F5">
      <w:pPr>
        <w:pStyle w:val="3"/>
        <w:keepNext/>
        <w:spacing w:before="240" w:after="120"/>
        <w:rPr>
          <w:rFonts w:hint="eastAsia" w:ascii="宋体" w:hAnsi="宋体" w:eastAsia="宋体" w:cs="宋体"/>
        </w:rPr>
      </w:pPr>
      <w:r>
        <w:rPr>
          <w:rFonts w:hint="eastAsia" w:ascii="宋体" w:hAnsi="宋体" w:eastAsia="宋体" w:cs="宋体"/>
          <w:b/>
          <w:color w:val="17365D"/>
          <w:sz w:val="32"/>
        </w:rPr>
        <w:t>5. 技术架构与Agent工作流</w:t>
      </w:r>
    </w:p>
    <w:p ns2:paraId="7FAE280E">
      <w:pPr>
        <w:jc w:val="center"/>
        <w:rPr>
          <w:rFonts w:hint="eastAsia" w:ascii="宋体" w:hAnsi="宋体" w:eastAsia="宋体" w:cs="宋体"/>
          <w:lang w:eastAsia="zh-CN"/>
        </w:rPr>
      </w:pPr>
      <w:r>
        <w:rPr>
          <w:rFonts w:hint="eastAsia" w:ascii="宋体" w:hAnsi="宋体" w:eastAsia="宋体" w:cs="宋体"/>
          <w:lang w:eastAsia="zh-CN"/>
        </w:rPr>
        <w:drawing>
          <ns3:inline distT="0" distB="0" distL="114300" distR="114300">
            <ns3:extent cx="6320155" cy="4213860"/>
            <ns3:effectExtent l="0" t="0" r="4445" b="2540"/>
            <ns3:docPr id="2" name="图片 2" descr="90f8429b9d964d1040ad3335add17f0e"/>
            <ns3:cNvGraphicFramePr>
              <ns4:graphicFrameLocks noChangeAspect="1"/>
            </ns3:cNvGraphicFramePr>
            <ns4:graphic>
              <ns4:graphicData uri="http://schemas.openxmlformats.org/drawingml/2006/picture">
                <ns5:pic>
                  <ns5:nvPicPr>
                    <ns5:cNvPr id="2" name="图片 2" descr="90f8429b9d964d1040ad3335add17f0e"/>
                    <ns5:cNvPicPr>
                      <ns4:picLocks noChangeAspect="1"/>
                    </ns5:cNvPicPr>
                  </ns5:nvPicPr>
                  <ns5:blipFill>
                    <ns4:blip ns6:embed="rId8"/>
                    <ns4:stretch>
                      <ns4:fillRect/>
                    </ns4:stretch>
                  </ns5:blipFill>
                  <ns5:spPr>
                    <ns4:xfrm>
                      <ns4:off x="0" y="0"/>
                      <ns4:ext cx="6320155" cy="4213860"/>
                    </ns4:xfrm>
                    <ns4:prstGeom prst="rect">
                      <ns4:avLst/>
                    </ns4:prstGeom>
                  </ns5:spPr>
                </ns5:pic>
              </ns4:graphicData>
            </ns4:graphic>
          </ns3:inline>
        </w:drawing>
      </w:r>
    </w:p>
    <w:p ns2:paraId="78A2E888">
      <w:pPr>
        <w:jc w:val="center"/>
        <w:rPr>
          <w:rFonts w:hint="eastAsia" w:ascii="宋体" w:hAnsi="宋体" w:eastAsia="宋体" w:cs="宋体"/>
        </w:rPr>
      </w:pPr>
      <w:r>
        <w:rPr>
          <w:rFonts w:hint="eastAsia" w:ascii="宋体" w:hAnsi="宋体" w:eastAsia="宋体" w:cs="宋体"/>
          <w:color w:val="666666"/>
          <w:sz w:val="17"/>
        </w:rPr>
        <w:t>图1  AlphaOrchestra统一闭环：Selection → Expert Reasoning → Conflict Resolution → Aggregation → Portfolio Feedback</w:t>
      </w:r>
    </w:p>
    <w:p ns2:paraId="3FC2DCE1">
      <w:pPr>
        <w:spacing w:before="120" w:after="0"/>
        <w:jc w:val="center"/>
        <w:rPr>
          <w:rFonts w:hint="eastAsia" w:ascii="宋体" w:hAnsi="宋体" w:eastAsia="宋体" w:cs="宋体"/>
        </w:rPr>
      </w:pPr>
      <w:r>
        <w:rPr>
          <w:rFonts w:hint="eastAsia" w:ascii="宋体" w:hAnsi="宋体" w:eastAsia="宋体" w:cs="宋体"/>
        </w:rPr>
        <w:drawing>
          <ns3:inline distT="0" distB="0" distL="114300" distR="114300">
            <ns3:extent cx="5486400" cy="3185160"/>
            <ns3:effectExtent l="0" t="0" r="0" b="2540"/>
            <ns3:docPr id="5" name="Picture 3"/>
            <ns3:cNvGraphicFramePr>
              <ns4:graphicFrameLocks noChangeAspect="1"/>
            </ns3:cNvGraphicFramePr>
            <ns4:graphic>
              <ns4:graphicData uri="http://schemas.openxmlformats.org/drawingml/2006/picture">
                <ns5:pic>
                  <ns5:nvPicPr>
                    <ns5:cNvPr id="5" name="Picture 3"/>
                    <ns5:cNvPicPr>
                      <ns4:picLocks noChangeAspect="1"/>
                    </ns5:cNvPicPr>
                  </ns5:nvPicPr>
                  <ns5:blipFill>
                    <ns4:blip ns6:embed="rId9"/>
                    <ns4:stretch>
                      <ns4:fillRect/>
                    </ns4:stretch>
                  </ns5:blipFill>
                  <ns5:spPr>
                    <ns4:xfrm>
                      <ns4:off x="0" y="0"/>
                      <ns4:ext cx="5486400" cy="3185226"/>
                    </ns4:xfrm>
                    <ns4:prstGeom prst="rect">
                      <ns4:avLst/>
                    </ns4:prstGeom>
                  </ns5:spPr>
                </ns5:pic>
              </ns4:graphicData>
            </ns4:graphic>
          </ns3:inline>
        </w:drawing>
      </w:r>
    </w:p>
    <w:p ns2:paraId="66B88416">
      <w:pPr>
        <w:jc w:val="center"/>
        <w:rPr>
          <w:rFonts w:hint="eastAsia" w:ascii="宋体" w:hAnsi="宋体" w:eastAsia="宋体" w:cs="宋体"/>
        </w:rPr>
      </w:pPr>
      <w:r>
        <w:rPr>
          <w:rFonts w:hint="eastAsia" w:ascii="宋体" w:hAnsi="宋体" w:eastAsia="宋体" w:cs="宋体"/>
          <w:color w:val="666666"/>
          <w:sz w:val="17"/>
        </w:rPr>
        <w:t>图3  成本–绩效定位：MASS Scaling（论文成本锚点）与 AlphaOrchestra 目标区（目标区为示意，实证见8.3节实验矩阵）</w:t>
      </w:r>
    </w:p>
    <w:p ns2:paraId="47F9316A">
      <w:pPr>
        <w:pStyle w:val="4"/>
        <w:keepNext/>
        <w:spacing w:before="140" w:after="120"/>
        <w:rPr>
          <w:rFonts w:hint="eastAsia" w:ascii="宋体" w:hAnsi="宋体" w:eastAsia="宋体" w:cs="宋体"/>
        </w:rPr>
      </w:pPr>
      <w:r>
        <w:rPr>
          <w:rFonts w:hint="eastAsia" w:ascii="宋体" w:hAnsi="宋体" w:eastAsia="宋体" w:cs="宋体"/>
          <w:b/>
          <w:color w:val="1F4E79"/>
          <w:sz w:val="26"/>
        </w:rPr>
        <w:t>5.1 Agent到底在哪里</w:t>
      </w:r>
    </w:p>
    <w:p ns2:paraId="42F41BE1">
      <w:pPr>
        <w:spacing w:after="100" w:line="300" w:lineRule="auto"/>
        <w:ind w:firstLine="420"/>
        <w:rPr>
          <w:rFonts w:hint="eastAsia" w:ascii="宋体" w:hAnsi="宋体" w:eastAsia="宋体" w:cs="宋体"/>
        </w:rPr>
      </w:pPr>
      <w:r>
        <w:rPr>
          <w:rFonts w:hint="eastAsia" w:ascii="宋体" w:hAnsi="宋体" w:eastAsia="宋体" w:cs="宋体"/>
          <w:sz w:val="21"/>
        </w:rPr>
        <w:t>本项目中的“Agent”并不等于一个LLM API调用。LLM可以承担Router/Diagnosis等控制器中的推理与解释能力，但完整Agent还包括状态、动作空间、工具、Memory、预算与停止规则。真正的智能体性体现在：同一个系统面对不同市场状态和不同冲突证据，会选择不同的专家集合、不同的Debate路径和不同的停止/弃权动作。</w:t>
      </w:r>
    </w:p>
    <w:p ns2:paraId="7C0C8A7C">
      <w:pPr>
        <w:pStyle w:val="4"/>
        <w:keepNext/>
        <w:spacing w:before="140" w:after="120"/>
        <w:rPr>
          <w:rFonts w:hint="eastAsia" w:ascii="宋体" w:hAnsi="宋体" w:eastAsia="宋体" w:cs="宋体"/>
        </w:rPr>
      </w:pPr>
      <w:r>
        <w:rPr>
          <w:rFonts w:hint="eastAsia" w:ascii="宋体" w:hAnsi="宋体" w:eastAsia="宋体" w:cs="宋体"/>
          <w:b/>
          <w:color w:val="1F4E79"/>
          <w:sz w:val="26"/>
        </w:rPr>
        <w:t>5.2 每日运行流程</w:t>
      </w:r>
    </w:p>
    <w:p ns2:paraId="1DE0DB3A">
      <w:pPr>
        <w:pStyle w:val="14"/>
        <w:spacing w:after="60" w:line="283" w:lineRule="auto"/>
        <w:rPr>
          <w:rFonts w:hint="eastAsia" w:ascii="宋体" w:hAnsi="宋体" w:eastAsia="宋体" w:cs="宋体"/>
        </w:rPr>
      </w:pPr>
      <w:r>
        <w:rPr>
          <w:rFonts w:hint="eastAsia" w:ascii="宋体" w:hAnsi="宋体" w:eastAsia="宋体" w:cs="宋体"/>
          <w:sz w:val="20"/>
        </w:rPr>
        <w:t>生成Market State Card：把价格、波动率、成交量、流动性、市场宽度、风格收益、宏观与文本事件编码为固定维向量zₜ=[zₜ^num,zₜ^event]；zₜ^num包括1/5/20日市场收益、20日实现波动率、成交额/换手、流动性、市场宽度、主要风格因子收益及利率、CPI、估值分位等宏观变量，并用滚动z-score或percentile标准化；zₜ^event表示新闻、政策、财报等文本事件的类别特征或固定维embedding/projection。</w:t>
      </w:r>
    </w:p>
    <w:p ns2:paraId="4EF659B7">
      <w:pPr>
        <w:pStyle w:val="14"/>
        <w:spacing w:after="60" w:line="283" w:lineRule="auto"/>
        <w:rPr>
          <w:rFonts w:hint="eastAsia" w:ascii="宋体" w:hAnsi="宋体" w:eastAsia="宋体" w:cs="宋体"/>
        </w:rPr>
      </w:pPr>
      <w:r>
        <w:rPr>
          <w:rFonts w:hint="eastAsia" w:ascii="宋体" w:hAnsi="宋体" w:eastAsia="宋体" w:cs="宋体"/>
          <w:sz w:val="20"/>
        </w:rPr>
        <w:t>Routing Agent读取zₜ、各Expert Type历史表现Hₜ、Profile P和预算Bₜ，输出Type-level调用变量gᵢ,ₜ∈{0,1}；其中i表示Expert/Investor Type，k表示该Type下的Individual Agent/replica。</w:t>
      </w:r>
    </w:p>
    <w:p ns2:paraId="39A10DED">
      <w:pPr>
        <w:pStyle w:val="14"/>
        <w:spacing w:after="60" w:line="283" w:lineRule="auto"/>
        <w:rPr>
          <w:rFonts w:hint="eastAsia" w:ascii="宋体" w:hAnsi="宋体" w:eastAsia="宋体" w:cs="宋体"/>
        </w:rPr>
      </w:pPr>
      <w:r>
        <w:rPr>
          <w:rFonts w:hint="eastAsia" w:ascii="宋体" w:hAnsi="宋体" w:eastAsia="宋体" w:cs="宋体"/>
          <w:sz w:val="20"/>
        </w:rPr>
        <w:t>仅被选中的Expert Type下的Individual Agents执行LLM/模型推理，并统一输出Prediction、Confidence、Horizon、Evidence、Reasoning；Type内多个replica可用于不同候选股票视图、随机采样或ensemble，并先聚合为该Type意见。</w:t>
      </w:r>
    </w:p>
    <w:p ns2:paraId="7B521EF7">
      <w:pPr>
        <w:pStyle w:val="14"/>
        <w:spacing w:after="60" w:line="283" w:lineRule="auto"/>
        <w:rPr>
          <w:rFonts w:hint="eastAsia" w:ascii="宋体" w:hAnsi="宋体" w:eastAsia="宋体" w:cs="宋体"/>
        </w:rPr>
      </w:pPr>
      <w:r>
        <w:rPr>
          <w:rFonts w:hint="eastAsia" w:ascii="宋体" w:hAnsi="宋体" w:eastAsia="宋体" w:cs="宋体"/>
          <w:sz w:val="20"/>
        </w:rPr>
        <w:t>确定性程序计算结构化分歧特征；Diagnosis Agent解释主要冲突来源，并从Aggregate / Targeted Debate / Horizon Align / Abstain中选择动作。</w:t>
      </w:r>
    </w:p>
    <w:p ns2:paraId="370C587F">
      <w:pPr>
        <w:pStyle w:val="14"/>
        <w:spacing w:after="60" w:line="283" w:lineRule="auto"/>
        <w:rPr>
          <w:rFonts w:hint="eastAsia" w:ascii="宋体" w:hAnsi="宋体" w:eastAsia="宋体" w:cs="宋体"/>
        </w:rPr>
      </w:pPr>
      <w:r>
        <w:rPr>
          <w:rFonts w:hint="eastAsia" w:ascii="宋体" w:hAnsi="宋体" w:eastAsia="宋体" w:cs="宋体"/>
          <w:sz w:val="20"/>
        </w:rPr>
        <w:t>Aggregation Agent综合市场状态、Type-level结构化输出、历史表现和历史权重先验d_hist，输出Type-level动态信任权重dᵢ,ₜ，即问完以后信第i类专家多少。</w:t>
      </w:r>
    </w:p>
    <w:p ns2:paraId="530752A2">
      <w:pPr>
        <w:pStyle w:val="14"/>
        <w:spacing w:after="60" w:line="283" w:lineRule="auto"/>
        <w:rPr>
          <w:rFonts w:hint="eastAsia" w:ascii="宋体" w:hAnsi="宋体" w:eastAsia="宋体" w:cs="宋体"/>
        </w:rPr>
      </w:pPr>
      <w:r>
        <w:rPr>
          <w:rFonts w:hint="eastAsia" w:ascii="宋体" w:hAnsi="宋体" w:eastAsia="宋体" w:cs="宋体"/>
          <w:sz w:val="20"/>
        </w:rPr>
        <w:t>形成Final Alpha Signal并交给Portfolio层；实盘/回测收益、风险、换手与推理成本回写Memory，更新Router、Aggregator与Expert Type/Individual Agent Reputation。</w:t>
      </w:r>
    </w:p>
    <w:p ns2:paraId="24EFEEA4">
      <w:pPr>
        <w:pStyle w:val="3"/>
        <w:keepNext/>
        <w:spacing w:before="240" w:after="120"/>
        <w:rPr>
          <w:rFonts w:hint="eastAsia" w:ascii="宋体" w:hAnsi="宋体" w:eastAsia="宋体" w:cs="宋体"/>
        </w:rPr>
      </w:pPr>
      <w:r>
        <w:rPr>
          <w:rFonts w:hint="eastAsia" w:ascii="宋体" w:hAnsi="宋体" w:eastAsia="宋体" w:cs="宋体"/>
          <w:b/>
          <w:color w:val="17365D"/>
          <w:sz w:val="32"/>
        </w:rPr>
        <w:t>6. 三项核心创新</w:t>
      </w:r>
    </w:p>
    <w:p ns2:paraId="0634F5FD">
      <w:pPr>
        <w:pStyle w:val="4"/>
        <w:keepNext/>
        <w:spacing w:before="140" w:after="120"/>
        <w:rPr>
          <w:rFonts w:hint="eastAsia" w:ascii="宋体" w:hAnsi="宋体" w:eastAsia="宋体" w:cs="宋体"/>
        </w:rPr>
      </w:pPr>
      <w:r>
        <w:rPr>
          <w:rFonts w:hint="eastAsia" w:ascii="宋体" w:hAnsi="宋体" w:eastAsia="宋体" w:cs="宋体"/>
          <w:b/>
          <w:color w:val="1F4E79"/>
          <w:sz w:val="26"/>
        </w:rPr>
        <w:t>6.1 创新一：Dual-Stage Agent Orchestration</w:t>
      </w:r>
    </w:p>
    <w:tbl>
      <w:tblPr>
        <w:tblStyle w:val="33"/>
        <w:tblW w:w="0" w:type="auto"/>
        <w:jc w:val="center"/>
        <w:tblLayout w:type="autofit"/>
        <w:tblCellMar>
          <w:top w:w="0" w:type="dxa"/>
          <w:left w:w="108" w:type="dxa"/>
          <w:bottom w:w="0" w:type="dxa"/>
          <w:right w:w="108" w:type="dxa"/>
        </w:tblCellMar>
      </w:tblPr>
      <w:tblGrid>
        <w:gridCol w:w="9972"/>
      </w:tblGrid>
      <w:tr ns2:paraId="424AB8C2">
        <w:tblPrEx>
          <w:tblCellMar>
            <w:top w:w="0" w:type="dxa"/>
            <w:left w:w="108" w:type="dxa"/>
            <w:bottom w:w="0" w:type="dxa"/>
            <w:right w:w="108" w:type="dxa"/>
          </w:tblCellMar>
        </w:tblPrEx>
        <w:trPr>
          <w:jc w:val="center"/>
        </w:trPr>
        <w:tc>
          <w:tcPr>
            <w:tcW w:w="9972" w:type="dxa"/>
            <w:shd w:val="clear" w:color="auto" w:fill="EAF2F8"/>
            <w:tcMar>
              <w:top w:w="160" w:type="dxa"/>
              <w:left w:w="180" w:type="dxa"/>
              <w:bottom w:w="160" w:type="dxa"/>
              <w:right w:w="180" w:type="dxa"/>
            </w:tcMar>
          </w:tcPr>
          <w:p ns2:paraId="4AEFEDD3">
            <w:pPr>
              <w:spacing w:after="60"/>
              <w:rPr>
                <w:rFonts w:hint="eastAsia" w:ascii="宋体" w:hAnsi="宋体" w:eastAsia="宋体" w:cs="宋体"/>
              </w:rPr>
            </w:pPr>
            <w:r>
              <w:rPr>
                <w:rFonts w:hint="eastAsia" w:ascii="宋体" w:hAnsi="宋体" w:eastAsia="宋体" w:cs="宋体"/>
                <w:b/>
                <w:color w:val="1F4E79"/>
                <w:sz w:val="21"/>
              </w:rPr>
              <w:t xml:space="preserve">核心思想  先决定“问哪一类专家”（gᵢ,ₜ），再决定“信这一类专家多少”（dᵢ,ₜ）。这里i表示Expert/Investor Type，k表示该Type下的Individual Agent/replica；Type内输出先聚合为该Type意见。原MASS可理解为gᵢ,ₜ=1，即所有类型均参与，只动态学习dᵢ,ₜ；AlphaOrchestra在此基础上新增事前选择gᵢ,ₜ。</w:t>
            </w:r>
            <w:r>
              <w:rPr>
                <w:rFonts w:hint="eastAsia" w:ascii="宋体" w:hAnsi="宋体" w:eastAsia="宋体" w:cs="宋体"/>
                <w:color w:val="333333"/>
                <w:sz w:val="20"/>
              </w:rPr>
              <w:t/>
            </w:r>
          </w:p>
        </w:tc>
      </w:tr>
    </w:tbl>
    <w:p ns2:paraId="0D2FD15F">
      <w:pPr>
        <w:spacing w:after="20"/>
        <w:rPr>
          <w:rFonts w:hint="eastAsia" w:ascii="宋体" w:hAnsi="宋体" w:eastAsia="宋体" w:cs="宋体"/>
        </w:rPr>
      </w:pPr>
    </w:p>
    <w:p ns2:paraId="2EF601AD">
      <w:pPr>
        <w:spacing w:after="100" w:line="300" w:lineRule="auto"/>
        <w:ind w:firstLine="420"/>
        <w:rPr>
          <w:rFonts w:hint="eastAsia" w:ascii="宋体" w:hAnsi="宋体" w:eastAsia="宋体" w:cs="宋体"/>
        </w:rPr>
      </w:pPr>
      <w:r>
        <w:rPr>
          <w:rFonts w:hint="eastAsia" w:ascii="宋体" w:hAnsi="宋体" w:eastAsia="宋体" w:cs="宋体"/>
          <w:sz w:val="21"/>
        </w:rPr>
        <w:t>Router输入由四部分组成：固定维市场状态zₜ；各Expert Type近5/20日RankIC、hit rate、回撤、不同Regime表现等历史能力Hₜ；数据模态、投资风格、预测期限、能力边界等Profile；以及当日Type数、Token/API费用、延迟等预算Bₜ。第一版可用Contextual Gating Network（MLP + Top-K/阈值）产生调用价值qᵢ,ₜ，再得到gᵢ,ₜ∈{0,1}。</w:t>
      </w:r>
    </w:p>
    <w:p ns2:paraId="44C7CEE3">
      <w:pPr>
        <w:spacing w:after="100" w:line="300" w:lineRule="auto"/>
        <w:ind w:firstLine="420"/>
        <w:rPr>
          <w:rFonts w:hint="eastAsia" w:ascii="宋体" w:hAnsi="宋体" w:eastAsia="宋体" w:cs="宋体"/>
        </w:rPr>
      </w:pPr>
      <w:r>
        <w:rPr>
          <w:rFonts w:hint="eastAsia" w:ascii="宋体" w:hAnsi="宋体" w:eastAsia="宋体" w:cs="宋体"/>
          <w:sz w:val="21"/>
        </w:rPr>
        <w:t>事后Aggregation不再只依赖近期收益，而是可表示为sᵢ,ₜ=fθ(zₜ,oᵢ,ₜ,Hᵢ,ₜ,dᵢ,ₜ^hist)，再对被选Expert Type做Softmax得到dᵢ,ₜ。这使系统能同时利用历史先验、当前市场状态和“该类专家今天具体说了什么”。</w:t>
      </w:r>
    </w:p>
    <w:p ns2:paraId="2E92E4CD">
      <w:pPr>
        <w:rPr>
          <w:rFonts w:hint="eastAsia" w:ascii="宋体" w:hAnsi="宋体" w:eastAsia="宋体" w:cs="宋体"/>
        </w:rPr>
      </w:pPr>
      <w:r>
        <w:rPr>
          <w:rFonts w:hint="eastAsia" w:ascii="宋体" w:hAnsi="宋体" w:eastAsia="宋体" w:cs="宋体"/>
          <w:b/>
        </w:rPr>
        <w:t>当前实现状态：</w:t>
      </w:r>
      <w:r>
        <w:rPr>
          <w:rFonts w:hint="eastAsia" w:ascii="宋体" w:hAnsi="宋体" w:eastAsia="宋体" w:cs="宋体"/>
        </w:rPr>
        <w:t>Market State Encoder、Routing Agent与信号聚合（Aggregation）的初版已实现，并已进入端到端验证实验闭环（见8.2节）。</w:t>
      </w:r>
    </w:p>
    <w:p ns2:paraId="79FCBA8B">
      <w:pPr>
        <w:pStyle w:val="4"/>
        <w:keepNext/>
        <w:spacing w:before="140" w:after="120"/>
        <w:rPr>
          <w:rFonts w:hint="eastAsia" w:ascii="宋体" w:hAnsi="宋体" w:eastAsia="宋体" w:cs="宋体"/>
        </w:rPr>
      </w:pPr>
      <w:r>
        <w:rPr>
          <w:rFonts w:hint="eastAsia" w:ascii="宋体" w:hAnsi="宋体" w:eastAsia="宋体" w:cs="宋体"/>
          <w:b/>
          <w:color w:val="1F4E79"/>
          <w:sz w:val="26"/>
        </w:rPr>
        <w:t>6.2 创新二：Structured Disagreement Diagnosis</w:t>
      </w:r>
    </w:p>
    <w:tbl>
      <w:tblPr>
        <w:tblStyle w:val="33"/>
        <w:tblW w:w="0" w:type="auto"/>
        <w:jc w:val="center"/>
        <w:tblLayout w:type="autofit"/>
        <w:tblCellMar>
          <w:top w:w="0" w:type="dxa"/>
          <w:left w:w="108" w:type="dxa"/>
          <w:bottom w:w="0" w:type="dxa"/>
          <w:right w:w="108" w:type="dxa"/>
        </w:tblCellMar>
      </w:tblPr>
      <w:tblGrid>
        <w:gridCol w:w="9972"/>
      </w:tblGrid>
      <w:tr ns2:paraId="27A532B9">
        <w:tblPrEx>
          <w:tblCellMar>
            <w:top w:w="0" w:type="dxa"/>
            <w:left w:w="108" w:type="dxa"/>
            <w:bottom w:w="0" w:type="dxa"/>
            <w:right w:w="108" w:type="dxa"/>
          </w:tblCellMar>
        </w:tblPrEx>
        <w:trPr>
          <w:jc w:val="center"/>
        </w:trPr>
        <w:tc>
          <w:tcPr>
            <w:tcW w:w="9972" w:type="dxa"/>
            <w:shd w:val="clear" w:color="auto" w:fill="EAF2F8"/>
            <w:tcMar>
              <w:top w:w="160" w:type="dxa"/>
              <w:left w:w="180" w:type="dxa"/>
              <w:bottom w:w="160" w:type="dxa"/>
              <w:right w:w="180" w:type="dxa"/>
            </w:tcMar>
          </w:tcPr>
          <w:p ns2:paraId="0EA6A166">
            <w:pPr>
              <w:spacing w:after="60"/>
              <w:rPr>
                <w:rFonts w:hint="eastAsia" w:ascii="宋体" w:hAnsi="宋体" w:eastAsia="宋体" w:cs="宋体"/>
              </w:rPr>
            </w:pPr>
            <w:r>
              <w:rPr>
                <w:rFonts w:hint="eastAsia" w:ascii="宋体" w:hAnsi="宋体" w:eastAsia="宋体" w:cs="宋体"/>
                <w:b/>
                <w:color w:val="1F4E79"/>
                <w:sz w:val="21"/>
              </w:rPr>
              <w:t xml:space="preserve">核心思想  </w:t>
            </w:r>
            <w:r>
              <w:rPr>
                <w:rFonts w:hint="eastAsia" w:ascii="宋体" w:hAnsi="宋体" w:eastAsia="宋体" w:cs="宋体"/>
                <w:color w:val="333333"/>
                <w:sz w:val="20"/>
              </w:rPr>
              <w:t>从“分歧有多大”升级为“为什么分歧，以及这种分歧应该被讨论、对齐、忽略还是用于降低风险”。</w:t>
            </w:r>
          </w:p>
        </w:tc>
      </w:tr>
    </w:tbl>
    <w:p ns2:paraId="702F9455">
      <w:pPr>
        <w:spacing w:after="20"/>
        <w:rPr>
          <w:rFonts w:hint="eastAsia" w:ascii="宋体" w:hAnsi="宋体" w:eastAsia="宋体" w:cs="宋体"/>
        </w:rPr>
      </w:pPr>
    </w:p>
    <w:p ns2:paraId="01F8381C">
      <w:pPr>
        <w:spacing w:after="100" w:line="300" w:lineRule="auto"/>
        <w:ind w:firstLine="420"/>
        <w:rPr>
          <w:rFonts w:hint="eastAsia" w:ascii="宋体" w:hAnsi="宋体" w:eastAsia="宋体" w:cs="宋体"/>
        </w:rPr>
      </w:pPr>
      <w:r>
        <w:rPr>
          <w:rFonts w:hint="eastAsia" w:ascii="宋体" w:hAnsi="宋体" w:eastAsia="宋体" w:cs="宋体"/>
          <w:sz w:val="21"/>
        </w:rPr>
        <w:t>代表性的共识—分歧聚合方法通常将分歧压缩为单一加权标准差σ。本项目要求Expert Agent结构化输出，并以确定性程序计算分歧向量D=[D_pred,D_evidence,D_horizon,D_conf,D_semantic]：分别表示预测方向、证据集合、预测期限、置信度与语义推理差异。之后Diagnosis Agent只能基于这些结构化证据给出冲突类别，例如model noise、information conflict、horizon conflict、regime conflict、high uncertainty。</w:t>
      </w:r>
    </w:p>
    <w:p ns2:paraId="138A5290">
      <w:pPr>
        <w:spacing w:after="100" w:line="300" w:lineRule="auto"/>
        <w:ind w:firstLine="420"/>
        <w:rPr>
          <w:rFonts w:hint="eastAsia" w:ascii="宋体" w:hAnsi="宋体" w:eastAsia="宋体" w:cs="宋体"/>
        </w:rPr>
      </w:pPr>
      <w:r>
        <w:rPr>
          <w:rFonts w:hint="eastAsia" w:ascii="宋体" w:hAnsi="宋体" w:eastAsia="宋体" w:cs="宋体"/>
          <w:sz w:val="21"/>
        </w:rPr>
        <w:t>若 Fundamental Agent基于盈利改善看多而News/Policy Agent基于监管事件看空，系统不会让所有Agent无限讨论，而是先统一投资期限，再向冲突双方提出同一个有边界的问题；若高分歧同时伴随普遍低置信度且Debate无法收敛，则输出系统置信度c_sys并触发Abstain或降低仓位。这相当于给多智能体组合增加“我不知道”的能力。</w:t>
      </w:r>
    </w:p>
    <w:p ns2:paraId="138A5290">
      <w:pPr>
        <w:spacing w:after="100" w:line="300" w:lineRule="auto"/>
        <w:ind w:firstLine="420"/>
        <w:rPr>
          <w:rFonts w:hint="eastAsia" w:ascii="宋体" w:hAnsi="宋体" w:eastAsia="宋体" w:cs="宋体"/>
        </w:rPr>
      </w:pPr>
      <w:r>
        <w:rPr>
          <w:rFonts w:hint="eastAsia" w:ascii="宋体" w:hAnsi="宋体" w:eastAsia="宋体" w:cs="宋体"/>
          <w:sz w:val="21"/>
        </w:rPr>
        <w:t>冲突处理后的第i类专家对股票s在t时刻的预测记为p̃ᵢ,ₛ,ₜ：Aggregate保持原预测，Targeted Debate使用讨论后的修正预测，Horizon Align使用统一期限后的重新预测，Abstain通过系统置信度降低风险暴露而非强制生成方向。Aggregation Agent输出dᵢ,ₜ=gᵢ,ₜexp(sᵢ,ₜ)/Σⱼgⱼ,ₜexp(sⱼ,ₜ)，其中sᵢ,ₜ为第i类专家trust score，因此gᵢ,ₜ=0时dᵢ,ₜ=0且Σᵢdᵢ,ₜ=1。聚合预测μₛ,ₜ=Σᵢdᵢ,ₜp̃ᵢ,ₛ,ₜ，系统置信度c_sysₛ,ₜ∈[0,1]，最终Alphaₛ,ₜ=c_sysₛ,ₜμₛ,ₜ；当c_sysₛ,ₜ&lt;τ_abstain时，可令该股票Alpha归零或显著降低对应风险暴露。</w:t>
      </w:r>
    </w:p>
    <w:p ns2:paraId="3A0B9F22">
      <w:pPr>
        <w:rPr>
          <w:rFonts w:hint="eastAsia" w:ascii="宋体" w:hAnsi="宋体" w:eastAsia="宋体" w:cs="宋体"/>
        </w:rPr>
      </w:pPr>
      <w:r>
        <w:rPr>
          <w:rFonts w:hint="eastAsia" w:ascii="宋体" w:hAnsi="宋体" w:eastAsia="宋体" w:cs="宋体"/>
          <w:b/>
        </w:rPr>
        <w:t>当前实现状态：</w:t>
      </w:r>
      <w:r>
        <w:rPr>
          <w:rFonts w:hint="eastAsia" w:ascii="宋体" w:hAnsi="宋体" w:eastAsia="宋体" w:cs="宋体"/>
        </w:rPr>
        <w:t>分歧严重度计算与风险暴露控制（Exposure Control）已实现并进入实验闭环；基于LLM的分歧归因解释与定向Debate机制已完成设计，为下一迭代重点。</w:t>
      </w:r>
    </w:p>
    <w:p ns2:paraId="0C65818E">
      <w:pPr>
        <w:pStyle w:val="4"/>
        <w:keepNext/>
        <w:spacing w:before="140" w:after="120"/>
        <w:rPr>
          <w:rFonts w:hint="eastAsia" w:ascii="宋体" w:hAnsi="宋体" w:eastAsia="宋体" w:cs="宋体"/>
        </w:rPr>
      </w:pPr>
      <w:r>
        <w:rPr>
          <w:rFonts w:hint="eastAsia" w:ascii="宋体" w:hAnsi="宋体" w:eastAsia="宋体" w:cs="宋体"/>
          <w:b/>
          <w:color w:val="1F4E79"/>
          <w:sz w:val="26"/>
        </w:rPr>
        <w:t>6.3 创新三：Diversity &amp; Cost-Aware Adaptive Computation</w:t>
      </w:r>
    </w:p>
    <w:tbl>
      <w:tblPr>
        <w:tblStyle w:val="33"/>
        <w:tblW w:w="0" w:type="auto"/>
        <w:jc w:val="center"/>
        <w:tblLayout w:type="autofit"/>
        <w:tblCellMar>
          <w:top w:w="0" w:type="dxa"/>
          <w:left w:w="108" w:type="dxa"/>
          <w:bottom w:w="0" w:type="dxa"/>
          <w:right w:w="108" w:type="dxa"/>
        </w:tblCellMar>
      </w:tblPr>
      <w:tblGrid>
        <w:gridCol w:w="9972"/>
      </w:tblGrid>
      <w:tr ns2:paraId="14A0EFE0">
        <w:tblPrEx>
          <w:tblCellMar>
            <w:top w:w="0" w:type="dxa"/>
            <w:left w:w="108" w:type="dxa"/>
            <w:bottom w:w="0" w:type="dxa"/>
            <w:right w:w="108" w:type="dxa"/>
          </w:tblCellMar>
        </w:tblPrEx>
        <w:trPr>
          <w:jc w:val="center"/>
        </w:trPr>
        <w:tc>
          <w:tcPr>
            <w:tcW w:w="9972" w:type="dxa"/>
            <w:shd w:val="clear" w:color="auto" w:fill="EAF2F8"/>
            <w:tcMar>
              <w:top w:w="160" w:type="dxa"/>
              <w:left w:w="180" w:type="dxa"/>
              <w:bottom w:w="160" w:type="dxa"/>
              <w:right w:w="180" w:type="dxa"/>
            </w:tcMar>
          </w:tcPr>
          <w:p ns2:paraId="705C3F5F">
            <w:pPr>
              <w:spacing w:after="60"/>
              <w:rPr>
                <w:rFonts w:hint="eastAsia" w:ascii="宋体" w:hAnsi="宋体" w:eastAsia="宋体" w:cs="宋体"/>
              </w:rPr>
            </w:pPr>
            <w:r>
              <w:rPr>
                <w:rFonts w:hint="eastAsia" w:ascii="宋体" w:hAnsi="宋体" w:eastAsia="宋体" w:cs="宋体"/>
                <w:b/>
                <w:color w:val="1F4E79"/>
                <w:sz w:val="21"/>
              </w:rPr>
              <w:t xml:space="preserve">核心思想  Raw Agent Count ≠ Effective Independent Information Count。目标不是调用最多Agent，而是用最少的一组互补专家获得更高的有效信息密度。Innovation 1解决决策结构问题：在专家推理前新增独立Selection变量gₜ，并将其与事后Aggregation权重dₜ分离；Innovation 3解决Selection的优化目标问题：在既有Routing机制上进一步权衡信息价值、信息互补性和计算成本，并动态决定计算预算。</w:t>
            </w:r>
            <w:r>
              <w:rPr>
                <w:rFonts w:hint="eastAsia" w:ascii="宋体" w:hAnsi="宋体" w:eastAsia="宋体" w:cs="宋体"/>
                <w:color w:val="333333"/>
                <w:sz w:val="20"/>
              </w:rPr>
              <w:t/>
            </w:r>
          </w:p>
        </w:tc>
      </w:tr>
    </w:tbl>
    <w:p ns2:paraId="199AA7DD">
      <w:pPr>
        <w:spacing w:after="20"/>
        <w:rPr>
          <w:rFonts w:hint="eastAsia" w:ascii="宋体" w:hAnsi="宋体" w:eastAsia="宋体" w:cs="宋体"/>
        </w:rPr>
      </w:pPr>
    </w:p>
    <w:p ns2:paraId="0F3F82CA">
      <w:pPr>
        <w:spacing w:after="100" w:line="300" w:lineRule="auto"/>
        <w:ind w:firstLine="420"/>
        <w:rPr>
          <w:rFonts w:hint="eastAsia" w:ascii="宋体" w:hAnsi="宋体" w:eastAsia="宋体" w:cs="宋体"/>
        </w:rPr>
      </w:pPr>
      <w:r>
        <w:rPr>
          <w:rFonts w:hint="eastAsia" w:ascii="宋体" w:hAnsi="宋体" w:eastAsia="宋体" w:cs="宋体"/>
          <w:sz w:val="21"/>
        </w:rPr>
        <w:t>系统为每个Expert Type维护长期Representation，包括Data Modality、Investment Style、历史预测序列、Reasoning Embedding、Token/Latency/API Cost，并构造相似度Rᵢⱼ,ₜ。Router目标可写为：最大化 ΣᵢgᵢUᵢ,ₜ − λΣᵢ&lt;ⱼgᵢgⱼRᵢⱼ,ₜ − ηΣᵢgᵢcᵢ,ₜ，即奖励预期信息/Alpha价值，惩罚专家冗余与推理成本。可计算定义为：Uᵢ,ₜ=w₁RankICᵢ,ₜ^recent+w₂HitRateᵢ,ₜ+w₃RegimeScoreᵢ,ₜ，可用近5/20日滚动能力指标；Rᵢⱼ,ₜ=γ₁Corr(Predᵢ,Predⱼ)+γ₂CosSim(Reasonᵢ,Reasonⱼ)+γ₃DataOverlap(i,j)；cᵢ,ₜ=aTokenCostᵢ,ₜ+bLatencyᵢ,ₜ+cAPICostᵢ,ₜ。各项进入目标函数前统一尺度归一化。第一版用贪心选择即可，不必直接上复杂组合优化。</w:t>
      </w:r>
    </w:p>
    <w:p ns2:paraId="14B2A250">
      <w:pPr>
        <w:spacing w:after="100" w:line="300" w:lineRule="auto"/>
        <w:ind w:firstLine="420"/>
        <w:rPr>
          <w:rFonts w:hint="eastAsia" w:ascii="宋体" w:hAnsi="宋体" w:eastAsia="宋体" w:cs="宋体"/>
        </w:rPr>
      </w:pPr>
      <w:r>
        <w:rPr>
          <w:rFonts w:hint="eastAsia" w:ascii="宋体" w:hAnsi="宋体" w:eastAsia="宋体" w:cs="宋体"/>
          <w:sz w:val="21"/>
        </w:rPr>
        <w:t>同时定义Market Complexity=f(Volatility, Event Intensity, OOD, Uncertainty)，先形成事前Routing预算Bₜ^route=f(MarketComplexityₜ)，在Expert Agent执行前确定最大调用Expert Type数量与初始Token/API Budget；收到专家输出并完成分歧诊断后，再形成事后Deliberation预算Bₛ,ₜ^debate=f(MarketComplexityₜ,Dₛ,ₜ,Uncertaintyₛ,ₜ)，决定是否触发Debate、Debate轮数与额外Token Budget。正常市场少问、少讨论；重大政策或极端波动时允许更多互补Agent和更高Debate预算。这样“How much to think”是在推理过程中动态调整，也可以画出Performance–Cost Frontier。（见图3）</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4252"/>
        <w:gridCol w:w="2835"/>
      </w:tblGrid>
      <w:tr ns2:paraId="3501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1F4E79"/>
            <w:tcMar>
              <w:top w:w="90" w:type="dxa"/>
              <w:left w:w="90" w:type="dxa"/>
              <w:bottom w:w="90" w:type="dxa"/>
              <w:right w:w="90" w:type="dxa"/>
            </w:tcMar>
            <w:vAlign w:val="center"/>
          </w:tcPr>
          <w:p ns2:paraId="48E799B1">
            <w:pPr>
              <w:spacing w:after="0" w:line="240" w:lineRule="auto"/>
              <w:jc w:val="center"/>
              <w:rPr>
                <w:rFonts w:hint="eastAsia" w:ascii="宋体" w:hAnsi="宋体" w:eastAsia="宋体" w:cs="宋体"/>
              </w:rPr>
            </w:pPr>
            <w:r>
              <w:rPr>
                <w:rFonts w:hint="eastAsia" w:ascii="宋体" w:hAnsi="宋体" w:eastAsia="宋体" w:cs="宋体"/>
                <w:b/>
                <w:color w:val="FFFFFF"/>
                <w:sz w:val="18"/>
              </w:rPr>
              <w:t>创新</w:t>
            </w:r>
          </w:p>
        </w:tc>
        <w:tc>
          <w:tcPr>
            <w:tcW w:w="4252" w:type="dxa"/>
            <w:shd w:val="clear" w:color="auto" w:fill="1F4E79"/>
            <w:tcMar>
              <w:top w:w="90" w:type="dxa"/>
              <w:left w:w="90" w:type="dxa"/>
              <w:bottom w:w="90" w:type="dxa"/>
              <w:right w:w="90" w:type="dxa"/>
            </w:tcMar>
            <w:vAlign w:val="center"/>
          </w:tcPr>
          <w:p ns2:paraId="7EA73F62">
            <w:pPr>
              <w:spacing w:after="0" w:line="240" w:lineRule="auto"/>
              <w:jc w:val="center"/>
              <w:rPr>
                <w:rFonts w:hint="eastAsia" w:ascii="宋体" w:hAnsi="宋体" w:eastAsia="宋体" w:cs="宋体"/>
              </w:rPr>
            </w:pPr>
            <w:r>
              <w:rPr>
                <w:rFonts w:hint="eastAsia" w:ascii="宋体" w:hAnsi="宋体" w:eastAsia="宋体" w:cs="宋体"/>
                <w:b/>
                <w:color w:val="FFFFFF"/>
                <w:sz w:val="18"/>
              </w:rPr>
              <w:t>最重要的消融问题</w:t>
            </w:r>
          </w:p>
        </w:tc>
        <w:tc>
          <w:tcPr>
            <w:tcW w:w="2835" w:type="dxa"/>
            <w:shd w:val="clear" w:color="auto" w:fill="1F4E79"/>
            <w:tcMar>
              <w:top w:w="90" w:type="dxa"/>
              <w:left w:w="90" w:type="dxa"/>
              <w:bottom w:w="90" w:type="dxa"/>
              <w:right w:w="90" w:type="dxa"/>
            </w:tcMar>
            <w:vAlign w:val="center"/>
          </w:tcPr>
          <w:p ns2:paraId="1C0D8D17">
            <w:pPr>
              <w:spacing w:after="0" w:line="240" w:lineRule="auto"/>
              <w:jc w:val="center"/>
              <w:rPr>
                <w:rFonts w:hint="eastAsia" w:ascii="宋体" w:hAnsi="宋体" w:eastAsia="宋体" w:cs="宋体"/>
              </w:rPr>
            </w:pPr>
            <w:r>
              <w:rPr>
                <w:rFonts w:hint="eastAsia" w:ascii="宋体" w:hAnsi="宋体" w:eastAsia="宋体" w:cs="宋体"/>
                <w:b/>
                <w:color w:val="FFFFFF"/>
                <w:sz w:val="18"/>
              </w:rPr>
              <w:t>商业映射</w:t>
            </w:r>
          </w:p>
        </w:tc>
      </w:tr>
      <w:tr ns2:paraId="56B80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5" w:type="dxa"/>
              <w:left w:w="85" w:type="dxa"/>
              <w:bottom w:w="75" w:type="dxa"/>
              <w:right w:w="85" w:type="dxa"/>
            </w:tcMar>
            <w:vAlign w:val="center"/>
          </w:tcPr>
          <w:p ns2:paraId="2A949608">
            <w:pPr>
              <w:spacing w:after="0" w:line="252" w:lineRule="auto"/>
              <w:rPr>
                <w:rFonts w:hint="eastAsia" w:ascii="宋体" w:hAnsi="宋体" w:eastAsia="宋体" w:cs="宋体"/>
              </w:rPr>
            </w:pPr>
            <w:r>
              <w:rPr>
                <w:rFonts w:hint="eastAsia" w:ascii="宋体" w:hAnsi="宋体" w:eastAsia="宋体" w:cs="宋体"/>
                <w:sz w:val="18"/>
              </w:rPr>
              <w:t>双阶段编排</w:t>
            </w:r>
          </w:p>
        </w:tc>
        <w:tc>
          <w:tcPr>
            <w:tcW w:w="4252" w:type="dxa"/>
            <w:tcMar>
              <w:top w:w="75" w:type="dxa"/>
              <w:left w:w="85" w:type="dxa"/>
              <w:bottom w:w="75" w:type="dxa"/>
              <w:right w:w="85" w:type="dxa"/>
            </w:tcMar>
            <w:vAlign w:val="center"/>
          </w:tcPr>
          <w:p ns2:paraId="5CB79E2A">
            <w:pPr>
              <w:spacing w:after="0" w:line="252" w:lineRule="auto"/>
              <w:rPr>
                <w:rFonts w:hint="eastAsia" w:ascii="宋体" w:hAnsi="宋体" w:eastAsia="宋体" w:cs="宋体"/>
              </w:rPr>
            </w:pPr>
            <w:r>
              <w:rPr>
                <w:rFonts w:hint="eastAsia" w:ascii="宋体" w:hAnsi="宋体" w:eastAsia="宋体" w:cs="宋体"/>
                <w:sz w:val="18"/>
              </w:rPr>
              <w:t>公开基线（MASS） vs Router-only vs Aggregator-only vs Router+Aggregator</w:t>
            </w:r>
          </w:p>
        </w:tc>
        <w:tc>
          <w:tcPr>
            <w:tcW w:w="2835" w:type="dxa"/>
            <w:tcMar>
              <w:top w:w="75" w:type="dxa"/>
              <w:left w:w="85" w:type="dxa"/>
              <w:bottom w:w="75" w:type="dxa"/>
              <w:right w:w="85" w:type="dxa"/>
            </w:tcMar>
            <w:vAlign w:val="center"/>
          </w:tcPr>
          <w:p ns2:paraId="2E70D094">
            <w:pPr>
              <w:spacing w:after="0" w:line="252" w:lineRule="auto"/>
              <w:rPr>
                <w:rFonts w:hint="eastAsia" w:ascii="宋体" w:hAnsi="宋体" w:eastAsia="宋体" w:cs="宋体"/>
              </w:rPr>
            </w:pPr>
            <w:r>
              <w:rPr>
                <w:rFonts w:hint="eastAsia" w:ascii="宋体" w:hAnsi="宋体" w:eastAsia="宋体" w:cs="宋体"/>
                <w:sz w:val="18"/>
              </w:rPr>
              <w:t>减少无效调用、提升状态适应</w:t>
            </w:r>
          </w:p>
        </w:tc>
      </w:tr>
      <w:tr ns2:paraId="18017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7F9FC"/>
            <w:tcMar>
              <w:top w:w="75" w:type="dxa"/>
              <w:left w:w="85" w:type="dxa"/>
              <w:bottom w:w="75" w:type="dxa"/>
              <w:right w:w="85" w:type="dxa"/>
            </w:tcMar>
            <w:vAlign w:val="center"/>
          </w:tcPr>
          <w:p ns2:paraId="1596C670">
            <w:pPr>
              <w:spacing w:after="0" w:line="252" w:lineRule="auto"/>
              <w:rPr>
                <w:rFonts w:hint="eastAsia" w:ascii="宋体" w:hAnsi="宋体" w:eastAsia="宋体" w:cs="宋体"/>
              </w:rPr>
            </w:pPr>
            <w:r>
              <w:rPr>
                <w:rFonts w:hint="eastAsia" w:ascii="宋体" w:hAnsi="宋体" w:eastAsia="宋体" w:cs="宋体"/>
                <w:sz w:val="18"/>
              </w:rPr>
              <w:t>结构化分歧</w:t>
            </w:r>
          </w:p>
        </w:tc>
        <w:tc>
          <w:tcPr>
            <w:tcW w:w="4252" w:type="dxa"/>
            <w:shd w:val="clear" w:color="auto" w:fill="F7F9FC"/>
            <w:tcMar>
              <w:top w:w="75" w:type="dxa"/>
              <w:left w:w="85" w:type="dxa"/>
              <w:bottom w:w="75" w:type="dxa"/>
              <w:right w:w="85" w:type="dxa"/>
            </w:tcMar>
            <w:vAlign w:val="center"/>
          </w:tcPr>
          <w:p ns2:paraId="1654C482">
            <w:pPr>
              <w:spacing w:after="0" w:line="252" w:lineRule="auto"/>
              <w:rPr>
                <w:rFonts w:hint="eastAsia" w:ascii="宋体" w:hAnsi="宋体" w:eastAsia="宋体" w:cs="宋体"/>
              </w:rPr>
            </w:pPr>
            <w:r>
              <w:rPr>
                <w:rFonts w:hint="eastAsia" w:ascii="宋体" w:hAnsi="宋体" w:eastAsia="宋体" w:cs="宋体"/>
                <w:sz w:val="18"/>
              </w:rPr>
              <w:t>Consensus vs Consensus−σ vs Diagnosis vs Diagnosis+Debate+Abstention</w:t>
            </w:r>
          </w:p>
        </w:tc>
        <w:tc>
          <w:tcPr>
            <w:tcW w:w="2835" w:type="dxa"/>
            <w:shd w:val="clear" w:color="auto" w:fill="F7F9FC"/>
            <w:tcMar>
              <w:top w:w="75" w:type="dxa"/>
              <w:left w:w="85" w:type="dxa"/>
              <w:bottom w:w="75" w:type="dxa"/>
              <w:right w:w="85" w:type="dxa"/>
            </w:tcMar>
            <w:vAlign w:val="center"/>
          </w:tcPr>
          <w:p ns2:paraId="5201E613">
            <w:pPr>
              <w:spacing w:after="0" w:line="252" w:lineRule="auto"/>
              <w:rPr>
                <w:rFonts w:hint="eastAsia" w:ascii="宋体" w:hAnsi="宋体" w:eastAsia="宋体" w:cs="宋体"/>
              </w:rPr>
            </w:pPr>
            <w:r>
              <w:rPr>
                <w:rFonts w:hint="eastAsia" w:ascii="宋体" w:hAnsi="宋体" w:eastAsia="宋体" w:cs="宋体"/>
                <w:sz w:val="18"/>
              </w:rPr>
              <w:t>降低“错误共识”和无意义争论</w:t>
            </w:r>
          </w:p>
        </w:tc>
      </w:tr>
      <w:tr ns2:paraId="1782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Mar>
              <w:top w:w="75" w:type="dxa"/>
              <w:left w:w="85" w:type="dxa"/>
              <w:bottom w:w="75" w:type="dxa"/>
              <w:right w:w="85" w:type="dxa"/>
            </w:tcMar>
            <w:vAlign w:val="center"/>
          </w:tcPr>
          <w:p ns2:paraId="6F2EDAD4">
            <w:pPr>
              <w:spacing w:after="0" w:line="252" w:lineRule="auto"/>
              <w:rPr>
                <w:rFonts w:hint="eastAsia" w:ascii="宋体" w:hAnsi="宋体" w:eastAsia="宋体" w:cs="宋体"/>
              </w:rPr>
            </w:pPr>
            <w:r>
              <w:rPr>
                <w:rFonts w:hint="eastAsia" w:ascii="宋体" w:hAnsi="宋体" w:eastAsia="宋体" w:cs="宋体"/>
                <w:sz w:val="18"/>
              </w:rPr>
              <w:t>多样性与成本</w:t>
            </w:r>
          </w:p>
        </w:tc>
        <w:tc>
          <w:tcPr>
            <w:tcW w:w="4252" w:type="dxa"/>
            <w:tcMar>
              <w:top w:w="75" w:type="dxa"/>
              <w:left w:w="85" w:type="dxa"/>
              <w:bottom w:w="75" w:type="dxa"/>
              <w:right w:w="85" w:type="dxa"/>
            </w:tcMar>
            <w:vAlign w:val="center"/>
          </w:tcPr>
          <w:p ns2:paraId="28FADC38">
            <w:pPr>
              <w:spacing w:after="0" w:line="252" w:lineRule="auto"/>
              <w:rPr>
                <w:rFonts w:hint="eastAsia" w:ascii="宋体" w:hAnsi="宋体" w:eastAsia="宋体" w:cs="宋体"/>
              </w:rPr>
            </w:pPr>
            <w:r>
              <w:rPr>
                <w:rFonts w:hint="eastAsia" w:ascii="宋体" w:hAnsi="宋体" w:eastAsia="宋体" w:cs="宋体"/>
                <w:sz w:val="18"/>
              </w:rPr>
              <w:t>Top-K vs Diversity-aware vs Diversity+Cost-aware</w:t>
            </w:r>
          </w:p>
        </w:tc>
        <w:tc>
          <w:tcPr>
            <w:tcW w:w="2835" w:type="dxa"/>
            <w:tcMar>
              <w:top w:w="75" w:type="dxa"/>
              <w:left w:w="85" w:type="dxa"/>
              <w:bottom w:w="75" w:type="dxa"/>
              <w:right w:w="85" w:type="dxa"/>
            </w:tcMar>
            <w:vAlign w:val="center"/>
          </w:tcPr>
          <w:p ns2:paraId="274240D7">
            <w:pPr>
              <w:spacing w:after="0" w:line="252" w:lineRule="auto"/>
              <w:rPr>
                <w:rFonts w:hint="eastAsia" w:ascii="宋体" w:hAnsi="宋体" w:eastAsia="宋体" w:cs="宋体"/>
              </w:rPr>
            </w:pPr>
            <w:r>
              <w:rPr>
                <w:rFonts w:hint="eastAsia" w:ascii="宋体" w:hAnsi="宋体" w:eastAsia="宋体" w:cs="宋体"/>
                <w:sz w:val="18"/>
              </w:rPr>
              <w:t>直接形成Token/延迟/收益的ROI证据</w:t>
            </w:r>
          </w:p>
        </w:tc>
      </w:tr>
    </w:tbl>
    <w:p ns2:paraId="47125DED">
      <w:pPr>
        <w:spacing w:after="20"/>
        <w:rPr>
          <w:rFonts w:hint="eastAsia" w:ascii="宋体" w:hAnsi="宋体" w:eastAsia="宋体" w:cs="宋体"/>
        </w:rPr>
      </w:pPr>
    </w:p>
    <w:p ns2:paraId="736C7198">
      <w:pPr>
        <w:rPr>
          <w:rFonts w:hint="eastAsia" w:ascii="宋体" w:hAnsi="宋体" w:eastAsia="宋体" w:cs="宋体"/>
        </w:rPr>
      </w:pPr>
      <w:r>
        <w:rPr>
          <w:rFonts w:hint="eastAsia" w:ascii="宋体" w:hAnsi="宋体" w:eastAsia="宋体" w:cs="宋体"/>
          <w:b/>
        </w:rPr>
        <w:t>当前实现状态：</w:t>
      </w:r>
      <w:r>
        <w:rPr>
          <w:rFonts w:hint="eastAsia" w:ascii="宋体" w:hAnsi="宋体" w:eastAsia="宋体" w:cs="宋体"/>
        </w:rPr>
        <w:t>路由模块已实现信息价值、信息差异与调用成本之间权衡的基础逻辑；完整的Agent相似度矩阵与动态计算预算为下一阶段规划工作。</w:t>
      </w:r>
    </w:p>
    <w:p ns2:paraId="4C9937EF">
      <w:pPr>
        <w:pStyle w:val="3"/>
        <w:keepNext/>
        <w:spacing w:before="240" w:after="120"/>
        <w:rPr>
          <w:rFonts w:hint="eastAsia" w:ascii="宋体" w:hAnsi="宋体" w:eastAsia="宋体" w:cs="宋体"/>
        </w:rPr>
      </w:pPr>
      <w:r>
        <w:rPr>
          <w:rFonts w:hint="eastAsia" w:ascii="宋体" w:hAnsi="宋体" w:eastAsia="宋体" w:cs="宋体"/>
          <w:b/>
          <w:color w:val="17365D"/>
          <w:sz w:val="32"/>
        </w:rPr>
        <w:t>7. 工程实现与系统落地方案</w:t>
      </w:r>
    </w:p>
    <w:p ns2:paraId="3884156B">
      <w:pPr>
        <w:pStyle w:val="4"/>
        <w:keepNext/>
        <w:spacing w:before="140" w:after="120"/>
        <w:rPr>
          <w:rFonts w:hint="eastAsia" w:ascii="宋体" w:hAnsi="宋体" w:eastAsia="宋体" w:cs="宋体"/>
        </w:rPr>
      </w:pPr>
      <w:r>
        <w:rPr>
          <w:rFonts w:hint="eastAsia" w:ascii="宋体" w:hAnsi="宋体" w:eastAsia="宋体" w:cs="宋体"/>
          <w:b/>
          <w:color w:val="1F4E79"/>
          <w:sz w:val="26"/>
        </w:rPr>
        <w:t>7.1 为什么具备快速落地条件</w:t>
      </w:r>
    </w:p>
    <w:p ns2:paraId="60392D60">
      <w:pPr>
        <w:spacing w:after="100" w:line="300" w:lineRule="auto"/>
        <w:ind w:firstLine="420"/>
        <w:rPr>
          <w:rFonts w:hint="eastAsia" w:ascii="宋体" w:hAnsi="宋体" w:eastAsia="宋体" w:cs="宋体"/>
        </w:rPr>
      </w:pPr>
      <w:r>
        <w:rPr>
          <w:rFonts w:hint="eastAsia" w:ascii="宋体" w:hAnsi="宋体" w:eastAsia="宋体" w:cs="宋体"/>
          <w:sz w:val="21"/>
        </w:rPr>
        <w:t>AlphaOrchestra采用独立、模块化的工程架构实现核心能力。公开论文、开源数据与公开实现主要用于相关工作研究、Benchmark复现和实验对照，以确保结果可比；项目核心的Market State Encoder、Routing、Structured Disagreement、Diagnosis、Conditional Debate、Adaptive Aggregation、Cost-aware Budget、Memory与Evidence Trace由团队按照本项目架构自主设计与实现。</w:t>
      </w:r>
    </w:p>
    <w:p ns2:paraId="67673BDA">
      <w:pPr>
        <w:rPr>
          <w:rFonts w:hint="eastAsia" w:ascii="宋体" w:hAnsi="宋体" w:eastAsia="宋体" w:cs="宋体"/>
        </w:rPr>
      </w:pPr>
      <w:r>
        <w:rPr>
          <w:rFonts w:hint="eastAsia" w:ascii="宋体" w:hAnsi="宋体" w:eastAsia="宋体" w:cs="宋体"/>
        </w:rPr>
        <w:t>截至本版本，Market State Encoder、Routing、基础分歧诊断与风险暴露控制的初版已由团队自主实现，并通过阶段性验证实验完成端到端流程检验（见8.2节）；定向Debate、Agent相似度矩阵与动态计算预算将在后续迭代中落地。</w:t>
      </w:r>
    </w:p>
    <w:p ns2:paraId="0C6A8E20">
      <w:pPr>
        <w:pStyle w:val="4"/>
        <w:keepNext/>
        <w:spacing w:before="140" w:after="120"/>
        <w:rPr>
          <w:rFonts w:hint="eastAsia" w:ascii="宋体" w:hAnsi="宋体" w:eastAsia="宋体" w:cs="宋体"/>
        </w:rPr>
      </w:pPr>
      <w:r>
        <w:rPr>
          <w:rFonts w:hint="eastAsia" w:ascii="宋体" w:hAnsi="宋体" w:eastAsia="宋体" w:cs="宋体"/>
          <w:b/>
          <w:color w:val="1F4E79"/>
          <w:sz w:val="26"/>
        </w:rPr>
        <w:t>7.2 核心模块实现位置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3005"/>
        <w:gridCol w:w="4365"/>
      </w:tblGrid>
      <w:tr ns2:paraId="3492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F4E79"/>
            <w:tcMar>
              <w:top w:w="90" w:type="dxa"/>
              <w:left w:w="90" w:type="dxa"/>
              <w:bottom w:w="90" w:type="dxa"/>
              <w:right w:w="90" w:type="dxa"/>
            </w:tcMar>
            <w:vAlign w:val="center"/>
          </w:tcPr>
          <w:p ns2:paraId="30540306">
            <w:pPr>
              <w:spacing w:after="0" w:line="240" w:lineRule="auto"/>
              <w:jc w:val="center"/>
              <w:rPr>
                <w:rFonts w:hint="eastAsia" w:ascii="宋体" w:hAnsi="宋体" w:eastAsia="宋体" w:cs="宋体"/>
              </w:rPr>
            </w:pPr>
            <w:r>
              <w:rPr>
                <w:rFonts w:hint="eastAsia" w:ascii="宋体" w:hAnsi="宋体" w:eastAsia="宋体" w:cs="宋体"/>
                <w:b/>
                <w:color w:val="FFFFFF"/>
                <w:sz w:val="17"/>
              </w:rPr>
              <w:t>AlphaOrchestra核心模块</w:t>
            </w:r>
          </w:p>
        </w:tc>
        <w:tc>
          <w:tcPr>
            <w:tcW w:w="3005" w:type="dxa"/>
            <w:shd w:val="clear" w:color="auto" w:fill="1F4E79"/>
            <w:tcMar>
              <w:top w:w="90" w:type="dxa"/>
              <w:left w:w="90" w:type="dxa"/>
              <w:bottom w:w="90" w:type="dxa"/>
              <w:right w:w="90" w:type="dxa"/>
            </w:tcMar>
            <w:vAlign w:val="center"/>
          </w:tcPr>
          <w:p ns2:paraId="19AD826D">
            <w:pPr>
              <w:spacing w:after="0" w:line="240" w:lineRule="auto"/>
              <w:jc w:val="center"/>
              <w:rPr>
                <w:rFonts w:hint="eastAsia" w:ascii="宋体" w:hAnsi="宋体" w:eastAsia="宋体" w:cs="宋体"/>
              </w:rPr>
            </w:pPr>
            <w:r>
              <w:rPr>
                <w:rFonts w:hint="eastAsia" w:ascii="宋体" w:hAnsi="宋体" w:eastAsia="宋体" w:cs="宋体"/>
                <w:b/>
                <w:color w:val="FFFFFF"/>
                <w:sz w:val="17"/>
              </w:rPr>
              <w:t>主要职责</w:t>
            </w:r>
          </w:p>
        </w:tc>
        <w:tc>
          <w:tcPr>
            <w:tcW w:w="4365" w:type="dxa"/>
            <w:shd w:val="clear" w:color="auto" w:fill="1F4E79"/>
            <w:tcMar>
              <w:top w:w="90" w:type="dxa"/>
              <w:left w:w="90" w:type="dxa"/>
              <w:bottom w:w="90" w:type="dxa"/>
              <w:right w:w="90" w:type="dxa"/>
            </w:tcMar>
            <w:vAlign w:val="center"/>
          </w:tcPr>
          <w:p ns2:paraId="017BE765">
            <w:pPr>
              <w:spacing w:after="0" w:line="240" w:lineRule="auto"/>
              <w:jc w:val="center"/>
              <w:rPr>
                <w:rFonts w:hint="eastAsia" w:ascii="宋体" w:hAnsi="宋体" w:eastAsia="宋体" w:cs="宋体"/>
              </w:rPr>
            </w:pPr>
            <w:r>
              <w:rPr>
                <w:rFonts w:hint="eastAsia" w:ascii="宋体" w:hAnsi="宋体" w:eastAsia="宋体" w:cs="宋体"/>
                <w:b/>
                <w:color w:val="FFFFFF"/>
                <w:sz w:val="17"/>
              </w:rPr>
              <w:t>自主实现重点</w:t>
            </w:r>
          </w:p>
        </w:tc>
      </w:tr>
      <w:tr ns2:paraId="22E6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1D280A6D">
            <w:pPr>
              <w:spacing w:after="0" w:line="252" w:lineRule="auto"/>
              <w:rPr>
                <w:rFonts w:hint="eastAsia" w:ascii="宋体" w:hAnsi="宋体" w:eastAsia="宋体" w:cs="宋体"/>
              </w:rPr>
            </w:pPr>
            <w:r>
              <w:rPr>
                <w:rFonts w:hint="eastAsia" w:ascii="宋体" w:hAnsi="宋体" w:eastAsia="宋体" w:cs="宋体"/>
                <w:sz w:val="17"/>
              </w:rPr>
              <w:t>orchestration/executor.py</w:t>
            </w:r>
          </w:p>
        </w:tc>
        <w:tc>
          <w:tcPr>
            <w:tcW w:w="3005" w:type="dxa"/>
            <w:tcMar>
              <w:top w:w="75" w:type="dxa"/>
              <w:left w:w="85" w:type="dxa"/>
              <w:bottom w:w="75" w:type="dxa"/>
              <w:right w:w="85" w:type="dxa"/>
            </w:tcMar>
            <w:vAlign w:val="center"/>
          </w:tcPr>
          <w:p ns2:paraId="47769949">
            <w:pPr>
              <w:spacing w:after="0" w:line="252" w:lineRule="auto"/>
              <w:rPr>
                <w:rFonts w:hint="eastAsia" w:ascii="宋体" w:hAnsi="宋体" w:eastAsia="宋体" w:cs="宋体"/>
              </w:rPr>
            </w:pPr>
            <w:r>
              <w:rPr>
                <w:rFonts w:hint="eastAsia" w:ascii="宋体" w:hAnsi="宋体" w:eastAsia="宋体" w:cs="宋体"/>
                <w:sz w:val="17"/>
              </w:rPr>
              <w:t>交易日级任务编排与Agent执行</w:t>
            </w:r>
          </w:p>
        </w:tc>
        <w:tc>
          <w:tcPr>
            <w:tcW w:w="4365" w:type="dxa"/>
            <w:tcMar>
              <w:top w:w="75" w:type="dxa"/>
              <w:left w:w="85" w:type="dxa"/>
              <w:bottom w:w="75" w:type="dxa"/>
              <w:right w:w="85" w:type="dxa"/>
            </w:tcMar>
            <w:vAlign w:val="center"/>
          </w:tcPr>
          <w:p ns2:paraId="27AF3938">
            <w:pPr>
              <w:spacing w:after="0" w:line="252" w:lineRule="auto"/>
              <w:rPr>
                <w:rFonts w:hint="eastAsia" w:ascii="宋体" w:hAnsi="宋体" w:eastAsia="宋体" w:cs="宋体"/>
              </w:rPr>
            </w:pPr>
            <w:r>
              <w:rPr>
                <w:rFonts w:hint="eastAsia" w:ascii="宋体" w:hAnsi="宋体" w:eastAsia="宋体" w:cs="宋体"/>
                <w:sz w:val="17"/>
              </w:rPr>
              <w:t>在执行前接入Market State + Router，仅提交selected agents；记录调用成本与路由轨迹</w:t>
            </w:r>
          </w:p>
        </w:tc>
      </w:tr>
      <w:tr ns2:paraId="22E6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1D280A6D">
            <w:pPr>
              <w:spacing w:after="0" w:line="252" w:lineRule="auto"/>
              <w:rPr>
                <w:rFonts w:hint="eastAsia" w:ascii="宋体" w:hAnsi="宋体" w:eastAsia="宋体" w:cs="宋体"/>
              </w:rPr>
            </w:pPr>
            <w:r>
              <w:rPr>
                <w:rFonts w:hint="eastAsia" w:ascii="宋体" w:hAnsi="宋体" w:eastAsia="宋体" w:cs="宋体"/>
                <w:sz w:val="17"/>
              </w:rPr>
              <w:t>routing/router.py</w:t>
            </w:r>
          </w:p>
        </w:tc>
        <w:tc>
          <w:tcPr>
            <w:tcW w:w="3005" w:type="dxa"/>
            <w:tcMar>
              <w:top w:w="75" w:type="dxa"/>
              <w:left w:w="85" w:type="dxa"/>
              <w:bottom w:w="75" w:type="dxa"/>
              <w:right w:w="85" w:type="dxa"/>
            </w:tcMar>
            <w:vAlign w:val="center"/>
          </w:tcPr>
          <w:p ns2:paraId="47769949">
            <w:pPr>
              <w:spacing w:after="0" w:line="252" w:lineRule="auto"/>
              <w:rPr>
                <w:rFonts w:hint="eastAsia" w:ascii="宋体" w:hAnsi="宋体" w:eastAsia="宋体" w:cs="宋体"/>
              </w:rPr>
            </w:pPr>
            <w:r>
              <w:rPr>
                <w:rFonts w:hint="eastAsia" w:ascii="宋体" w:hAnsi="宋体" w:eastAsia="宋体" w:cs="宋体"/>
                <w:sz w:val="17"/>
              </w:rPr>
              <w:t>基于zₜ、Hₜ、Profile、Budget输出gₜ</w:t>
            </w:r>
          </w:p>
        </w:tc>
        <w:tc>
          <w:tcPr>
            <w:tcW w:w="4365" w:type="dxa"/>
            <w:tcMar>
              <w:top w:w="75" w:type="dxa"/>
              <w:left w:w="85" w:type="dxa"/>
              <w:bottom w:w="75" w:type="dxa"/>
              <w:right w:w="85" w:type="dxa"/>
            </w:tcMar>
            <w:vAlign w:val="center"/>
          </w:tcPr>
          <w:p ns2:paraId="27AF3938">
            <w:pPr>
              <w:spacing w:after="0" w:line="252" w:lineRule="auto"/>
              <w:rPr>
                <w:rFonts w:hint="eastAsia" w:ascii="宋体" w:hAnsi="宋体" w:eastAsia="宋体" w:cs="宋体"/>
              </w:rPr>
            </w:pPr>
            <w:r>
              <w:rPr>
                <w:rFonts w:hint="eastAsia" w:ascii="宋体" w:hAnsi="宋体" w:eastAsia="宋体" w:cs="宋体"/>
                <w:sz w:val="17"/>
              </w:rPr>
              <w:t>实现Type-level selection，并记录路由分数与未选择原因</w:t>
            </w:r>
          </w:p>
        </w:tc>
      </w:tr>
      <w:tr ns2:paraId="5C5A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5AA89EB1">
            <w:pPr>
              <w:spacing w:after="0" w:line="252" w:lineRule="auto"/>
              <w:rPr>
                <w:rFonts w:hint="eastAsia" w:ascii="宋体" w:hAnsi="宋体" w:eastAsia="宋体" w:cs="宋体"/>
              </w:rPr>
            </w:pPr>
            <w:r>
              <w:rPr>
                <w:rFonts w:hint="eastAsia" w:ascii="宋体" w:hAnsi="宋体" w:eastAsia="宋体" w:cs="宋体"/>
                <w:sz w:val="17"/>
              </w:rPr>
              <w:t>agents/expert_agent.py + prompts</w:t>
            </w:r>
          </w:p>
        </w:tc>
        <w:tc>
          <w:tcPr>
            <w:tcW w:w="3005" w:type="dxa"/>
            <w:shd w:val="clear" w:color="auto" w:fill="F7F9FC"/>
            <w:tcMar>
              <w:top w:w="75" w:type="dxa"/>
              <w:left w:w="85" w:type="dxa"/>
              <w:bottom w:w="75" w:type="dxa"/>
              <w:right w:w="85" w:type="dxa"/>
            </w:tcMar>
            <w:vAlign w:val="center"/>
          </w:tcPr>
          <w:p ns2:paraId="7D409955">
            <w:pPr>
              <w:spacing w:after="0" w:line="252" w:lineRule="auto"/>
              <w:rPr>
                <w:rFonts w:hint="eastAsia" w:ascii="宋体" w:hAnsi="宋体" w:eastAsia="宋体" w:cs="宋体"/>
              </w:rPr>
            </w:pPr>
            <w:r>
              <w:rPr>
                <w:rFonts w:hint="eastAsia" w:ascii="宋体" w:hAnsi="宋体" w:eastAsia="宋体" w:cs="宋体"/>
                <w:sz w:val="17"/>
              </w:rPr>
              <w:t>异构LLM专家生成策略与股票判断</w:t>
            </w:r>
          </w:p>
        </w:tc>
        <w:tc>
          <w:tcPr>
            <w:tcW w:w="4365" w:type="dxa"/>
            <w:shd w:val="clear" w:color="auto" w:fill="F7F9FC"/>
            <w:tcMar>
              <w:top w:w="75" w:type="dxa"/>
              <w:left w:w="85" w:type="dxa"/>
              <w:bottom w:w="75" w:type="dxa"/>
              <w:right w:w="85" w:type="dxa"/>
            </w:tcMar>
            <w:vAlign w:val="center"/>
          </w:tcPr>
          <w:p ns2:paraId="544BC336">
            <w:pPr>
              <w:spacing w:after="0" w:line="252" w:lineRule="auto"/>
              <w:rPr>
                <w:rFonts w:hint="eastAsia" w:ascii="宋体" w:hAnsi="宋体" w:eastAsia="宋体" w:cs="宋体"/>
              </w:rPr>
            </w:pPr>
            <w:r>
              <w:rPr>
                <w:rFonts w:hint="eastAsia" w:ascii="宋体" w:hAnsi="宋体" w:eastAsia="宋体" w:cs="宋体"/>
                <w:sz w:val="17"/>
              </w:rPr>
              <w:t>统一JSON Schema：prediction/confidence/horizon/evidence/reasoning</w:t>
            </w:r>
          </w:p>
        </w:tc>
      </w:tr>
      <w:tr ns2:paraId="2DE2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21D8EAD4">
            <w:pPr>
              <w:spacing w:after="0" w:line="252" w:lineRule="auto"/>
              <w:rPr>
                <w:rFonts w:hint="eastAsia" w:ascii="宋体" w:hAnsi="宋体" w:eastAsia="宋体" w:cs="宋体"/>
              </w:rPr>
            </w:pPr>
            <w:r>
              <w:rPr>
                <w:rFonts w:hint="eastAsia" w:ascii="宋体" w:hAnsi="宋体" w:eastAsia="宋体" w:cs="宋体"/>
                <w:sz w:val="17"/>
              </w:rPr>
              <w:t>aggregation/signal_engine.py</w:t>
            </w:r>
          </w:p>
        </w:tc>
        <w:tc>
          <w:tcPr>
            <w:tcW w:w="3005" w:type="dxa"/>
            <w:tcMar>
              <w:top w:w="75" w:type="dxa"/>
              <w:left w:w="85" w:type="dxa"/>
              <w:bottom w:w="75" w:type="dxa"/>
              <w:right w:w="85" w:type="dxa"/>
            </w:tcMar>
            <w:vAlign w:val="center"/>
          </w:tcPr>
          <w:p ns2:paraId="4D19B325">
            <w:pPr>
              <w:spacing w:after="0" w:line="252" w:lineRule="auto"/>
              <w:rPr>
                <w:rFonts w:hint="eastAsia" w:ascii="宋体" w:hAnsi="宋体" w:eastAsia="宋体" w:cs="宋体"/>
              </w:rPr>
            </w:pPr>
            <w:r>
              <w:rPr>
                <w:rFonts w:hint="eastAsia" w:ascii="宋体" w:hAnsi="宋体" w:eastAsia="宋体" w:cs="宋体"/>
                <w:sz w:val="17"/>
              </w:rPr>
              <w:t>计算基础共识/分歧并形成候选信号</w:t>
            </w:r>
          </w:p>
        </w:tc>
        <w:tc>
          <w:tcPr>
            <w:tcW w:w="4365" w:type="dxa"/>
            <w:tcMar>
              <w:top w:w="75" w:type="dxa"/>
              <w:left w:w="85" w:type="dxa"/>
              <w:bottom w:w="75" w:type="dxa"/>
              <w:right w:w="85" w:type="dxa"/>
            </w:tcMar>
            <w:vAlign w:val="center"/>
          </w:tcPr>
          <w:p ns2:paraId="7AF0E96A">
            <w:pPr>
              <w:spacing w:after="0" w:line="252" w:lineRule="auto"/>
              <w:rPr>
                <w:rFonts w:hint="eastAsia" w:ascii="宋体" w:hAnsi="宋体" w:eastAsia="宋体" w:cs="宋体"/>
              </w:rPr>
            </w:pPr>
            <w:r>
              <w:rPr>
                <w:rFonts w:hint="eastAsia" w:ascii="宋体" w:hAnsi="宋体" w:eastAsia="宋体" w:cs="宋体"/>
                <w:sz w:val="17"/>
              </w:rPr>
              <w:t>加入structured disagreement、diagnosis动作与adaptive aggregation</w:t>
            </w:r>
          </w:p>
        </w:tc>
      </w:tr>
      <w:tr ns2:paraId="2DE2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21D8EAD4">
            <w:pPr>
              <w:spacing w:after="0" w:line="252" w:lineRule="auto"/>
              <w:rPr>
                <w:rFonts w:hint="eastAsia" w:ascii="宋体" w:hAnsi="宋体" w:eastAsia="宋体" w:cs="宋体"/>
              </w:rPr>
            </w:pPr>
            <w:r>
              <w:rPr>
                <w:rFonts w:hint="eastAsia" w:ascii="宋体" w:hAnsi="宋体" w:eastAsia="宋体" w:cs="宋体"/>
                <w:sz w:val="17"/>
              </w:rPr>
              <w:t>diagnosis/disagreement.py</w:t>
            </w:r>
          </w:p>
        </w:tc>
        <w:tc>
          <w:tcPr>
            <w:tcW w:w="3005" w:type="dxa"/>
            <w:tcMar>
              <w:top w:w="75" w:type="dxa"/>
              <w:left w:w="85" w:type="dxa"/>
              <w:bottom w:w="75" w:type="dxa"/>
              <w:right w:w="85" w:type="dxa"/>
            </w:tcMar>
            <w:vAlign w:val="center"/>
          </w:tcPr>
          <w:p ns2:paraId="4D19B325">
            <w:pPr>
              <w:spacing w:after="0" w:line="252" w:lineRule="auto"/>
              <w:rPr>
                <w:rFonts w:hint="eastAsia" w:ascii="宋体" w:hAnsi="宋体" w:eastAsia="宋体" w:cs="宋体"/>
              </w:rPr>
            </w:pPr>
            <w:r>
              <w:rPr>
                <w:rFonts w:hint="eastAsia" w:ascii="宋体" w:hAnsi="宋体" w:eastAsia="宋体" w:cs="宋体"/>
                <w:sz w:val="17"/>
              </w:rPr>
              <w:t>计算D_pred、D_evidence、D_horizon、D_conf、D_semantic并提供Diagnosis接口</w:t>
            </w:r>
          </w:p>
        </w:tc>
        <w:tc>
          <w:tcPr>
            <w:tcW w:w="4365" w:type="dxa"/>
            <w:tcMar>
              <w:top w:w="75" w:type="dxa"/>
              <w:left w:w="85" w:type="dxa"/>
              <w:bottom w:w="75" w:type="dxa"/>
              <w:right w:w="85" w:type="dxa"/>
            </w:tcMar>
            <w:vAlign w:val="center"/>
          </w:tcPr>
          <w:p ns2:paraId="7AF0E96A">
            <w:pPr>
              <w:spacing w:after="0" w:line="252" w:lineRule="auto"/>
              <w:rPr>
                <w:rFonts w:hint="eastAsia" w:ascii="宋体" w:hAnsi="宋体" w:eastAsia="宋体" w:cs="宋体"/>
              </w:rPr>
            </w:pPr>
            <w:r>
              <w:rPr>
                <w:rFonts w:hint="eastAsia" w:ascii="宋体" w:hAnsi="宋体" w:eastAsia="宋体" w:cs="宋体"/>
                <w:sz w:val="17"/>
              </w:rPr>
              <w:t>保持确定性分歧特征与LLM归因解释解耦</w:t>
            </w:r>
          </w:p>
        </w:tc>
      </w:tr>
      <w:tr ns2:paraId="2662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7D1297BC">
            <w:pPr>
              <w:spacing w:after="0" w:line="252" w:lineRule="auto"/>
              <w:rPr>
                <w:rFonts w:hint="eastAsia" w:ascii="宋体" w:hAnsi="宋体" w:eastAsia="宋体" w:cs="宋体"/>
              </w:rPr>
            </w:pPr>
            <w:r>
              <w:rPr>
                <w:rFonts w:hint="eastAsia" w:ascii="宋体" w:hAnsi="宋体" w:eastAsia="宋体" w:cs="宋体"/>
                <w:sz w:val="17"/>
              </w:rPr>
              <w:t>optimization/reputation.py</w:t>
            </w:r>
          </w:p>
        </w:tc>
        <w:tc>
          <w:tcPr>
            <w:tcW w:w="3005" w:type="dxa"/>
            <w:shd w:val="clear" w:color="auto" w:fill="F7F9FC"/>
            <w:tcMar>
              <w:top w:w="75" w:type="dxa"/>
              <w:left w:w="85" w:type="dxa"/>
              <w:bottom w:w="75" w:type="dxa"/>
              <w:right w:w="85" w:type="dxa"/>
            </w:tcMar>
            <w:vAlign w:val="center"/>
          </w:tcPr>
          <w:p ns2:paraId="0661727B">
            <w:pPr>
              <w:spacing w:after="0" w:line="252" w:lineRule="auto"/>
              <w:rPr>
                <w:rFonts w:hint="eastAsia" w:ascii="宋体" w:hAnsi="宋体" w:eastAsia="宋体" w:cs="宋体"/>
              </w:rPr>
            </w:pPr>
            <w:r>
              <w:rPr>
                <w:rFonts w:hint="eastAsia" w:ascii="宋体" w:hAnsi="宋体" w:eastAsia="宋体" w:cs="宋体"/>
                <w:sz w:val="17"/>
              </w:rPr>
              <w:t>维护历史Agent能力、信誉与动态权重先验</w:t>
            </w:r>
          </w:p>
        </w:tc>
        <w:tc>
          <w:tcPr>
            <w:tcW w:w="4365" w:type="dxa"/>
            <w:shd w:val="clear" w:color="auto" w:fill="F7F9FC"/>
            <w:tcMar>
              <w:top w:w="75" w:type="dxa"/>
              <w:left w:w="85" w:type="dxa"/>
              <w:bottom w:w="75" w:type="dxa"/>
              <w:right w:w="85" w:type="dxa"/>
            </w:tcMar>
            <w:vAlign w:val="center"/>
          </w:tcPr>
          <w:p ns2:paraId="1FF43AF6">
            <w:pPr>
              <w:spacing w:after="0" w:line="252" w:lineRule="auto"/>
              <w:rPr>
                <w:rFonts w:hint="eastAsia" w:ascii="宋体" w:hAnsi="宋体" w:eastAsia="宋体" w:cs="宋体"/>
              </w:rPr>
            </w:pPr>
            <w:r>
              <w:rPr>
                <w:rFonts w:hint="eastAsia" w:ascii="宋体" w:hAnsi="宋体" w:eastAsia="宋体" w:cs="宋体"/>
                <w:sz w:val="17"/>
              </w:rPr>
              <w:t>使用d_hist作为历史先验，并与Aggregator/Router学习权重及成本目标联动</w:t>
            </w:r>
          </w:p>
        </w:tc>
      </w:tr>
      <w:tr ns2:paraId="0CF4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1CA43D5F">
            <w:pPr>
              <w:spacing w:after="0" w:line="252" w:lineRule="auto"/>
              <w:rPr>
                <w:rFonts w:hint="eastAsia" w:ascii="宋体" w:hAnsi="宋体" w:eastAsia="宋体" w:cs="宋体"/>
              </w:rPr>
            </w:pPr>
            <w:r>
              <w:rPr>
                <w:rFonts w:hint="eastAsia" w:ascii="宋体" w:hAnsi="宋体" w:eastAsia="宋体" w:cs="宋体"/>
                <w:sz w:val="17"/>
              </w:rPr>
              <w:t>memory/agent_registry.py</w:t>
            </w:r>
          </w:p>
        </w:tc>
        <w:tc>
          <w:tcPr>
            <w:tcW w:w="3005" w:type="dxa"/>
            <w:tcMar>
              <w:top w:w="75" w:type="dxa"/>
              <w:left w:w="85" w:type="dxa"/>
              <w:bottom w:w="75" w:type="dxa"/>
              <w:right w:w="85" w:type="dxa"/>
            </w:tcMar>
            <w:vAlign w:val="center"/>
          </w:tcPr>
          <w:p ns2:paraId="57391BAE">
            <w:pPr>
              <w:spacing w:after="0" w:line="252" w:lineRule="auto"/>
              <w:rPr>
                <w:rFonts w:hint="eastAsia" w:ascii="宋体" w:hAnsi="宋体" w:eastAsia="宋体" w:cs="宋体"/>
              </w:rPr>
            </w:pPr>
            <w:r>
              <w:rPr>
                <w:rFonts w:hint="eastAsia" w:ascii="宋体" w:hAnsi="宋体" w:eastAsia="宋体" w:cs="宋体"/>
                <w:sz w:val="17"/>
              </w:rPr>
              <w:t>维护Agent长期状态与决策记忆</w:t>
            </w:r>
          </w:p>
        </w:tc>
        <w:tc>
          <w:tcPr>
            <w:tcW w:w="4365" w:type="dxa"/>
            <w:tcMar>
              <w:top w:w="75" w:type="dxa"/>
              <w:left w:w="85" w:type="dxa"/>
              <w:bottom w:w="75" w:type="dxa"/>
              <w:right w:w="85" w:type="dxa"/>
            </w:tcMar>
            <w:vAlign w:val="center"/>
          </w:tcPr>
          <w:p ns2:paraId="240EEF90">
            <w:pPr>
              <w:spacing w:after="0" w:line="252" w:lineRule="auto"/>
              <w:rPr>
                <w:rFonts w:hint="eastAsia" w:ascii="宋体" w:hAnsi="宋体" w:eastAsia="宋体" w:cs="宋体"/>
              </w:rPr>
            </w:pPr>
            <w:r>
              <w:rPr>
                <w:rFonts w:hint="eastAsia" w:ascii="宋体" w:hAnsi="宋体" w:eastAsia="宋体" w:cs="宋体"/>
                <w:sz w:val="17"/>
              </w:rPr>
              <w:t>保存Agent Profile、相似度、历史Regime表现、Debate记录、Token/latency、reputation</w:t>
            </w:r>
          </w:p>
        </w:tc>
      </w:tr>
      <w:tr ns2:paraId="6314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003D5FA4">
            <w:pPr>
              <w:spacing w:after="0" w:line="252" w:lineRule="auto"/>
              <w:rPr>
                <w:rFonts w:hint="eastAsia" w:ascii="宋体" w:hAnsi="宋体" w:eastAsia="宋体" w:cs="宋体"/>
              </w:rPr>
            </w:pPr>
            <w:r>
              <w:rPr>
                <w:rFonts w:hint="eastAsia" w:ascii="宋体" w:hAnsi="宋体" w:eastAsia="宋体" w:cs="宋体"/>
                <w:sz w:val="17"/>
              </w:rPr>
              <w:t>risk/optimizer_adapter.py</w:t>
            </w:r>
          </w:p>
        </w:tc>
        <w:tc>
          <w:tcPr>
            <w:tcW w:w="3005" w:type="dxa"/>
            <w:shd w:val="clear" w:color="auto" w:fill="F7F9FC"/>
            <w:tcMar>
              <w:top w:w="75" w:type="dxa"/>
              <w:left w:w="85" w:type="dxa"/>
              <w:bottom w:w="75" w:type="dxa"/>
              <w:right w:w="85" w:type="dxa"/>
            </w:tcMar>
            <w:vAlign w:val="center"/>
          </w:tcPr>
          <w:p ns2:paraId="5BBE9A9F">
            <w:pPr>
              <w:spacing w:after="0" w:line="252" w:lineRule="auto"/>
              <w:rPr>
                <w:rFonts w:hint="eastAsia" w:ascii="宋体" w:hAnsi="宋体" w:eastAsia="宋体" w:cs="宋体"/>
              </w:rPr>
            </w:pPr>
            <w:r>
              <w:rPr>
                <w:rFonts w:hint="eastAsia" w:ascii="宋体" w:hAnsi="宋体" w:eastAsia="宋体" w:cs="宋体"/>
                <w:sz w:val="17"/>
              </w:rPr>
              <w:t>连接风险模型与组合优化器</w:t>
            </w:r>
          </w:p>
        </w:tc>
        <w:tc>
          <w:tcPr>
            <w:tcW w:w="4365" w:type="dxa"/>
            <w:shd w:val="clear" w:color="auto" w:fill="F7F9FC"/>
            <w:tcMar>
              <w:top w:w="75" w:type="dxa"/>
              <w:left w:w="85" w:type="dxa"/>
              <w:bottom w:w="75" w:type="dxa"/>
              <w:right w:w="85" w:type="dxa"/>
            </w:tcMar>
            <w:vAlign w:val="center"/>
          </w:tcPr>
          <w:p ns2:paraId="27B5309E">
            <w:pPr>
              <w:spacing w:after="0" w:line="252" w:lineRule="auto"/>
              <w:rPr>
                <w:rFonts w:hint="eastAsia" w:ascii="宋体" w:hAnsi="宋体" w:eastAsia="宋体" w:cs="宋体"/>
              </w:rPr>
            </w:pPr>
            <w:r>
              <w:rPr>
                <w:rFonts w:hint="eastAsia" w:ascii="宋体" w:hAnsi="宋体" w:eastAsia="宋体" w:cs="宋体"/>
                <w:sz w:val="17"/>
              </w:rPr>
              <w:t>商业版以接口方式接入机构现有风险模型/组合优化器，Agent不绕过硬约束</w:t>
            </w:r>
          </w:p>
        </w:tc>
      </w:tr>
      <w:tr ns2:paraId="6314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003D5FA4">
            <w:pPr>
              <w:spacing w:after="0" w:line="252" w:lineRule="auto"/>
              <w:rPr>
                <w:rFonts w:hint="eastAsia" w:ascii="宋体" w:hAnsi="宋体" w:eastAsia="宋体" w:cs="宋体"/>
              </w:rPr>
            </w:pPr>
            <w:r>
              <w:rPr>
                <w:rFonts w:hint="eastAsia" w:ascii="宋体" w:hAnsi="宋体" w:eastAsia="宋体" w:cs="宋体"/>
                <w:sz w:val="17"/>
              </w:rPr>
              <w:t>cost/budget_manager.py</w:t>
            </w:r>
          </w:p>
        </w:tc>
        <w:tc>
          <w:tcPr>
            <w:tcW w:w="3005" w:type="dxa"/>
            <w:shd w:val="clear" w:color="auto" w:fill="F7F9FC"/>
            <w:tcMar>
              <w:top w:w="75" w:type="dxa"/>
              <w:left w:w="85" w:type="dxa"/>
              <w:bottom w:w="75" w:type="dxa"/>
              <w:right w:w="85" w:type="dxa"/>
            </w:tcMar>
            <w:vAlign w:val="center"/>
          </w:tcPr>
          <w:p ns2:paraId="5BBE9A9F">
            <w:pPr>
              <w:spacing w:after="0" w:line="252" w:lineRule="auto"/>
              <w:rPr>
                <w:rFonts w:hint="eastAsia" w:ascii="宋体" w:hAnsi="宋体" w:eastAsia="宋体" w:cs="宋体"/>
              </w:rPr>
            </w:pPr>
            <w:r>
              <w:rPr>
                <w:rFonts w:hint="eastAsia" w:ascii="宋体" w:hAnsi="宋体" w:eastAsia="宋体" w:cs="宋体"/>
                <w:sz w:val="17"/>
              </w:rPr>
              <w:t>跟踪Token/API/Latency并管理ex-ante / ex-post budget</w:t>
            </w:r>
          </w:p>
        </w:tc>
        <w:tc>
          <w:tcPr>
            <w:tcW w:w="4365" w:type="dxa"/>
            <w:shd w:val="clear" w:color="auto" w:fill="F7F9FC"/>
            <w:tcMar>
              <w:top w:w="75" w:type="dxa"/>
              <w:left w:w="85" w:type="dxa"/>
              <w:bottom w:w="75" w:type="dxa"/>
              <w:right w:w="85" w:type="dxa"/>
            </w:tcMar>
            <w:vAlign w:val="center"/>
          </w:tcPr>
          <w:p ns2:paraId="27B5309E">
            <w:pPr>
              <w:spacing w:after="0" w:line="252" w:lineRule="auto"/>
              <w:rPr>
                <w:rFonts w:hint="eastAsia" w:ascii="宋体" w:hAnsi="宋体" w:eastAsia="宋体" w:cs="宋体"/>
              </w:rPr>
            </w:pPr>
            <w:r>
              <w:rPr>
                <w:rFonts w:hint="eastAsia" w:ascii="宋体" w:hAnsi="宋体" w:eastAsia="宋体" w:cs="宋体"/>
                <w:sz w:val="17"/>
              </w:rPr>
              <w:t>支持Routing预算与Deliberation预算分阶段控制</w:t>
            </w:r>
          </w:p>
        </w:tc>
      </w:tr>
    </w:tbl>
    <w:p ns2:paraId="581D9C0D">
      <w:pPr>
        <w:spacing w:after="20"/>
        <w:rPr>
          <w:rFonts w:hint="eastAsia" w:ascii="宋体" w:hAnsi="宋体" w:eastAsia="宋体" w:cs="宋体"/>
        </w:rPr>
      </w:pPr>
    </w:p>
    <w:p ns2:paraId="62E034D9">
      <w:pPr>
        <w:pStyle w:val="4"/>
        <w:keepNext/>
        <w:spacing w:before="140" w:after="120"/>
        <w:rPr>
          <w:rFonts w:hint="eastAsia" w:ascii="宋体" w:hAnsi="宋体" w:eastAsia="宋体" w:cs="宋体"/>
        </w:rPr>
      </w:pPr>
      <w:r>
        <w:rPr>
          <w:rFonts w:hint="eastAsia" w:ascii="宋体" w:hAnsi="宋体" w:eastAsia="宋体" w:cs="宋体"/>
          <w:b/>
          <w:color w:val="1F4E79"/>
          <w:sz w:val="26"/>
        </w:rPr>
        <w:t>7.3 LLM与确定性计算的边界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3969"/>
      </w:tblGrid>
      <w:tr ns2:paraId="0CF40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835" w:type="dxa"/>
            <w:shd w:val="clear" w:color="auto" w:fill="1F4E79"/>
            <w:tcMar>
              <w:top w:w="90" w:type="dxa"/>
              <w:left w:w="90" w:type="dxa"/>
              <w:bottom w:w="90" w:type="dxa"/>
              <w:right w:w="90" w:type="dxa"/>
            </w:tcMar>
            <w:vAlign w:val="center"/>
          </w:tcPr>
          <w:p ns2:paraId="33231405">
            <w:pPr>
              <w:spacing w:after="0" w:line="240" w:lineRule="auto"/>
              <w:jc w:val="center"/>
              <w:rPr>
                <w:rFonts w:hint="eastAsia" w:ascii="宋体" w:hAnsi="宋体" w:eastAsia="宋体" w:cs="宋体"/>
              </w:rPr>
            </w:pPr>
            <w:r>
              <w:rPr>
                <w:rFonts w:hint="eastAsia" w:ascii="宋体" w:hAnsi="宋体" w:eastAsia="宋体" w:cs="宋体"/>
                <w:b/>
                <w:color w:val="FFFFFF"/>
                <w:sz w:val="18"/>
              </w:rPr>
              <w:t>任务</w:t>
            </w:r>
          </w:p>
        </w:tc>
        <w:tc>
          <w:tcPr>
            <w:tcW w:w="2835" w:type="dxa"/>
            <w:shd w:val="clear" w:color="auto" w:fill="1F4E79"/>
            <w:tcMar>
              <w:top w:w="90" w:type="dxa"/>
              <w:left w:w="90" w:type="dxa"/>
              <w:bottom w:w="90" w:type="dxa"/>
              <w:right w:w="90" w:type="dxa"/>
            </w:tcMar>
            <w:vAlign w:val="center"/>
          </w:tcPr>
          <w:p ns2:paraId="54A1D3FE">
            <w:pPr>
              <w:spacing w:after="0" w:line="240" w:lineRule="auto"/>
              <w:jc w:val="center"/>
              <w:rPr>
                <w:rFonts w:hint="eastAsia" w:ascii="宋体" w:hAnsi="宋体" w:eastAsia="宋体" w:cs="宋体"/>
              </w:rPr>
            </w:pPr>
            <w:r>
              <w:rPr>
                <w:rFonts w:hint="eastAsia" w:ascii="宋体" w:hAnsi="宋体" w:eastAsia="宋体" w:cs="宋体"/>
                <w:b/>
                <w:color w:val="FFFFFF"/>
                <w:sz w:val="18"/>
              </w:rPr>
              <w:t>执行主体</w:t>
            </w:r>
          </w:p>
        </w:tc>
        <w:tc>
          <w:tcPr>
            <w:tcW w:w="3969" w:type="dxa"/>
            <w:shd w:val="clear" w:color="auto" w:fill="1F4E79"/>
            <w:tcMar>
              <w:top w:w="90" w:type="dxa"/>
              <w:left w:w="90" w:type="dxa"/>
              <w:bottom w:w="90" w:type="dxa"/>
              <w:right w:w="90" w:type="dxa"/>
            </w:tcMar>
            <w:vAlign w:val="center"/>
          </w:tcPr>
          <w:p ns2:paraId="61D05B91">
            <w:pPr>
              <w:spacing w:after="0" w:line="240" w:lineRule="auto"/>
              <w:jc w:val="center"/>
              <w:rPr>
                <w:rFonts w:hint="eastAsia" w:ascii="宋体" w:hAnsi="宋体" w:eastAsia="宋体" w:cs="宋体"/>
              </w:rPr>
            </w:pPr>
            <w:r>
              <w:rPr>
                <w:rFonts w:hint="eastAsia" w:ascii="宋体" w:hAnsi="宋体" w:eastAsia="宋体" w:cs="宋体"/>
                <w:b/>
                <w:color w:val="FFFFFF"/>
                <w:sz w:val="18"/>
              </w:rPr>
              <w:t>原因</w:t>
            </w:r>
          </w:p>
        </w:tc>
      </w:tr>
      <w:tr ns2:paraId="1EAD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405790EA">
            <w:pPr>
              <w:spacing w:after="0" w:line="252" w:lineRule="auto"/>
              <w:rPr>
                <w:rFonts w:hint="eastAsia" w:ascii="宋体" w:hAnsi="宋体" w:eastAsia="宋体" w:cs="宋体"/>
              </w:rPr>
            </w:pPr>
            <w:r>
              <w:rPr>
                <w:rFonts w:hint="eastAsia" w:ascii="宋体" w:hAnsi="宋体" w:eastAsia="宋体" w:cs="宋体"/>
                <w:sz w:val="18"/>
              </w:rPr>
              <w:t>IC/RankIC、收益、风险、相似度、Token计费</w:t>
            </w:r>
          </w:p>
        </w:tc>
        <w:tc>
          <w:tcPr>
            <w:tcW w:w="2835" w:type="dxa"/>
            <w:tcMar>
              <w:top w:w="75" w:type="dxa"/>
              <w:left w:w="85" w:type="dxa"/>
              <w:bottom w:w="75" w:type="dxa"/>
              <w:right w:w="85" w:type="dxa"/>
            </w:tcMar>
            <w:vAlign w:val="center"/>
          </w:tcPr>
          <w:p ns2:paraId="58E8151E">
            <w:pPr>
              <w:spacing w:after="0" w:line="252" w:lineRule="auto"/>
              <w:rPr>
                <w:rFonts w:hint="eastAsia" w:ascii="宋体" w:hAnsi="宋体" w:eastAsia="宋体" w:cs="宋体"/>
              </w:rPr>
            </w:pPr>
            <w:r>
              <w:rPr>
                <w:rFonts w:hint="eastAsia" w:ascii="宋体" w:hAnsi="宋体" w:eastAsia="宋体" w:cs="宋体"/>
                <w:sz w:val="18"/>
              </w:rPr>
              <w:t>Python/统计程序</w:t>
            </w:r>
          </w:p>
        </w:tc>
        <w:tc>
          <w:tcPr>
            <w:tcW w:w="3969" w:type="dxa"/>
            <w:tcMar>
              <w:top w:w="75" w:type="dxa"/>
              <w:left w:w="85" w:type="dxa"/>
              <w:bottom w:w="75" w:type="dxa"/>
              <w:right w:w="85" w:type="dxa"/>
            </w:tcMar>
            <w:vAlign w:val="center"/>
          </w:tcPr>
          <w:p ns2:paraId="30FCBC3E">
            <w:pPr>
              <w:spacing w:after="0" w:line="252" w:lineRule="auto"/>
              <w:rPr>
                <w:rFonts w:hint="eastAsia" w:ascii="宋体" w:hAnsi="宋体" w:eastAsia="宋体" w:cs="宋体"/>
              </w:rPr>
            </w:pPr>
            <w:r>
              <w:rPr>
                <w:rFonts w:hint="eastAsia" w:ascii="宋体" w:hAnsi="宋体" w:eastAsia="宋体" w:cs="宋体"/>
                <w:sz w:val="18"/>
              </w:rPr>
              <w:t>必须确定、可复现</w:t>
            </w:r>
          </w:p>
        </w:tc>
      </w:tr>
      <w:tr ns2:paraId="0A58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9FC"/>
            <w:tcMar>
              <w:top w:w="75" w:type="dxa"/>
              <w:left w:w="85" w:type="dxa"/>
              <w:bottom w:w="75" w:type="dxa"/>
              <w:right w:w="85" w:type="dxa"/>
            </w:tcMar>
            <w:vAlign w:val="center"/>
          </w:tcPr>
          <w:p ns2:paraId="239738BE">
            <w:pPr>
              <w:spacing w:after="0" w:line="252" w:lineRule="auto"/>
              <w:rPr>
                <w:rFonts w:hint="eastAsia" w:ascii="宋体" w:hAnsi="宋体" w:eastAsia="宋体" w:cs="宋体"/>
              </w:rPr>
            </w:pPr>
            <w:r>
              <w:rPr>
                <w:rFonts w:hint="eastAsia" w:ascii="宋体" w:hAnsi="宋体" w:eastAsia="宋体" w:cs="宋体"/>
                <w:sz w:val="18"/>
              </w:rPr>
              <w:t>Market numeric state</w:t>
            </w:r>
          </w:p>
        </w:tc>
        <w:tc>
          <w:tcPr>
            <w:tcW w:w="2835" w:type="dxa"/>
            <w:shd w:val="clear" w:color="auto" w:fill="F7F9FC"/>
            <w:tcMar>
              <w:top w:w="75" w:type="dxa"/>
              <w:left w:w="85" w:type="dxa"/>
              <w:bottom w:w="75" w:type="dxa"/>
              <w:right w:w="85" w:type="dxa"/>
            </w:tcMar>
            <w:vAlign w:val="center"/>
          </w:tcPr>
          <w:p ns2:paraId="06DB416D">
            <w:pPr>
              <w:spacing w:after="0" w:line="252" w:lineRule="auto"/>
              <w:rPr>
                <w:rFonts w:hint="eastAsia" w:ascii="宋体" w:hAnsi="宋体" w:eastAsia="宋体" w:cs="宋体"/>
              </w:rPr>
            </w:pPr>
            <w:r>
              <w:rPr>
                <w:rFonts w:hint="eastAsia" w:ascii="宋体" w:hAnsi="宋体" w:eastAsia="宋体" w:cs="宋体"/>
                <w:sz w:val="18"/>
              </w:rPr>
              <w:t>数值模型/规则</w:t>
            </w:r>
          </w:p>
        </w:tc>
        <w:tc>
          <w:tcPr>
            <w:tcW w:w="3969" w:type="dxa"/>
            <w:shd w:val="clear" w:color="auto" w:fill="F7F9FC"/>
            <w:tcMar>
              <w:top w:w="75" w:type="dxa"/>
              <w:left w:w="85" w:type="dxa"/>
              <w:bottom w:w="75" w:type="dxa"/>
              <w:right w:w="85" w:type="dxa"/>
            </w:tcMar>
            <w:vAlign w:val="center"/>
          </w:tcPr>
          <w:p ns2:paraId="428D51FF">
            <w:pPr>
              <w:spacing w:after="0" w:line="252" w:lineRule="auto"/>
              <w:rPr>
                <w:rFonts w:hint="eastAsia" w:ascii="宋体" w:hAnsi="宋体" w:eastAsia="宋体" w:cs="宋体"/>
              </w:rPr>
            </w:pPr>
            <w:r>
              <w:rPr>
                <w:rFonts w:hint="eastAsia" w:ascii="宋体" w:hAnsi="宋体" w:eastAsia="宋体" w:cs="宋体"/>
                <w:sz w:val="18"/>
              </w:rPr>
              <w:t>避免LLM“凭感觉”判断波动和流动性</w:t>
            </w:r>
          </w:p>
        </w:tc>
      </w:tr>
      <w:tr ns2:paraId="2731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1BC069BA">
            <w:pPr>
              <w:spacing w:after="0" w:line="252" w:lineRule="auto"/>
              <w:rPr>
                <w:rFonts w:hint="eastAsia" w:ascii="宋体" w:hAnsi="宋体" w:eastAsia="宋体" w:cs="宋体"/>
              </w:rPr>
            </w:pPr>
            <w:r>
              <w:rPr>
                <w:rFonts w:hint="eastAsia" w:ascii="宋体" w:hAnsi="宋体" w:eastAsia="宋体" w:cs="宋体"/>
                <w:sz w:val="18"/>
              </w:rPr>
              <w:t>冲突解释、定向问题生成</w:t>
            </w:r>
          </w:p>
        </w:tc>
        <w:tc>
          <w:tcPr>
            <w:tcW w:w="2835" w:type="dxa"/>
            <w:tcMar>
              <w:top w:w="75" w:type="dxa"/>
              <w:left w:w="85" w:type="dxa"/>
              <w:bottom w:w="75" w:type="dxa"/>
              <w:right w:w="85" w:type="dxa"/>
            </w:tcMar>
            <w:vAlign w:val="center"/>
          </w:tcPr>
          <w:p ns2:paraId="12CE79E9">
            <w:pPr>
              <w:spacing w:after="0" w:line="252" w:lineRule="auto"/>
              <w:rPr>
                <w:rFonts w:hint="eastAsia" w:ascii="宋体" w:hAnsi="宋体" w:eastAsia="宋体" w:cs="宋体"/>
              </w:rPr>
            </w:pPr>
            <w:r>
              <w:rPr>
                <w:rFonts w:hint="eastAsia" w:ascii="宋体" w:hAnsi="宋体" w:eastAsia="宋体" w:cs="宋体"/>
                <w:sz w:val="18"/>
              </w:rPr>
              <w:t>LLM Diagnosis/Critic</w:t>
            </w:r>
          </w:p>
        </w:tc>
        <w:tc>
          <w:tcPr>
            <w:tcW w:w="3969" w:type="dxa"/>
            <w:tcMar>
              <w:top w:w="75" w:type="dxa"/>
              <w:left w:w="85" w:type="dxa"/>
              <w:bottom w:w="75" w:type="dxa"/>
              <w:right w:w="85" w:type="dxa"/>
            </w:tcMar>
            <w:vAlign w:val="center"/>
          </w:tcPr>
          <w:p ns2:paraId="59913379">
            <w:pPr>
              <w:spacing w:after="0" w:line="252" w:lineRule="auto"/>
              <w:rPr>
                <w:rFonts w:hint="eastAsia" w:ascii="宋体" w:hAnsi="宋体" w:eastAsia="宋体" w:cs="宋体"/>
              </w:rPr>
            </w:pPr>
            <w:r>
              <w:rPr>
                <w:rFonts w:hint="eastAsia" w:ascii="宋体" w:hAnsi="宋体" w:eastAsia="宋体" w:cs="宋体"/>
                <w:sz w:val="18"/>
              </w:rPr>
              <w:t>需要语义理解与跨模态理由整合</w:t>
            </w:r>
          </w:p>
        </w:tc>
      </w:tr>
      <w:tr ns2:paraId="7A2F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9FC"/>
            <w:tcMar>
              <w:top w:w="75" w:type="dxa"/>
              <w:left w:w="85" w:type="dxa"/>
              <w:bottom w:w="75" w:type="dxa"/>
              <w:right w:w="85" w:type="dxa"/>
            </w:tcMar>
            <w:vAlign w:val="center"/>
          </w:tcPr>
          <w:p ns2:paraId="6323B9E2">
            <w:pPr>
              <w:spacing w:after="0" w:line="252" w:lineRule="auto"/>
              <w:rPr>
                <w:rFonts w:hint="eastAsia" w:ascii="宋体" w:hAnsi="宋体" w:eastAsia="宋体" w:cs="宋体"/>
              </w:rPr>
            </w:pPr>
            <w:r>
              <w:rPr>
                <w:rFonts w:hint="eastAsia" w:ascii="宋体" w:hAnsi="宋体" w:eastAsia="宋体" w:cs="宋体"/>
                <w:sz w:val="18"/>
              </w:rPr>
              <w:t>Router第一版</w:t>
            </w:r>
          </w:p>
        </w:tc>
        <w:tc>
          <w:tcPr>
            <w:tcW w:w="2835" w:type="dxa"/>
            <w:shd w:val="clear" w:color="auto" w:fill="F7F9FC"/>
            <w:tcMar>
              <w:top w:w="75" w:type="dxa"/>
              <w:left w:w="85" w:type="dxa"/>
              <w:bottom w:w="75" w:type="dxa"/>
              <w:right w:w="85" w:type="dxa"/>
            </w:tcMar>
            <w:vAlign w:val="center"/>
          </w:tcPr>
          <w:p ns2:paraId="33FC6BB2">
            <w:pPr>
              <w:spacing w:after="0" w:line="252" w:lineRule="auto"/>
              <w:rPr>
                <w:rFonts w:hint="eastAsia" w:ascii="宋体" w:hAnsi="宋体" w:eastAsia="宋体" w:cs="宋体"/>
              </w:rPr>
            </w:pPr>
            <w:r>
              <w:rPr>
                <w:rFonts w:hint="eastAsia" w:ascii="宋体" w:hAnsi="宋体" w:eastAsia="宋体" w:cs="宋体"/>
                <w:sz w:val="18"/>
              </w:rPr>
              <w:t>MLP/规则 + 可选LLM解释</w:t>
            </w:r>
          </w:p>
        </w:tc>
        <w:tc>
          <w:tcPr>
            <w:tcW w:w="3969" w:type="dxa"/>
            <w:shd w:val="clear" w:color="auto" w:fill="F7F9FC"/>
            <w:tcMar>
              <w:top w:w="75" w:type="dxa"/>
              <w:left w:w="85" w:type="dxa"/>
              <w:bottom w:w="75" w:type="dxa"/>
              <w:right w:w="85" w:type="dxa"/>
            </w:tcMar>
            <w:vAlign w:val="center"/>
          </w:tcPr>
          <w:p ns2:paraId="4B9BCFD1">
            <w:pPr>
              <w:spacing w:after="0" w:line="252" w:lineRule="auto"/>
              <w:rPr>
                <w:rFonts w:hint="eastAsia" w:ascii="宋体" w:hAnsi="宋体" w:eastAsia="宋体" w:cs="宋体"/>
              </w:rPr>
            </w:pPr>
            <w:r>
              <w:rPr>
                <w:rFonts w:hint="eastAsia" w:ascii="宋体" w:hAnsi="宋体" w:eastAsia="宋体" w:cs="宋体"/>
                <w:sz w:val="18"/>
              </w:rPr>
              <w:t>选择本身要可验证，LLM解释不能替代数值Score</w:t>
            </w:r>
          </w:p>
        </w:tc>
      </w:tr>
      <w:tr ns2:paraId="5401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0F037B47">
            <w:pPr>
              <w:spacing w:after="0" w:line="252" w:lineRule="auto"/>
              <w:rPr>
                <w:rFonts w:hint="eastAsia" w:ascii="宋体" w:hAnsi="宋体" w:eastAsia="宋体" w:cs="宋体"/>
              </w:rPr>
            </w:pPr>
            <w:r>
              <w:rPr>
                <w:rFonts w:hint="eastAsia" w:ascii="宋体" w:hAnsi="宋体" w:eastAsia="宋体" w:cs="宋体"/>
                <w:sz w:val="18"/>
              </w:rPr>
              <w:t>Portfolio hard constraints</w:t>
            </w:r>
          </w:p>
        </w:tc>
        <w:tc>
          <w:tcPr>
            <w:tcW w:w="2835" w:type="dxa"/>
            <w:tcMar>
              <w:top w:w="75" w:type="dxa"/>
              <w:left w:w="85" w:type="dxa"/>
              <w:bottom w:w="75" w:type="dxa"/>
              <w:right w:w="85" w:type="dxa"/>
            </w:tcMar>
            <w:vAlign w:val="center"/>
          </w:tcPr>
          <w:p ns2:paraId="48F47369">
            <w:pPr>
              <w:spacing w:after="0" w:line="252" w:lineRule="auto"/>
              <w:rPr>
                <w:rFonts w:hint="eastAsia" w:ascii="宋体" w:hAnsi="宋体" w:eastAsia="宋体" w:cs="宋体"/>
              </w:rPr>
            </w:pPr>
            <w:r>
              <w:rPr>
                <w:rFonts w:hint="eastAsia" w:ascii="宋体" w:hAnsi="宋体" w:eastAsia="宋体" w:cs="宋体"/>
                <w:sz w:val="18"/>
              </w:rPr>
              <w:t>传统Optimizer/风控系统</w:t>
            </w:r>
          </w:p>
        </w:tc>
        <w:tc>
          <w:tcPr>
            <w:tcW w:w="3969" w:type="dxa"/>
            <w:tcMar>
              <w:top w:w="75" w:type="dxa"/>
              <w:left w:w="85" w:type="dxa"/>
              <w:bottom w:w="75" w:type="dxa"/>
              <w:right w:w="85" w:type="dxa"/>
            </w:tcMar>
            <w:vAlign w:val="center"/>
          </w:tcPr>
          <w:p ns2:paraId="2A2EC7D2">
            <w:pPr>
              <w:spacing w:after="0" w:line="252" w:lineRule="auto"/>
              <w:rPr>
                <w:rFonts w:hint="eastAsia" w:ascii="宋体" w:hAnsi="宋体" w:eastAsia="宋体" w:cs="宋体"/>
              </w:rPr>
            </w:pPr>
            <w:r>
              <w:rPr>
                <w:rFonts w:hint="eastAsia" w:ascii="宋体" w:hAnsi="宋体" w:eastAsia="宋体" w:cs="宋体"/>
                <w:sz w:val="18"/>
              </w:rPr>
              <w:t>行业、Beta、单票、换手等硬约束不可由LLM覆盖</w:t>
            </w:r>
          </w:p>
        </w:tc>
      </w:tr>
    </w:tbl>
    <w:p ns2:paraId="0A69B1CD">
      <w:pPr>
        <w:spacing w:after="20"/>
        <w:rPr>
          <w:rFonts w:hint="eastAsia" w:ascii="宋体" w:hAnsi="宋体" w:eastAsia="宋体" w:cs="宋体"/>
        </w:rPr>
      </w:pPr>
    </w:p>
    <w:p ns2:paraId="0D0BC292">
      <w:pPr>
        <w:pStyle w:val="3"/>
        <w:keepNext/>
        <w:spacing w:before="240" w:after="120"/>
        <w:rPr>
          <w:rFonts w:hint="eastAsia" w:ascii="宋体" w:hAnsi="宋体" w:eastAsia="宋体" w:cs="宋体"/>
        </w:rPr>
      </w:pPr>
      <w:r>
        <w:rPr>
          <w:rFonts w:hint="eastAsia" w:ascii="宋体" w:hAnsi="宋体" w:eastAsia="宋体" w:cs="宋体"/>
          <w:b/>
          <w:color w:val="17365D"/>
          <w:sz w:val="32"/>
        </w:rPr>
        <w:t>8. 数据、实验与评价体系</w:t>
      </w:r>
    </w:p>
    <w:p ns2:paraId="3D22483F">
      <w:pPr>
        <w:pStyle w:val="4"/>
        <w:keepNext/>
        <w:spacing w:before="140" w:after="120"/>
        <w:rPr>
          <w:rFonts w:hint="eastAsia" w:ascii="宋体" w:hAnsi="宋体" w:eastAsia="宋体" w:cs="宋体"/>
        </w:rPr>
      </w:pPr>
      <w:r>
        <w:rPr>
          <w:rFonts w:hint="eastAsia" w:ascii="宋体" w:hAnsi="宋体" w:eastAsia="宋体" w:cs="宋体"/>
          <w:b/>
          <w:color w:val="1F4E79"/>
          <w:sz w:val="26"/>
        </w:rPr>
        <w:t>8.1 数据与基线</w:t>
      </w:r>
    </w:p>
    <w:p ns2:paraId="32EE4644">
      <w:pPr>
        <w:spacing w:after="100" w:line="300" w:lineRule="auto"/>
        <w:ind w:firstLine="420"/>
        <w:rPr>
          <w:rFonts w:hint="eastAsia" w:ascii="宋体" w:hAnsi="宋体" w:eastAsia="宋体" w:cs="宋体"/>
        </w:rPr>
      </w:pPr>
      <w:r>
        <w:rPr>
          <w:rFonts w:hint="eastAsia" w:ascii="宋体" w:hAnsi="宋体" w:eastAsia="宋体" w:cs="宋体"/>
          <w:sz w:val="21"/>
        </w:rPr>
        <w:t>公开研究中的A股多智能体数据设置覆盖SSE50、CSI300、创业板100等股票池，包含新闻、财报摘要、价量、基本面及宏观指标；公开资源中也提供了可用于复现实验的SSE50示例数据。第一阶段优先在公开SSE50数据上建立统一Benchmark，随后如具备数据权限，再扩展CSI300/CSI A500或比赛指定数据。正式实验中的公开基线MASS将区分MASS-Paper（按论文公式与参数实现）与MASS-Code（按官方开源仓库当前实现运行），以避免论文描述与公开实现口径差异影响公平比较。所有新增数据必须遵守Point-in-Time可得性，训练、路由、聚合和回测均不得使用未来信息。</w:t>
      </w:r>
    </w:p>
    <w:p ns2:paraId="18FF8559">
      <w:pPr>
        <w:pStyle w:val="4"/>
        <w:keepNext/>
        <w:spacing w:before="140" w:after="120"/>
        <w:rPr>
          <w:rFonts w:hint="eastAsia" w:ascii="宋体" w:hAnsi="宋体" w:eastAsia="宋体" w:cs="宋体"/>
        </w:rPr>
      </w:pPr>
      <w:r>
        <w:rPr>
          <w:rFonts w:hint="eastAsia" w:ascii="宋体" w:hAnsi="宋体" w:eastAsia="宋体" w:cs="宋体"/>
          <w:b/>
          <w:color w:val="1F4E79"/>
          <w:sz w:val="26"/>
        </w:rPr>
        <w:t>8.2 阶段性验证实验（已完成）</w:t>
      </w:r>
    </w:p>
    <w:p ns2:paraId="18F57464">
      <w:pPr>
        <w:rPr>
          <w:rFonts w:hint="eastAsia" w:ascii="宋体" w:hAnsi="宋体" w:eastAsia="宋体" w:cs="宋体"/>
        </w:rPr>
      </w:pPr>
      <w:r>
        <w:rPr>
          <w:rFonts w:hint="eastAsia" w:ascii="宋体" w:hAnsi="宋体" w:eastAsia="宋体" w:cs="宋体"/>
        </w:rPr>
        <w:t>在进入大规模消融实验之前，团队已在公开SSE50示例数据上完成系统端到端验证实验。实验设置为：两类投资者类型智能体（num_investor_type=2，每类1个Agent），候选股票池10只、每日选择3只，时间区间2023年1月3日至2023年1月31日，共16个交易日。系统完整执行了从数据读取、智能体初始化、市场状态编码、智能体路由、投资判断、分歧诊断、信号聚合到IC评估的全流程，LLM服务通过环境变量配置并完成DeepSeek等OpenAI格式接口适配。各预测周期的IC评估结果如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ns2:paraId="714E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ns2:paraId="524E1040">
            <w:pPr>
              <w:spacing w:after="0" w:line="240" w:lineRule="auto"/>
              <w:rPr>
                <w:rFonts w:hint="eastAsia" w:ascii="宋体" w:hAnsi="宋体" w:eastAsia="宋体" w:cs="宋体"/>
              </w:rPr>
            </w:pPr>
            <w:r>
              <w:rPr>
                <w:rFonts w:hint="eastAsia" w:ascii="宋体" w:hAnsi="宋体" w:eastAsia="宋体" w:cs="宋体"/>
                <w:b/>
              </w:rPr>
              <w:t>预测周期</w:t>
            </w:r>
          </w:p>
        </w:tc>
        <w:tc>
          <w:tcPr>
            <w:tcW w:w="1994" w:type="dxa"/>
          </w:tcPr>
          <w:p ns2:paraId="76333321">
            <w:pPr>
              <w:spacing w:after="0" w:line="240" w:lineRule="auto"/>
              <w:jc w:val="center"/>
              <w:rPr>
                <w:rFonts w:hint="eastAsia" w:ascii="宋体" w:hAnsi="宋体" w:eastAsia="宋体" w:cs="宋体"/>
              </w:rPr>
            </w:pPr>
            <w:r>
              <w:rPr>
                <w:rFonts w:hint="eastAsia" w:ascii="宋体" w:hAnsi="宋体" w:eastAsia="宋体" w:cs="宋体"/>
                <w:b/>
              </w:rPr>
              <w:t>IC</w:t>
            </w:r>
          </w:p>
        </w:tc>
        <w:tc>
          <w:tcPr>
            <w:tcW w:w="1994" w:type="dxa"/>
          </w:tcPr>
          <w:p ns2:paraId="753DFF1E">
            <w:pPr>
              <w:spacing w:after="0" w:line="240" w:lineRule="auto"/>
              <w:jc w:val="center"/>
              <w:rPr>
                <w:rFonts w:hint="eastAsia" w:ascii="宋体" w:hAnsi="宋体" w:eastAsia="宋体" w:cs="宋体"/>
              </w:rPr>
            </w:pPr>
            <w:r>
              <w:rPr>
                <w:rFonts w:hint="eastAsia" w:ascii="宋体" w:hAnsi="宋体" w:eastAsia="宋体" w:cs="宋体"/>
                <w:b/>
              </w:rPr>
              <w:t>ICIR</w:t>
            </w:r>
          </w:p>
        </w:tc>
        <w:tc>
          <w:tcPr>
            <w:tcW w:w="1994" w:type="dxa"/>
          </w:tcPr>
          <w:p ns2:paraId="4CE5E890">
            <w:pPr>
              <w:spacing w:after="0" w:line="240" w:lineRule="auto"/>
              <w:jc w:val="center"/>
              <w:rPr>
                <w:rFonts w:hint="eastAsia" w:ascii="宋体" w:hAnsi="宋体" w:eastAsia="宋体" w:cs="宋体"/>
              </w:rPr>
            </w:pPr>
            <w:r>
              <w:rPr>
                <w:rFonts w:hint="eastAsia" w:ascii="宋体" w:hAnsi="宋体" w:eastAsia="宋体" w:cs="宋体"/>
                <w:b/>
              </w:rPr>
              <w:t>RankIC</w:t>
            </w:r>
          </w:p>
        </w:tc>
        <w:tc>
          <w:tcPr>
            <w:tcW w:w="1994" w:type="dxa"/>
          </w:tcPr>
          <w:p ns2:paraId="5AA70A01">
            <w:pPr>
              <w:spacing w:after="0" w:line="240" w:lineRule="auto"/>
              <w:jc w:val="center"/>
              <w:rPr>
                <w:rFonts w:hint="eastAsia" w:ascii="宋体" w:hAnsi="宋体" w:eastAsia="宋体" w:cs="宋体"/>
              </w:rPr>
            </w:pPr>
            <w:r>
              <w:rPr>
                <w:rFonts w:hint="eastAsia" w:ascii="宋体" w:hAnsi="宋体" w:eastAsia="宋体" w:cs="宋体"/>
                <w:b/>
              </w:rPr>
              <w:t>RankICIR</w:t>
            </w:r>
          </w:p>
        </w:tc>
      </w:tr>
      <w:tr ns2:paraId="7A65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ns2:paraId="1F9BB674">
            <w:pPr>
              <w:spacing w:after="0" w:line="240" w:lineRule="auto"/>
              <w:rPr>
                <w:rFonts w:hint="eastAsia" w:ascii="宋体" w:hAnsi="宋体" w:eastAsia="宋体" w:cs="宋体"/>
              </w:rPr>
            </w:pPr>
            <w:r>
              <w:rPr>
                <w:rFonts w:hint="eastAsia" w:ascii="宋体" w:hAnsi="宋体" w:eastAsia="宋体" w:cs="宋体"/>
                <w:b w:val="0"/>
              </w:rPr>
              <w:t>1日</w:t>
            </w:r>
          </w:p>
        </w:tc>
        <w:tc>
          <w:tcPr>
            <w:tcW w:w="1994" w:type="dxa"/>
          </w:tcPr>
          <w:p ns2:paraId="7797DBF5">
            <w:pPr>
              <w:spacing w:after="0" w:line="240" w:lineRule="auto"/>
              <w:jc w:val="center"/>
              <w:rPr>
                <w:rFonts w:hint="eastAsia" w:ascii="宋体" w:hAnsi="宋体" w:eastAsia="宋体" w:cs="宋体"/>
              </w:rPr>
            </w:pPr>
            <w:r>
              <w:rPr>
                <w:rFonts w:hint="eastAsia" w:ascii="宋体" w:hAnsi="宋体" w:eastAsia="宋体" w:cs="宋体"/>
                <w:b w:val="0"/>
              </w:rPr>
              <w:t>0.0026</w:t>
            </w:r>
          </w:p>
        </w:tc>
        <w:tc>
          <w:tcPr>
            <w:tcW w:w="1994" w:type="dxa"/>
          </w:tcPr>
          <w:p ns2:paraId="33C68E69">
            <w:pPr>
              <w:spacing w:after="0" w:line="240" w:lineRule="auto"/>
              <w:jc w:val="center"/>
              <w:rPr>
                <w:rFonts w:hint="eastAsia" w:ascii="宋体" w:hAnsi="宋体" w:eastAsia="宋体" w:cs="宋体"/>
              </w:rPr>
            </w:pPr>
            <w:r>
              <w:rPr>
                <w:rFonts w:hint="eastAsia" w:ascii="宋体" w:hAnsi="宋体" w:eastAsia="宋体" w:cs="宋体"/>
                <w:b w:val="0"/>
              </w:rPr>
              <w:t>0.0342</w:t>
            </w:r>
          </w:p>
        </w:tc>
        <w:tc>
          <w:tcPr>
            <w:tcW w:w="1994" w:type="dxa"/>
          </w:tcPr>
          <w:p ns2:paraId="0E2C212E">
            <w:pPr>
              <w:spacing w:after="0" w:line="240" w:lineRule="auto"/>
              <w:jc w:val="center"/>
              <w:rPr>
                <w:rFonts w:hint="eastAsia" w:ascii="宋体" w:hAnsi="宋体" w:eastAsia="宋体" w:cs="宋体"/>
              </w:rPr>
            </w:pPr>
            <w:r>
              <w:rPr>
                <w:rFonts w:hint="eastAsia" w:ascii="宋体" w:hAnsi="宋体" w:eastAsia="宋体" w:cs="宋体"/>
                <w:b w:val="0"/>
              </w:rPr>
              <w:t>0.0247</w:t>
            </w:r>
          </w:p>
        </w:tc>
        <w:tc>
          <w:tcPr>
            <w:tcW w:w="1994" w:type="dxa"/>
          </w:tcPr>
          <w:p ns2:paraId="3B7E6F5F">
            <w:pPr>
              <w:spacing w:after="0" w:line="240" w:lineRule="auto"/>
              <w:jc w:val="center"/>
              <w:rPr>
                <w:rFonts w:hint="eastAsia" w:ascii="宋体" w:hAnsi="宋体" w:eastAsia="宋体" w:cs="宋体"/>
              </w:rPr>
            </w:pPr>
            <w:r>
              <w:rPr>
                <w:rFonts w:hint="eastAsia" w:ascii="宋体" w:hAnsi="宋体" w:eastAsia="宋体" w:cs="宋体"/>
                <w:b w:val="0"/>
              </w:rPr>
              <w:t>0.2413</w:t>
            </w:r>
          </w:p>
        </w:tc>
      </w:tr>
      <w:tr ns2:paraId="2A8D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ns2:paraId="5A150BF9">
            <w:pPr>
              <w:spacing w:after="0" w:line="240" w:lineRule="auto"/>
              <w:rPr>
                <w:rFonts w:hint="eastAsia" w:ascii="宋体" w:hAnsi="宋体" w:eastAsia="宋体" w:cs="宋体"/>
              </w:rPr>
            </w:pPr>
            <w:r>
              <w:rPr>
                <w:rFonts w:hint="eastAsia" w:ascii="宋体" w:hAnsi="宋体" w:eastAsia="宋体" w:cs="宋体"/>
                <w:b w:val="0"/>
              </w:rPr>
              <w:t>5日</w:t>
            </w:r>
          </w:p>
        </w:tc>
        <w:tc>
          <w:tcPr>
            <w:tcW w:w="1994" w:type="dxa"/>
          </w:tcPr>
          <w:p ns2:paraId="41797DFD">
            <w:pPr>
              <w:spacing w:after="0" w:line="240" w:lineRule="auto"/>
              <w:jc w:val="center"/>
              <w:rPr>
                <w:rFonts w:hint="eastAsia" w:ascii="宋体" w:hAnsi="宋体" w:eastAsia="宋体" w:cs="宋体"/>
              </w:rPr>
            </w:pPr>
            <w:r>
              <w:rPr>
                <w:rFonts w:hint="eastAsia" w:ascii="宋体" w:hAnsi="宋体" w:eastAsia="宋体" w:cs="宋体"/>
                <w:b w:val="0"/>
              </w:rPr>
              <w:t>-0.0762</w:t>
            </w:r>
          </w:p>
        </w:tc>
        <w:tc>
          <w:tcPr>
            <w:tcW w:w="1994" w:type="dxa"/>
          </w:tcPr>
          <w:p ns2:paraId="63FF1547">
            <w:pPr>
              <w:spacing w:after="0" w:line="240" w:lineRule="auto"/>
              <w:jc w:val="center"/>
              <w:rPr>
                <w:rFonts w:hint="eastAsia" w:ascii="宋体" w:hAnsi="宋体" w:eastAsia="宋体" w:cs="宋体"/>
              </w:rPr>
            </w:pPr>
            <w:r>
              <w:rPr>
                <w:rFonts w:hint="eastAsia" w:ascii="宋体" w:hAnsi="宋体" w:eastAsia="宋体" w:cs="宋体"/>
                <w:b w:val="0"/>
              </w:rPr>
              <w:t>-0.6935</w:t>
            </w:r>
          </w:p>
        </w:tc>
        <w:tc>
          <w:tcPr>
            <w:tcW w:w="1994" w:type="dxa"/>
          </w:tcPr>
          <w:p ns2:paraId="5BCBA3DC">
            <w:pPr>
              <w:spacing w:after="0" w:line="240" w:lineRule="auto"/>
              <w:jc w:val="center"/>
              <w:rPr>
                <w:rFonts w:hint="eastAsia" w:ascii="宋体" w:hAnsi="宋体" w:eastAsia="宋体" w:cs="宋体"/>
              </w:rPr>
            </w:pPr>
            <w:r>
              <w:rPr>
                <w:rFonts w:hint="eastAsia" w:ascii="宋体" w:hAnsi="宋体" w:eastAsia="宋体" w:cs="宋体"/>
                <w:b w:val="0"/>
              </w:rPr>
              <w:t>-0.0916</w:t>
            </w:r>
          </w:p>
        </w:tc>
        <w:tc>
          <w:tcPr>
            <w:tcW w:w="1994" w:type="dxa"/>
          </w:tcPr>
          <w:p ns2:paraId="4D9000F7">
            <w:pPr>
              <w:spacing w:after="0" w:line="240" w:lineRule="auto"/>
              <w:jc w:val="center"/>
              <w:rPr>
                <w:rFonts w:hint="eastAsia" w:ascii="宋体" w:hAnsi="宋体" w:eastAsia="宋体" w:cs="宋体"/>
              </w:rPr>
            </w:pPr>
            <w:r>
              <w:rPr>
                <w:rFonts w:hint="eastAsia" w:ascii="宋体" w:hAnsi="宋体" w:eastAsia="宋体" w:cs="宋体"/>
                <w:b w:val="0"/>
              </w:rPr>
              <w:t>-0.6742</w:t>
            </w:r>
          </w:p>
        </w:tc>
      </w:tr>
      <w:tr ns2:paraId="29E0A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ns2:paraId="575D209D">
            <w:pPr>
              <w:spacing w:after="0" w:line="240" w:lineRule="auto"/>
              <w:rPr>
                <w:rFonts w:hint="eastAsia" w:ascii="宋体" w:hAnsi="宋体" w:eastAsia="宋体" w:cs="宋体"/>
              </w:rPr>
            </w:pPr>
            <w:r>
              <w:rPr>
                <w:rFonts w:hint="eastAsia" w:ascii="宋体" w:hAnsi="宋体" w:eastAsia="宋体" w:cs="宋体"/>
                <w:b w:val="0"/>
              </w:rPr>
              <w:t>10日</w:t>
            </w:r>
          </w:p>
        </w:tc>
        <w:tc>
          <w:tcPr>
            <w:tcW w:w="1994" w:type="dxa"/>
          </w:tcPr>
          <w:p ns2:paraId="44C8CC2D">
            <w:pPr>
              <w:spacing w:after="0" w:line="240" w:lineRule="auto"/>
              <w:jc w:val="center"/>
              <w:rPr>
                <w:rFonts w:hint="eastAsia" w:ascii="宋体" w:hAnsi="宋体" w:eastAsia="宋体" w:cs="宋体"/>
              </w:rPr>
            </w:pPr>
            <w:r>
              <w:rPr>
                <w:rFonts w:hint="eastAsia" w:ascii="宋体" w:hAnsi="宋体" w:eastAsia="宋体" w:cs="宋体"/>
                <w:b w:val="0"/>
              </w:rPr>
              <w:t>-0.0666</w:t>
            </w:r>
          </w:p>
        </w:tc>
        <w:tc>
          <w:tcPr>
            <w:tcW w:w="1994" w:type="dxa"/>
          </w:tcPr>
          <w:p ns2:paraId="590920B2">
            <w:pPr>
              <w:spacing w:after="0" w:line="240" w:lineRule="auto"/>
              <w:jc w:val="center"/>
              <w:rPr>
                <w:rFonts w:hint="eastAsia" w:ascii="宋体" w:hAnsi="宋体" w:eastAsia="宋体" w:cs="宋体"/>
              </w:rPr>
            </w:pPr>
            <w:r>
              <w:rPr>
                <w:rFonts w:hint="eastAsia" w:ascii="宋体" w:hAnsi="宋体" w:eastAsia="宋体" w:cs="宋体"/>
                <w:b w:val="0"/>
              </w:rPr>
              <w:t>-1.9825</w:t>
            </w:r>
          </w:p>
        </w:tc>
        <w:tc>
          <w:tcPr>
            <w:tcW w:w="1994" w:type="dxa"/>
          </w:tcPr>
          <w:p ns2:paraId="4F8E3411">
            <w:pPr>
              <w:spacing w:after="0" w:line="240" w:lineRule="auto"/>
              <w:jc w:val="center"/>
              <w:rPr>
                <w:rFonts w:hint="eastAsia" w:ascii="宋体" w:hAnsi="宋体" w:eastAsia="宋体" w:cs="宋体"/>
              </w:rPr>
            </w:pPr>
            <w:r>
              <w:rPr>
                <w:rFonts w:hint="eastAsia" w:ascii="宋体" w:hAnsi="宋体" w:eastAsia="宋体" w:cs="宋体"/>
                <w:b w:val="0"/>
              </w:rPr>
              <w:t>-0.0742</w:t>
            </w:r>
          </w:p>
        </w:tc>
        <w:tc>
          <w:tcPr>
            <w:tcW w:w="1994" w:type="dxa"/>
          </w:tcPr>
          <w:p ns2:paraId="0EF71A51">
            <w:pPr>
              <w:spacing w:after="0" w:line="240" w:lineRule="auto"/>
              <w:jc w:val="center"/>
              <w:rPr>
                <w:rFonts w:hint="eastAsia" w:ascii="宋体" w:hAnsi="宋体" w:eastAsia="宋体" w:cs="宋体"/>
              </w:rPr>
            </w:pPr>
            <w:r>
              <w:rPr>
                <w:rFonts w:hint="eastAsia" w:ascii="宋体" w:hAnsi="宋体" w:eastAsia="宋体" w:cs="宋体"/>
                <w:b w:val="0"/>
              </w:rPr>
              <w:t>-1.4008</w:t>
            </w:r>
          </w:p>
        </w:tc>
      </w:tr>
    </w:tbl>
    <w:p ns2:paraId="1C5CB55A">
      <w:pPr>
        <w:rPr>
          <w:rFonts w:hint="eastAsia" w:ascii="宋体" w:hAnsi="宋体" w:eastAsia="宋体" w:cs="宋体"/>
        </w:rPr>
      </w:pPr>
      <w:r>
        <w:rPr>
          <w:rFonts w:hint="eastAsia" w:ascii="宋体" w:hAnsi="宋体" w:eastAsia="宋体" w:cs="宋体"/>
        </w:rPr>
        <w:t>从结果看，1日预测周期的IC与RankIC在该小样本测试中为正，但样本仅包含16个交易日，当前结果不足以支持统计显著的预测能力结论；5日与10日周期结果偏弱，符合系统完成主流程搭建初期的预期——智能体数量、样本长度、聚合参数与提示词鲁棒性尚未充分优化。当前阶段性实验尚未对Consensus与不同类型Disagreement的独立预测信息进行充分分解，该问题将在8.3节Innovation 2的正式消融实验中通过Consensus、Consensus−σ、Diagnosis及Diagnosis+Debate+Abstain的统一对比进行验证。</w:t>
      </w:r>
    </w:p>
    <w:p ns2:paraId="7721AD5A">
      <w:pPr>
        <w:rPr>
          <w:rFonts w:hint="eastAsia" w:ascii="宋体" w:hAnsi="宋体" w:eastAsia="宋体" w:cs="宋体"/>
        </w:rPr>
      </w:pPr>
      <w:r>
        <w:rPr>
          <w:rFonts w:hint="eastAsia" w:ascii="宋体" w:hAnsi="宋体" w:eastAsia="宋体" w:cs="宋体"/>
        </w:rPr>
        <w:t>需要明确的是，本轮实验的主要目的在于验证从数据读取、市场状态编码、Agent路由、投资判断、分歧处理、信号聚合到评价指标计算的端到端工程闭环能够稳定运行，而非得出最终策略绩效结论；更严格的结论将在第8.3节核心实验矩阵的大规模消融、性能–成本前沿与Regime解释性实验中得出。</w:t>
      </w:r>
    </w:p>
    <w:p ns2:paraId="03B308DB">
      <w:pPr>
        <w:pStyle w:val="4"/>
        <w:keepNext/>
        <w:spacing w:before="140" w:after="120"/>
        <w:rPr>
          <w:rFonts w:hint="eastAsia" w:ascii="宋体" w:hAnsi="宋体" w:eastAsia="宋体" w:cs="宋体"/>
        </w:rPr>
      </w:pPr>
      <w:r>
        <w:rPr>
          <w:rFonts w:hint="eastAsia" w:ascii="宋体" w:hAnsi="宋体" w:eastAsia="宋体" w:cs="宋体"/>
          <w:b/>
          <w:color w:val="1F4E79"/>
          <w:sz w:val="26"/>
        </w:rPr>
        <w:t>8.3 核心实验矩阵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4082"/>
        <w:gridCol w:w="3685"/>
      </w:tblGrid>
      <w:tr ns2:paraId="0BD8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1F4E79"/>
            <w:tcMar>
              <w:top w:w="90" w:type="dxa"/>
              <w:left w:w="90" w:type="dxa"/>
              <w:bottom w:w="90" w:type="dxa"/>
              <w:right w:w="90" w:type="dxa"/>
            </w:tcMar>
            <w:vAlign w:val="center"/>
          </w:tcPr>
          <w:p ns2:paraId="3F2F51A1">
            <w:pPr>
              <w:spacing w:after="0" w:line="240" w:lineRule="auto"/>
              <w:jc w:val="center"/>
              <w:rPr>
                <w:rFonts w:hint="eastAsia" w:ascii="宋体" w:hAnsi="宋体" w:eastAsia="宋体" w:cs="宋体"/>
              </w:rPr>
            </w:pPr>
            <w:r>
              <w:rPr>
                <w:rFonts w:hint="eastAsia" w:ascii="宋体" w:hAnsi="宋体" w:eastAsia="宋体" w:cs="宋体"/>
                <w:b/>
                <w:color w:val="FFFFFF"/>
                <w:sz w:val="17"/>
              </w:rPr>
              <w:t>实验</w:t>
            </w:r>
          </w:p>
        </w:tc>
        <w:tc>
          <w:tcPr>
            <w:tcW w:w="4082" w:type="dxa"/>
            <w:shd w:val="clear" w:color="auto" w:fill="1F4E79"/>
            <w:tcMar>
              <w:top w:w="90" w:type="dxa"/>
              <w:left w:w="90" w:type="dxa"/>
              <w:bottom w:w="90" w:type="dxa"/>
              <w:right w:w="90" w:type="dxa"/>
            </w:tcMar>
            <w:vAlign w:val="center"/>
          </w:tcPr>
          <w:p ns2:paraId="37B13A99">
            <w:pPr>
              <w:spacing w:after="0" w:line="240" w:lineRule="auto"/>
              <w:jc w:val="center"/>
              <w:rPr>
                <w:rFonts w:hint="eastAsia" w:ascii="宋体" w:hAnsi="宋体" w:eastAsia="宋体" w:cs="宋体"/>
              </w:rPr>
            </w:pPr>
            <w:r>
              <w:rPr>
                <w:rFonts w:hint="eastAsia" w:ascii="宋体" w:hAnsi="宋体" w:eastAsia="宋体" w:cs="宋体"/>
                <w:b/>
                <w:color w:val="FFFFFF"/>
                <w:sz w:val="17"/>
              </w:rPr>
              <w:t>对比组</w:t>
            </w:r>
          </w:p>
        </w:tc>
        <w:tc>
          <w:tcPr>
            <w:tcW w:w="3685" w:type="dxa"/>
            <w:shd w:val="clear" w:color="auto" w:fill="1F4E79"/>
            <w:tcMar>
              <w:top w:w="90" w:type="dxa"/>
              <w:left w:w="90" w:type="dxa"/>
              <w:bottom w:w="90" w:type="dxa"/>
              <w:right w:w="90" w:type="dxa"/>
            </w:tcMar>
            <w:vAlign w:val="center"/>
          </w:tcPr>
          <w:p ns2:paraId="1C9E0B6B">
            <w:pPr>
              <w:spacing w:after="0" w:line="240" w:lineRule="auto"/>
              <w:jc w:val="center"/>
              <w:rPr>
                <w:rFonts w:hint="eastAsia" w:ascii="宋体" w:hAnsi="宋体" w:eastAsia="宋体" w:cs="宋体"/>
              </w:rPr>
            </w:pPr>
            <w:r>
              <w:rPr>
                <w:rFonts w:hint="eastAsia" w:ascii="宋体" w:hAnsi="宋体" w:eastAsia="宋体" w:cs="宋体"/>
                <w:b/>
                <w:color w:val="FFFFFF"/>
                <w:sz w:val="17"/>
              </w:rPr>
              <w:t>主要回答的问题</w:t>
            </w:r>
          </w:p>
        </w:tc>
      </w:tr>
      <w:tr ns2:paraId="5470C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Mar>
              <w:top w:w="75" w:type="dxa"/>
              <w:left w:w="85" w:type="dxa"/>
              <w:bottom w:w="75" w:type="dxa"/>
              <w:right w:w="85" w:type="dxa"/>
            </w:tcMar>
            <w:vAlign w:val="center"/>
          </w:tcPr>
          <w:p ns2:paraId="6AAD3A7A">
            <w:pPr>
              <w:spacing w:after="0" w:line="252" w:lineRule="auto"/>
              <w:rPr>
                <w:rFonts w:hint="eastAsia" w:ascii="宋体" w:hAnsi="宋体" w:eastAsia="宋体" w:cs="宋体"/>
              </w:rPr>
            </w:pPr>
            <w:r>
              <w:rPr>
                <w:rFonts w:hint="eastAsia" w:ascii="宋体" w:hAnsi="宋体" w:eastAsia="宋体" w:cs="宋体"/>
                <w:sz w:val="17"/>
              </w:rPr>
              <w:t>Innovation 1</w:t>
            </w:r>
          </w:p>
        </w:tc>
        <w:tc>
          <w:tcPr>
            <w:tcW w:w="4082" w:type="dxa"/>
            <w:tcMar>
              <w:top w:w="75" w:type="dxa"/>
              <w:left w:w="85" w:type="dxa"/>
              <w:bottom w:w="75" w:type="dxa"/>
              <w:right w:w="85" w:type="dxa"/>
            </w:tcMar>
            <w:vAlign w:val="center"/>
          </w:tcPr>
          <w:p ns2:paraId="466B9EFE">
            <w:pPr>
              <w:spacing w:after="0" w:line="252" w:lineRule="auto"/>
              <w:rPr>
                <w:rFonts w:hint="eastAsia" w:ascii="宋体" w:hAnsi="宋体" w:eastAsia="宋体" w:cs="宋体"/>
              </w:rPr>
            </w:pPr>
            <w:r>
              <w:rPr>
                <w:rFonts w:hint="eastAsia" w:ascii="宋体" w:hAnsi="宋体" w:eastAsia="宋体" w:cs="宋体"/>
                <w:sz w:val="17"/>
              </w:rPr>
              <w:t>公开基线MASS（MASS-Paper / MASS-Code） / Router-only / Aggregator-only / Router+Aggregator</w:t>
            </w:r>
          </w:p>
        </w:tc>
        <w:tc>
          <w:tcPr>
            <w:tcW w:w="3685" w:type="dxa"/>
            <w:tcMar>
              <w:top w:w="75" w:type="dxa"/>
              <w:left w:w="85" w:type="dxa"/>
              <w:bottom w:w="75" w:type="dxa"/>
              <w:right w:w="85" w:type="dxa"/>
            </w:tcMar>
            <w:vAlign w:val="center"/>
          </w:tcPr>
          <w:p ns2:paraId="5ADDB7FC">
            <w:pPr>
              <w:spacing w:after="0" w:line="252" w:lineRule="auto"/>
              <w:rPr>
                <w:rFonts w:hint="eastAsia" w:ascii="宋体" w:hAnsi="宋体" w:eastAsia="宋体" w:cs="宋体"/>
              </w:rPr>
            </w:pPr>
            <w:r>
              <w:rPr>
                <w:rFonts w:hint="eastAsia" w:ascii="宋体" w:hAnsi="宋体" w:eastAsia="宋体" w:cs="宋体"/>
                <w:sz w:val="17"/>
              </w:rPr>
              <w:t>事前选择与事后信任是否都有增益</w:t>
            </w:r>
          </w:p>
        </w:tc>
      </w:tr>
      <w:tr ns2:paraId="5163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F7F9FC"/>
            <w:tcMar>
              <w:top w:w="75" w:type="dxa"/>
              <w:left w:w="85" w:type="dxa"/>
              <w:bottom w:w="75" w:type="dxa"/>
              <w:right w:w="85" w:type="dxa"/>
            </w:tcMar>
            <w:vAlign w:val="center"/>
          </w:tcPr>
          <w:p ns2:paraId="0E3F3263">
            <w:pPr>
              <w:spacing w:after="0" w:line="252" w:lineRule="auto"/>
              <w:rPr>
                <w:rFonts w:hint="eastAsia" w:ascii="宋体" w:hAnsi="宋体" w:eastAsia="宋体" w:cs="宋体"/>
              </w:rPr>
            </w:pPr>
            <w:r>
              <w:rPr>
                <w:rFonts w:hint="eastAsia" w:ascii="宋体" w:hAnsi="宋体" w:eastAsia="宋体" w:cs="宋体"/>
                <w:sz w:val="17"/>
              </w:rPr>
              <w:t>Innovation 2</w:t>
            </w:r>
          </w:p>
        </w:tc>
        <w:tc>
          <w:tcPr>
            <w:tcW w:w="4082" w:type="dxa"/>
            <w:shd w:val="clear" w:color="auto" w:fill="F7F9FC"/>
            <w:tcMar>
              <w:top w:w="75" w:type="dxa"/>
              <w:left w:w="85" w:type="dxa"/>
              <w:bottom w:w="75" w:type="dxa"/>
              <w:right w:w="85" w:type="dxa"/>
            </w:tcMar>
            <w:vAlign w:val="center"/>
          </w:tcPr>
          <w:p ns2:paraId="0050D0E7">
            <w:pPr>
              <w:spacing w:after="0" w:line="252" w:lineRule="auto"/>
              <w:rPr>
                <w:rFonts w:hint="eastAsia" w:ascii="宋体" w:hAnsi="宋体" w:eastAsia="宋体" w:cs="宋体"/>
              </w:rPr>
            </w:pPr>
            <w:r>
              <w:rPr>
                <w:rFonts w:hint="eastAsia" w:ascii="宋体" w:hAnsi="宋体" w:eastAsia="宋体" w:cs="宋体"/>
                <w:sz w:val="17"/>
              </w:rPr>
              <w:t>Consensus / Consensus−σ / Diagnosis / Diagnosis+Debate+Abstain</w:t>
            </w:r>
          </w:p>
        </w:tc>
        <w:tc>
          <w:tcPr>
            <w:tcW w:w="3685" w:type="dxa"/>
            <w:shd w:val="clear" w:color="auto" w:fill="F7F9FC"/>
            <w:tcMar>
              <w:top w:w="75" w:type="dxa"/>
              <w:left w:w="85" w:type="dxa"/>
              <w:bottom w:w="75" w:type="dxa"/>
              <w:right w:w="85" w:type="dxa"/>
            </w:tcMar>
            <w:vAlign w:val="center"/>
          </w:tcPr>
          <w:p ns2:paraId="34B72640">
            <w:pPr>
              <w:spacing w:after="0" w:line="252" w:lineRule="auto"/>
              <w:rPr>
                <w:rFonts w:hint="eastAsia" w:ascii="宋体" w:hAnsi="宋体" w:eastAsia="宋体" w:cs="宋体"/>
              </w:rPr>
            </w:pPr>
            <w:r>
              <w:rPr>
                <w:rFonts w:hint="eastAsia" w:ascii="宋体" w:hAnsi="宋体" w:eastAsia="宋体" w:cs="宋体"/>
                <w:sz w:val="17"/>
              </w:rPr>
              <w:t>结构化冲突处理是否优于统一惩罚</w:t>
            </w:r>
          </w:p>
        </w:tc>
      </w:tr>
      <w:tr ns2:paraId="33BC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Mar>
              <w:top w:w="75" w:type="dxa"/>
              <w:left w:w="85" w:type="dxa"/>
              <w:bottom w:w="75" w:type="dxa"/>
              <w:right w:w="85" w:type="dxa"/>
            </w:tcMar>
            <w:vAlign w:val="center"/>
          </w:tcPr>
          <w:p ns2:paraId="312CE17A">
            <w:pPr>
              <w:spacing w:after="0" w:line="252" w:lineRule="auto"/>
              <w:rPr>
                <w:rFonts w:hint="eastAsia" w:ascii="宋体" w:hAnsi="宋体" w:eastAsia="宋体" w:cs="宋体"/>
              </w:rPr>
            </w:pPr>
            <w:r>
              <w:rPr>
                <w:rFonts w:hint="eastAsia" w:ascii="宋体" w:hAnsi="宋体" w:eastAsia="宋体" w:cs="宋体"/>
                <w:sz w:val="17"/>
              </w:rPr>
              <w:t>Innovation 3</w:t>
            </w:r>
          </w:p>
        </w:tc>
        <w:tc>
          <w:tcPr>
            <w:tcW w:w="4082" w:type="dxa"/>
            <w:tcMar>
              <w:top w:w="75" w:type="dxa"/>
              <w:left w:w="85" w:type="dxa"/>
              <w:bottom w:w="75" w:type="dxa"/>
              <w:right w:w="85" w:type="dxa"/>
            </w:tcMar>
            <w:vAlign w:val="center"/>
          </w:tcPr>
          <w:p ns2:paraId="1D9001B0">
            <w:pPr>
              <w:spacing w:after="0" w:line="252" w:lineRule="auto"/>
              <w:rPr>
                <w:rFonts w:hint="eastAsia" w:ascii="宋体" w:hAnsi="宋体" w:eastAsia="宋体" w:cs="宋体"/>
              </w:rPr>
            </w:pPr>
            <w:r>
              <w:rPr>
                <w:rFonts w:hint="eastAsia" w:ascii="宋体" w:hAnsi="宋体" w:eastAsia="宋体" w:cs="宋体"/>
                <w:sz w:val="17"/>
              </w:rPr>
              <w:t>Top-K / Diversity-aware / Diversity+Cost-aware</w:t>
            </w:r>
          </w:p>
        </w:tc>
        <w:tc>
          <w:tcPr>
            <w:tcW w:w="3685" w:type="dxa"/>
            <w:tcMar>
              <w:top w:w="75" w:type="dxa"/>
              <w:left w:w="85" w:type="dxa"/>
              <w:bottom w:w="75" w:type="dxa"/>
              <w:right w:w="85" w:type="dxa"/>
            </w:tcMar>
            <w:vAlign w:val="center"/>
          </w:tcPr>
          <w:p ns2:paraId="34F7DDC7">
            <w:pPr>
              <w:spacing w:after="0" w:line="252" w:lineRule="auto"/>
              <w:rPr>
                <w:rFonts w:hint="eastAsia" w:ascii="宋体" w:hAnsi="宋体" w:eastAsia="宋体" w:cs="宋体"/>
              </w:rPr>
            </w:pPr>
            <w:r>
              <w:rPr>
                <w:rFonts w:hint="eastAsia" w:ascii="宋体" w:hAnsi="宋体" w:eastAsia="宋体" w:cs="宋体"/>
                <w:sz w:val="17"/>
              </w:rPr>
              <w:t>互补性是否提升有效信息；相同表现下能否减少调用成本</w:t>
            </w:r>
          </w:p>
        </w:tc>
      </w:tr>
      <w:tr ns2:paraId="03EB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F7F9FC"/>
            <w:tcMar>
              <w:top w:w="75" w:type="dxa"/>
              <w:left w:w="85" w:type="dxa"/>
              <w:bottom w:w="75" w:type="dxa"/>
              <w:right w:w="85" w:type="dxa"/>
            </w:tcMar>
            <w:vAlign w:val="center"/>
          </w:tcPr>
          <w:p ns2:paraId="4B7598E0">
            <w:pPr>
              <w:spacing w:after="0" w:line="252" w:lineRule="auto"/>
              <w:rPr>
                <w:rFonts w:hint="eastAsia" w:ascii="宋体" w:hAnsi="宋体" w:eastAsia="宋体" w:cs="宋体"/>
              </w:rPr>
            </w:pPr>
            <w:r>
              <w:rPr>
                <w:rFonts w:hint="eastAsia" w:ascii="宋体" w:hAnsi="宋体" w:eastAsia="宋体" w:cs="宋体"/>
                <w:sz w:val="17"/>
              </w:rPr>
              <w:t>Full System</w:t>
            </w:r>
          </w:p>
        </w:tc>
        <w:tc>
          <w:tcPr>
            <w:tcW w:w="4082" w:type="dxa"/>
            <w:shd w:val="clear" w:color="auto" w:fill="F7F9FC"/>
            <w:tcMar>
              <w:top w:w="75" w:type="dxa"/>
              <w:left w:w="85" w:type="dxa"/>
              <w:bottom w:w="75" w:type="dxa"/>
              <w:right w:w="85" w:type="dxa"/>
            </w:tcMar>
            <w:vAlign w:val="center"/>
          </w:tcPr>
          <w:p ns2:paraId="6FBACCA0">
            <w:pPr>
              <w:spacing w:after="0" w:line="252" w:lineRule="auto"/>
              <w:rPr>
                <w:rFonts w:hint="eastAsia" w:ascii="宋体" w:hAnsi="宋体" w:eastAsia="宋体" w:cs="宋体"/>
              </w:rPr>
            </w:pPr>
            <w:r>
              <w:rPr>
                <w:rFonts w:hint="eastAsia" w:ascii="宋体" w:hAnsi="宋体" w:eastAsia="宋体" w:cs="宋体"/>
                <w:sz w:val="17"/>
              </w:rPr>
              <w:t>公开强基线（含MASS-Paper / MASS-Code） vs AlphaOrchestra</w:t>
            </w:r>
          </w:p>
        </w:tc>
        <w:tc>
          <w:tcPr>
            <w:tcW w:w="3685" w:type="dxa"/>
            <w:shd w:val="clear" w:color="auto" w:fill="F7F9FC"/>
            <w:tcMar>
              <w:top w:w="75" w:type="dxa"/>
              <w:left w:w="85" w:type="dxa"/>
              <w:bottom w:w="75" w:type="dxa"/>
              <w:right w:w="85" w:type="dxa"/>
            </w:tcMar>
            <w:vAlign w:val="center"/>
          </w:tcPr>
          <w:p ns2:paraId="09972D36">
            <w:pPr>
              <w:spacing w:after="0" w:line="252" w:lineRule="auto"/>
              <w:rPr>
                <w:rFonts w:hint="eastAsia" w:ascii="宋体" w:hAnsi="宋体" w:eastAsia="宋体" w:cs="宋体"/>
              </w:rPr>
            </w:pPr>
            <w:r>
              <w:rPr>
                <w:rFonts w:hint="eastAsia" w:ascii="宋体" w:hAnsi="宋体" w:eastAsia="宋体" w:cs="宋体"/>
                <w:sz w:val="17"/>
              </w:rPr>
              <w:t>综合收益、风险、换手、成本与解释性是否改善</w:t>
            </w:r>
          </w:p>
        </w:tc>
      </w:tr>
      <w:tr ns2:paraId="5DEF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Mar>
              <w:top w:w="75" w:type="dxa"/>
              <w:left w:w="85" w:type="dxa"/>
              <w:bottom w:w="75" w:type="dxa"/>
              <w:right w:w="85" w:type="dxa"/>
            </w:tcMar>
            <w:vAlign w:val="center"/>
          </w:tcPr>
          <w:p ns2:paraId="0C2BA429">
            <w:pPr>
              <w:spacing w:after="0" w:line="252" w:lineRule="auto"/>
              <w:rPr>
                <w:rFonts w:hint="eastAsia" w:ascii="宋体" w:hAnsi="宋体" w:eastAsia="宋体" w:cs="宋体"/>
              </w:rPr>
            </w:pPr>
            <w:r>
              <w:rPr>
                <w:rFonts w:hint="eastAsia" w:ascii="宋体" w:hAnsi="宋体" w:eastAsia="宋体" w:cs="宋体"/>
                <w:sz w:val="17"/>
              </w:rPr>
              <w:t>Stress/OOS</w:t>
            </w:r>
          </w:p>
        </w:tc>
        <w:tc>
          <w:tcPr>
            <w:tcW w:w="4082" w:type="dxa"/>
            <w:tcMar>
              <w:top w:w="75" w:type="dxa"/>
              <w:left w:w="85" w:type="dxa"/>
              <w:bottom w:w="75" w:type="dxa"/>
              <w:right w:w="85" w:type="dxa"/>
            </w:tcMar>
            <w:vAlign w:val="center"/>
          </w:tcPr>
          <w:p ns2:paraId="43919F0E">
            <w:pPr>
              <w:spacing w:after="0" w:line="252" w:lineRule="auto"/>
              <w:rPr>
                <w:rFonts w:hint="eastAsia" w:ascii="宋体" w:hAnsi="宋体" w:eastAsia="宋体" w:cs="宋体"/>
              </w:rPr>
            </w:pPr>
            <w:r>
              <w:rPr>
                <w:rFonts w:hint="eastAsia" w:ascii="宋体" w:hAnsi="宋体" w:eastAsia="宋体" w:cs="宋体"/>
                <w:sz w:val="17"/>
              </w:rPr>
              <w:t>不同Regime、不同股票池、不同LLM、不同预算</w:t>
            </w:r>
          </w:p>
        </w:tc>
        <w:tc>
          <w:tcPr>
            <w:tcW w:w="3685" w:type="dxa"/>
            <w:tcMar>
              <w:top w:w="75" w:type="dxa"/>
              <w:left w:w="85" w:type="dxa"/>
              <w:bottom w:w="75" w:type="dxa"/>
              <w:right w:w="85" w:type="dxa"/>
            </w:tcMar>
            <w:vAlign w:val="center"/>
          </w:tcPr>
          <w:p ns2:paraId="5B19D9C2">
            <w:pPr>
              <w:spacing w:after="0" w:line="252" w:lineRule="auto"/>
              <w:rPr>
                <w:rFonts w:hint="eastAsia" w:ascii="宋体" w:hAnsi="宋体" w:eastAsia="宋体" w:cs="宋体"/>
              </w:rPr>
            </w:pPr>
            <w:r>
              <w:rPr>
                <w:rFonts w:hint="eastAsia" w:ascii="宋体" w:hAnsi="宋体" w:eastAsia="宋体" w:cs="宋体"/>
                <w:sz w:val="17"/>
              </w:rPr>
              <w:t>效果是否依赖单一模型或单一市场环境</w:t>
            </w:r>
          </w:p>
        </w:tc>
      </w:tr>
    </w:tbl>
    <w:p ns2:paraId="32E16466">
      <w:pPr>
        <w:spacing w:after="20"/>
        <w:rPr>
          <w:rFonts w:hint="eastAsia" w:ascii="宋体" w:hAnsi="宋体" w:eastAsia="宋体" w:cs="宋体"/>
        </w:rPr>
      </w:pPr>
    </w:p>
    <w:p ns2:paraId="393D16AB">
      <w:pPr>
        <w:pStyle w:val="4"/>
        <w:keepNext/>
        <w:spacing w:before="140" w:after="120"/>
        <w:rPr>
          <w:rFonts w:hint="eastAsia" w:ascii="宋体" w:hAnsi="宋体" w:eastAsia="宋体" w:cs="宋体"/>
        </w:rPr>
      </w:pPr>
      <w:r>
        <w:rPr>
          <w:rFonts w:hint="eastAsia" w:ascii="宋体" w:hAnsi="宋体" w:eastAsia="宋体" w:cs="宋体"/>
          <w:b/>
          <w:color w:val="1F4E79"/>
          <w:sz w:val="26"/>
        </w:rPr>
        <w:t>8.4 评价指标</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370"/>
      </w:tblGrid>
      <w:tr ns2:paraId="42B3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F4E79"/>
            <w:tcMar>
              <w:top w:w="90" w:type="dxa"/>
              <w:left w:w="90" w:type="dxa"/>
              <w:bottom w:w="90" w:type="dxa"/>
              <w:right w:w="90" w:type="dxa"/>
            </w:tcMar>
            <w:vAlign w:val="center"/>
          </w:tcPr>
          <w:p ns2:paraId="6571CDBE">
            <w:pPr>
              <w:spacing w:after="0" w:line="240" w:lineRule="auto"/>
              <w:jc w:val="center"/>
              <w:rPr>
                <w:rFonts w:hint="eastAsia" w:ascii="宋体" w:hAnsi="宋体" w:eastAsia="宋体" w:cs="宋体"/>
              </w:rPr>
            </w:pPr>
            <w:r>
              <w:rPr>
                <w:rFonts w:hint="eastAsia" w:ascii="宋体" w:hAnsi="宋体" w:eastAsia="宋体" w:cs="宋体"/>
                <w:b/>
                <w:color w:val="FFFFFF"/>
                <w:sz w:val="18"/>
              </w:rPr>
              <w:t>维度</w:t>
            </w:r>
          </w:p>
        </w:tc>
        <w:tc>
          <w:tcPr>
            <w:tcW w:w="7370" w:type="dxa"/>
            <w:shd w:val="clear" w:color="auto" w:fill="1F4E79"/>
            <w:tcMar>
              <w:top w:w="90" w:type="dxa"/>
              <w:left w:w="90" w:type="dxa"/>
              <w:bottom w:w="90" w:type="dxa"/>
              <w:right w:w="90" w:type="dxa"/>
            </w:tcMar>
            <w:vAlign w:val="center"/>
          </w:tcPr>
          <w:p ns2:paraId="19301273">
            <w:pPr>
              <w:spacing w:after="0" w:line="240" w:lineRule="auto"/>
              <w:jc w:val="center"/>
              <w:rPr>
                <w:rFonts w:hint="eastAsia" w:ascii="宋体" w:hAnsi="宋体" w:eastAsia="宋体" w:cs="宋体"/>
              </w:rPr>
            </w:pPr>
            <w:r>
              <w:rPr>
                <w:rFonts w:hint="eastAsia" w:ascii="宋体" w:hAnsi="宋体" w:eastAsia="宋体" w:cs="宋体"/>
                <w:b/>
                <w:color w:val="FFFFFF"/>
                <w:sz w:val="18"/>
              </w:rPr>
              <w:t>指标</w:t>
            </w:r>
          </w:p>
        </w:tc>
      </w:tr>
      <w:tr ns2:paraId="313D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227DC47C">
            <w:pPr>
              <w:spacing w:after="0" w:line="252" w:lineRule="auto"/>
              <w:rPr>
                <w:rFonts w:hint="eastAsia" w:ascii="宋体" w:hAnsi="宋体" w:eastAsia="宋体" w:cs="宋体"/>
              </w:rPr>
            </w:pPr>
            <w:r>
              <w:rPr>
                <w:rFonts w:hint="eastAsia" w:ascii="宋体" w:hAnsi="宋体" w:eastAsia="宋体" w:cs="宋体"/>
                <w:sz w:val="18"/>
              </w:rPr>
              <w:t>预测质量</w:t>
            </w:r>
          </w:p>
        </w:tc>
        <w:tc>
          <w:tcPr>
            <w:tcW w:w="7370" w:type="dxa"/>
            <w:tcMar>
              <w:top w:w="75" w:type="dxa"/>
              <w:left w:w="85" w:type="dxa"/>
              <w:bottom w:w="75" w:type="dxa"/>
              <w:right w:w="85" w:type="dxa"/>
            </w:tcMar>
            <w:vAlign w:val="center"/>
          </w:tcPr>
          <w:p ns2:paraId="08D4E4F2">
            <w:pPr>
              <w:spacing w:after="0" w:line="252" w:lineRule="auto"/>
              <w:rPr>
                <w:rFonts w:hint="eastAsia" w:ascii="宋体" w:hAnsi="宋体" w:eastAsia="宋体" w:cs="宋体"/>
              </w:rPr>
            </w:pPr>
            <w:r>
              <w:rPr>
                <w:rFonts w:hint="eastAsia" w:ascii="宋体" w:hAnsi="宋体" w:eastAsia="宋体" w:cs="宋体"/>
                <w:sz w:val="18"/>
              </w:rPr>
              <w:t>RankIC、IC、RICIR/ICIR、Hit Rate</w:t>
            </w:r>
          </w:p>
        </w:tc>
      </w:tr>
      <w:tr ns2:paraId="1624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0A02A864">
            <w:pPr>
              <w:spacing w:after="0" w:line="252" w:lineRule="auto"/>
              <w:rPr>
                <w:rFonts w:hint="eastAsia" w:ascii="宋体" w:hAnsi="宋体" w:eastAsia="宋体" w:cs="宋体"/>
              </w:rPr>
            </w:pPr>
            <w:r>
              <w:rPr>
                <w:rFonts w:hint="eastAsia" w:ascii="宋体" w:hAnsi="宋体" w:eastAsia="宋体" w:cs="宋体"/>
                <w:sz w:val="18"/>
              </w:rPr>
              <w:t>组合绩效</w:t>
            </w:r>
          </w:p>
        </w:tc>
        <w:tc>
          <w:tcPr>
            <w:tcW w:w="7370" w:type="dxa"/>
            <w:shd w:val="clear" w:color="auto" w:fill="F7F9FC"/>
            <w:tcMar>
              <w:top w:w="75" w:type="dxa"/>
              <w:left w:w="85" w:type="dxa"/>
              <w:bottom w:w="75" w:type="dxa"/>
              <w:right w:w="85" w:type="dxa"/>
            </w:tcMar>
            <w:vAlign w:val="center"/>
          </w:tcPr>
          <w:p ns2:paraId="0AEA4058">
            <w:pPr>
              <w:spacing w:after="0" w:line="252" w:lineRule="auto"/>
              <w:rPr>
                <w:rFonts w:hint="eastAsia" w:ascii="宋体" w:hAnsi="宋体" w:eastAsia="宋体" w:cs="宋体"/>
              </w:rPr>
            </w:pPr>
            <w:r>
              <w:rPr>
                <w:rFonts w:hint="eastAsia" w:ascii="宋体" w:hAnsi="宋体" w:eastAsia="宋体" w:cs="宋体"/>
                <w:sz w:val="18"/>
              </w:rPr>
              <w:t>Annualized Return、Sharpe、Max Drawdown、Excess Return</w:t>
            </w:r>
          </w:p>
        </w:tc>
      </w:tr>
      <w:tr ns2:paraId="1041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0F0FE030">
            <w:pPr>
              <w:spacing w:after="0" w:line="252" w:lineRule="auto"/>
              <w:rPr>
                <w:rFonts w:hint="eastAsia" w:ascii="宋体" w:hAnsi="宋体" w:eastAsia="宋体" w:cs="宋体"/>
              </w:rPr>
            </w:pPr>
            <w:r>
              <w:rPr>
                <w:rFonts w:hint="eastAsia" w:ascii="宋体" w:hAnsi="宋体" w:eastAsia="宋体" w:cs="宋体"/>
                <w:sz w:val="18"/>
              </w:rPr>
              <w:t>交易可行性</w:t>
            </w:r>
          </w:p>
        </w:tc>
        <w:tc>
          <w:tcPr>
            <w:tcW w:w="7370" w:type="dxa"/>
            <w:tcMar>
              <w:top w:w="75" w:type="dxa"/>
              <w:left w:w="85" w:type="dxa"/>
              <w:bottom w:w="75" w:type="dxa"/>
              <w:right w:w="85" w:type="dxa"/>
            </w:tcMar>
            <w:vAlign w:val="center"/>
          </w:tcPr>
          <w:p ns2:paraId="5F1380FE">
            <w:pPr>
              <w:spacing w:after="0" w:line="252" w:lineRule="auto"/>
              <w:rPr>
                <w:rFonts w:hint="eastAsia" w:ascii="宋体" w:hAnsi="宋体" w:eastAsia="宋体" w:cs="宋体"/>
              </w:rPr>
            </w:pPr>
            <w:r>
              <w:rPr>
                <w:rFonts w:hint="eastAsia" w:ascii="宋体" w:hAnsi="宋体" w:eastAsia="宋体" w:cs="宋体"/>
                <w:sz w:val="18"/>
              </w:rPr>
              <w:t>Turnover、Transaction Cost、持仓集中度</w:t>
            </w:r>
          </w:p>
        </w:tc>
      </w:tr>
      <w:tr ns2:paraId="2C44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1BBB2ECD">
            <w:pPr>
              <w:spacing w:after="0" w:line="252" w:lineRule="auto"/>
              <w:rPr>
                <w:rFonts w:hint="eastAsia" w:ascii="宋体" w:hAnsi="宋体" w:eastAsia="宋体" w:cs="宋体"/>
              </w:rPr>
            </w:pPr>
            <w:r>
              <w:rPr>
                <w:rFonts w:hint="eastAsia" w:ascii="宋体" w:hAnsi="宋体" w:eastAsia="宋体" w:cs="宋体"/>
                <w:sz w:val="18"/>
              </w:rPr>
              <w:t>Agent效率</w:t>
            </w:r>
          </w:p>
        </w:tc>
        <w:tc>
          <w:tcPr>
            <w:tcW w:w="7370" w:type="dxa"/>
            <w:shd w:val="clear" w:color="auto" w:fill="F7F9FC"/>
            <w:tcMar>
              <w:top w:w="75" w:type="dxa"/>
              <w:left w:w="85" w:type="dxa"/>
              <w:bottom w:w="75" w:type="dxa"/>
              <w:right w:w="85" w:type="dxa"/>
            </w:tcMar>
            <w:vAlign w:val="center"/>
          </w:tcPr>
          <w:p ns2:paraId="28E4A930">
            <w:pPr>
              <w:spacing w:after="0" w:line="252" w:lineRule="auto"/>
              <w:rPr>
                <w:rFonts w:hint="eastAsia" w:ascii="宋体" w:hAnsi="宋体" w:eastAsia="宋体" w:cs="宋体"/>
              </w:rPr>
            </w:pPr>
            <w:r>
              <w:rPr>
                <w:rFonts w:hint="eastAsia" w:ascii="宋体" w:hAnsi="宋体" w:eastAsia="宋体" w:cs="宋体"/>
                <w:sz w:val="18"/>
              </w:rPr>
              <w:t>Agent Calls、Token/API Cost、Latency、Performance–Cost Frontier</w:t>
            </w:r>
          </w:p>
        </w:tc>
      </w:tr>
      <w:tr ns2:paraId="134E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53F8360B">
            <w:pPr>
              <w:spacing w:after="0" w:line="252" w:lineRule="auto"/>
              <w:rPr>
                <w:rFonts w:hint="eastAsia" w:ascii="宋体" w:hAnsi="宋体" w:eastAsia="宋体" w:cs="宋体"/>
              </w:rPr>
            </w:pPr>
            <w:r>
              <w:rPr>
                <w:rFonts w:hint="eastAsia" w:ascii="宋体" w:hAnsi="宋体" w:eastAsia="宋体" w:cs="宋体"/>
                <w:sz w:val="18"/>
              </w:rPr>
              <w:t>自适应性</w:t>
            </w:r>
          </w:p>
        </w:tc>
        <w:tc>
          <w:tcPr>
            <w:tcW w:w="7370" w:type="dxa"/>
            <w:tcMar>
              <w:top w:w="75" w:type="dxa"/>
              <w:left w:w="85" w:type="dxa"/>
              <w:bottom w:w="75" w:type="dxa"/>
              <w:right w:w="85" w:type="dxa"/>
            </w:tcMar>
            <w:vAlign w:val="center"/>
          </w:tcPr>
          <w:p ns2:paraId="22390770">
            <w:pPr>
              <w:spacing w:after="0" w:line="252" w:lineRule="auto"/>
              <w:rPr>
                <w:rFonts w:hint="eastAsia" w:ascii="宋体" w:hAnsi="宋体" w:eastAsia="宋体" w:cs="宋体"/>
              </w:rPr>
            </w:pPr>
            <w:r>
              <w:rPr>
                <w:rFonts w:hint="eastAsia" w:ascii="宋体" w:hAnsi="宋体" w:eastAsia="宋体" w:cs="宋体"/>
                <w:sz w:val="18"/>
              </w:rPr>
              <w:t>Regime切换恢复时间、不同Regime下Selection分布</w:t>
            </w:r>
          </w:p>
        </w:tc>
      </w:tr>
      <w:tr ns2:paraId="3431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0A42EF04">
            <w:pPr>
              <w:spacing w:after="0" w:line="252" w:lineRule="auto"/>
              <w:rPr>
                <w:rFonts w:hint="eastAsia" w:ascii="宋体" w:hAnsi="宋体" w:eastAsia="宋体" w:cs="宋体"/>
              </w:rPr>
            </w:pPr>
            <w:r>
              <w:rPr>
                <w:rFonts w:hint="eastAsia" w:ascii="宋体" w:hAnsi="宋体" w:eastAsia="宋体" w:cs="宋体"/>
                <w:sz w:val="18"/>
              </w:rPr>
              <w:t>冲突治理</w:t>
            </w:r>
          </w:p>
        </w:tc>
        <w:tc>
          <w:tcPr>
            <w:tcW w:w="7370" w:type="dxa"/>
            <w:shd w:val="clear" w:color="auto" w:fill="F7F9FC"/>
            <w:tcMar>
              <w:top w:w="75" w:type="dxa"/>
              <w:left w:w="85" w:type="dxa"/>
              <w:bottom w:w="75" w:type="dxa"/>
              <w:right w:w="85" w:type="dxa"/>
            </w:tcMar>
            <w:vAlign w:val="center"/>
          </w:tcPr>
          <w:p ns2:paraId="1A5F3471">
            <w:pPr>
              <w:spacing w:after="0" w:line="252" w:lineRule="auto"/>
              <w:rPr>
                <w:rFonts w:hint="eastAsia" w:ascii="宋体" w:hAnsi="宋体" w:eastAsia="宋体" w:cs="宋体"/>
              </w:rPr>
            </w:pPr>
            <w:r>
              <w:rPr>
                <w:rFonts w:hint="eastAsia" w:ascii="宋体" w:hAnsi="宋体" w:eastAsia="宋体" w:cs="宋体"/>
                <w:sz w:val="18"/>
              </w:rPr>
              <w:t>Debate Trigger Rate、Resolution Success、Abstention Rate</w:t>
            </w:r>
          </w:p>
        </w:tc>
      </w:tr>
      <w:tr ns2:paraId="4BF2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6FCCE82B">
            <w:pPr>
              <w:spacing w:after="0" w:line="252" w:lineRule="auto"/>
              <w:rPr>
                <w:rFonts w:hint="eastAsia" w:ascii="宋体" w:hAnsi="宋体" w:eastAsia="宋体" w:cs="宋体"/>
              </w:rPr>
            </w:pPr>
            <w:r>
              <w:rPr>
                <w:rFonts w:hint="eastAsia" w:ascii="宋体" w:hAnsi="宋体" w:eastAsia="宋体" w:cs="宋体"/>
                <w:sz w:val="18"/>
              </w:rPr>
              <w:t>可解释性</w:t>
            </w:r>
          </w:p>
        </w:tc>
        <w:tc>
          <w:tcPr>
            <w:tcW w:w="7370" w:type="dxa"/>
            <w:tcMar>
              <w:top w:w="75" w:type="dxa"/>
              <w:left w:w="85" w:type="dxa"/>
              <w:bottom w:w="75" w:type="dxa"/>
              <w:right w:w="85" w:type="dxa"/>
            </w:tcMar>
            <w:vAlign w:val="center"/>
          </w:tcPr>
          <w:p ns2:paraId="468C0123">
            <w:pPr>
              <w:spacing w:after="0" w:line="252" w:lineRule="auto"/>
              <w:rPr>
                <w:rFonts w:hint="eastAsia" w:ascii="宋体" w:hAnsi="宋体" w:eastAsia="宋体" w:cs="宋体"/>
              </w:rPr>
            </w:pPr>
            <w:r>
              <w:rPr>
                <w:rFonts w:hint="eastAsia" w:ascii="宋体" w:hAnsi="宋体" w:eastAsia="宋体" w:cs="宋体"/>
                <w:sz w:val="18"/>
              </w:rPr>
              <w:t>Selection理由可追溯率、Evidence Coverage、决策轨迹复现率</w:t>
            </w:r>
          </w:p>
        </w:tc>
      </w:tr>
    </w:tbl>
    <w:p ns2:paraId="27C6A679">
      <w:pPr>
        <w:spacing w:after="20"/>
        <w:rPr>
          <w:rFonts w:hint="eastAsia" w:ascii="宋体" w:hAnsi="宋体" w:eastAsia="宋体" w:cs="宋体"/>
        </w:rPr>
      </w:pPr>
    </w:p>
    <w:p ns2:paraId="3EC486F7">
      <w:pPr>
        <w:pStyle w:val="4"/>
        <w:keepNext/>
        <w:spacing w:before="140" w:after="120"/>
        <w:rPr>
          <w:rFonts w:hint="eastAsia" w:ascii="宋体" w:hAnsi="宋体" w:eastAsia="宋体" w:cs="宋体"/>
        </w:rPr>
      </w:pPr>
      <w:r>
        <w:rPr>
          <w:rFonts w:hint="eastAsia" w:ascii="宋体" w:hAnsi="宋体" w:eastAsia="宋体" w:cs="宋体"/>
          <w:b/>
          <w:color w:val="1F4E79"/>
          <w:sz w:val="26"/>
        </w:rPr>
        <w:t>8.5 数据泄漏与统计可信度</w:t>
      </w:r>
    </w:p>
    <w:p ns2:paraId="675DF674">
      <w:pPr>
        <w:spacing w:after="100" w:line="300" w:lineRule="auto"/>
        <w:ind w:firstLine="420"/>
        <w:rPr>
          <w:rFonts w:hint="eastAsia" w:ascii="宋体" w:hAnsi="宋体" w:eastAsia="宋体" w:cs="宋体"/>
        </w:rPr>
      </w:pPr>
      <w:r>
        <w:rPr>
          <w:rFonts w:hint="eastAsia" w:ascii="宋体" w:hAnsi="宋体" w:eastAsia="宋体" w:cs="宋体"/>
          <w:sz w:val="21"/>
        </w:rPr>
        <w:t>现有多智能体金融研究已经专门讨论LLM历史记忆导致的数据泄漏风险，并通过未见数据进行额外验证。本项目进一步要求所有Router/Aggregator学习只使用决策时点以前的市场信息；任何用未来收益计算出的能力分数只能在其真实可获得后进入下一期Memory。最终报告应同时展示Walk-forward/OOS、不同seed，以及在可能条件下的跨股票池验证，避免把单次回测最优当作产品能力。</w:t>
      </w:r>
    </w:p>
    <w:p ns2:paraId="7281BE40">
      <w:pPr>
        <w:pStyle w:val="3"/>
        <w:keepNext/>
        <w:spacing w:before="240" w:after="120"/>
        <w:rPr>
          <w:rFonts w:hint="eastAsia" w:ascii="宋体" w:hAnsi="宋体" w:eastAsia="宋体" w:cs="宋体"/>
        </w:rPr>
      </w:pPr>
      <w:r>
        <w:rPr>
          <w:rFonts w:hint="eastAsia" w:ascii="宋体" w:hAnsi="宋体" w:eastAsia="宋体" w:cs="宋体"/>
          <w:b/>
          <w:color w:val="17365D"/>
          <w:sz w:val="32"/>
        </w:rPr>
        <w:t>9. MVP、演示与产品形态</w:t>
      </w:r>
    </w:p>
    <w:p ns2:paraId="2CDF5957">
      <w:pPr>
        <w:jc w:val="center"/>
        <w:rPr>
          <w:rFonts w:hint="eastAsia" w:ascii="宋体" w:hAnsi="宋体" w:eastAsia="宋体" w:cs="宋体"/>
        </w:rPr>
      </w:pPr>
      <w:r>
        <w:rPr>
          <w:rFonts w:hint="eastAsia" w:ascii="宋体" w:hAnsi="宋体" w:eastAsia="宋体" w:cs="宋体"/>
        </w:rPr>
        <w:drawing>
          <ns3:inline distT="0" distB="0" distL="114300" distR="114300">
            <ns3:extent cx="5939790" cy="2889250"/>
            <ns3:effectExtent l="0" t="0" r="3810" b="6350"/>
            <ns3:docPr id="8" name="Picture 2"/>
            <ns3:cNvGraphicFramePr>
              <ns4:graphicFrameLocks noChangeAspect="1"/>
            </ns3:cNvGraphicFramePr>
            <ns4:graphic>
              <ns4:graphicData uri="http://schemas.openxmlformats.org/drawingml/2006/picture">
                <ns5:pic>
                  <ns5:nvPicPr>
                    <ns5:cNvPr id="8" name="Picture 2"/>
                    <ns5:cNvPicPr>
                      <ns4:picLocks noChangeAspect="1"/>
                    </ns5:cNvPicPr>
                  </ns5:nvPicPr>
                  <ns5:blipFill>
                    <ns4:blip ns6:embed="rId10"/>
                    <ns4:stretch>
                      <ns4:fillRect/>
                    </ns4:stretch>
                  </ns5:blipFill>
                  <ns5:spPr>
                    <ns4:xfrm>
                      <ns4:off x="0" y="0"/>
                      <ns4:ext cx="5940000" cy="2889730"/>
                    </ns4:xfrm>
                    <ns4:prstGeom prst="rect">
                      <ns4:avLst/>
                    </ns4:prstGeom>
                  </ns5:spPr>
                </ns5:pic>
              </ns4:graphicData>
            </ns4:graphic>
          </ns3:inline>
        </w:drawing>
      </w:r>
    </w:p>
    <w:p ns2:paraId="4F4B7534">
      <w:pPr>
        <w:jc w:val="center"/>
        <w:rPr>
          <w:rFonts w:hint="eastAsia" w:ascii="宋体" w:hAnsi="宋体" w:eastAsia="宋体" w:cs="宋体"/>
        </w:rPr>
      </w:pPr>
      <w:r>
        <w:rPr>
          <w:rFonts w:hint="eastAsia" w:ascii="宋体" w:hAnsi="宋体" w:eastAsia="宋体" w:cs="宋体"/>
          <w:color w:val="666666"/>
          <w:sz w:val="17"/>
        </w:rPr>
        <w:t>图2  商业化路径：从可复现实验到Shadow Mode再到私有化部署</w:t>
      </w:r>
    </w:p>
    <w:p ns2:paraId="29BD23DF">
      <w:pPr>
        <w:pStyle w:val="4"/>
        <w:keepNext/>
        <w:spacing w:before="140" w:after="120"/>
        <w:rPr>
          <w:rFonts w:hint="eastAsia" w:ascii="宋体" w:hAnsi="宋体" w:eastAsia="宋体" w:cs="宋体"/>
          <w:b/>
          <w:color w:val="1F4E79"/>
          <w:sz w:val="26"/>
        </w:rPr>
      </w:pPr>
      <w:r>
        <w:rPr>
          <w:rFonts w:hint="eastAsia" w:ascii="宋体" w:hAnsi="宋体" w:eastAsia="宋体" w:cs="宋体"/>
          <w:b/>
          <w:color w:val="1F4E79"/>
          <w:sz w:val="26"/>
        </w:rPr>
        <w:t>9.1 MVP核心演示场景：可观测的多智能体动态决策闭环</w:t>
      </w:r>
    </w:p>
    <w:p ns2:paraId="04950947">
      <w:pPr>
        <w:spacing w:after="100" w:line="300" w:lineRule="auto"/>
        <w:ind w:firstLine="420"/>
        <w:rPr>
          <w:rFonts w:hint="eastAsia" w:ascii="宋体" w:hAnsi="宋体" w:eastAsia="宋体" w:cs="宋体"/>
          <w:sz w:val="21"/>
        </w:rPr>
      </w:pPr>
      <w:r>
        <w:rPr>
          <w:rFonts w:hint="eastAsia" w:ascii="宋体" w:hAnsi="宋体" w:eastAsia="宋体" w:cs="宋体"/>
          <w:sz w:val="21"/>
        </w:rPr>
        <w:t>MVP选取具有显著市场状态变化的典型交易日或时间窗口，展示 AlphaOrchestra 从市场状态识别、专家路由、分歧诊断到动态聚合的端到端决策过程。当前已完成的阶段性Demo包括Market State Encoder、基础Routing、Expert执行、基础disagreement severity / exposure control、Signal Aggregation、IC / RankIC评价与基础调用Trace。系统首先生成Market State Card；Routing Agent根据当前市场状态、专家历史表现与预算，从候选Expert Type池中选择一组异构专家，而非固定调用全部Agent。各专家按照统一结构输出预测方向、置信度、证据、投资期限与推理依据；现阶段已支持基础分歧严重度识别与风险暴露控制，比赛最终MVP计划补齐LLM-based disagreement attribution、Targeted Debate、Agent Similarity Matrix、Dynamic Computation Budget与更完整Conflict Console。最终，Aggregation Agent根据市场状态、历史先验与经冲突处理后的Type-level专家意见生成动态信任权重dₜ，形成最终Alpha排序与组合决策信号。系统同时记录Agent调用数量、Token消耗、推理时延等运行指标，用于量化比较全量调用与自适应编排机制在投资表现与计算成本之间的效率差异。</w:t>
      </w:r>
    </w:p>
    <w:p ns2:paraId="6A5CD4F7">
      <w:pPr>
        <w:pStyle w:val="4"/>
        <w:keepNext/>
        <w:spacing w:before="140" w:after="120"/>
        <w:rPr>
          <w:rFonts w:hint="eastAsia" w:ascii="宋体" w:hAnsi="宋体" w:eastAsia="宋体" w:cs="宋体"/>
        </w:rPr>
      </w:pPr>
      <w:r>
        <w:rPr>
          <w:rFonts w:hint="eastAsia" w:ascii="宋体" w:hAnsi="宋体" w:eastAsia="宋体" w:cs="宋体"/>
          <w:b/>
          <w:color w:val="1F4E79"/>
          <w:sz w:val="26"/>
        </w:rPr>
        <w:t>9.2 MVP四个页面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969"/>
        <w:gridCol w:w="3628"/>
      </w:tblGrid>
      <w:tr ns2:paraId="354F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1F4E79"/>
            <w:tcMar>
              <w:top w:w="90" w:type="dxa"/>
              <w:left w:w="90" w:type="dxa"/>
              <w:bottom w:w="90" w:type="dxa"/>
              <w:right w:w="90" w:type="dxa"/>
            </w:tcMar>
            <w:vAlign w:val="center"/>
          </w:tcPr>
          <w:p ns2:paraId="0EC6F15B">
            <w:pPr>
              <w:spacing w:after="0" w:line="240" w:lineRule="auto"/>
              <w:jc w:val="center"/>
              <w:rPr>
                <w:rFonts w:hint="eastAsia" w:ascii="宋体" w:hAnsi="宋体" w:eastAsia="宋体" w:cs="宋体"/>
              </w:rPr>
            </w:pPr>
            <w:r>
              <w:rPr>
                <w:rFonts w:hint="eastAsia" w:ascii="宋体" w:hAnsi="宋体" w:eastAsia="宋体" w:cs="宋体"/>
                <w:b/>
                <w:color w:val="FFFFFF"/>
                <w:sz w:val="17"/>
              </w:rPr>
              <w:t>页面</w:t>
            </w:r>
          </w:p>
        </w:tc>
        <w:tc>
          <w:tcPr>
            <w:tcW w:w="3969" w:type="dxa"/>
            <w:shd w:val="clear" w:color="auto" w:fill="1F4E79"/>
            <w:tcMar>
              <w:top w:w="90" w:type="dxa"/>
              <w:left w:w="90" w:type="dxa"/>
              <w:bottom w:w="90" w:type="dxa"/>
              <w:right w:w="90" w:type="dxa"/>
            </w:tcMar>
            <w:vAlign w:val="center"/>
          </w:tcPr>
          <w:p ns2:paraId="2A81F6A7">
            <w:pPr>
              <w:spacing w:after="0" w:line="240" w:lineRule="auto"/>
              <w:jc w:val="center"/>
              <w:rPr>
                <w:rFonts w:hint="eastAsia" w:ascii="宋体" w:hAnsi="宋体" w:eastAsia="宋体" w:cs="宋体"/>
              </w:rPr>
            </w:pPr>
            <w:r>
              <w:rPr>
                <w:rFonts w:hint="eastAsia" w:ascii="宋体" w:hAnsi="宋体" w:eastAsia="宋体" w:cs="宋体"/>
                <w:b/>
                <w:color w:val="FFFFFF"/>
                <w:sz w:val="17"/>
              </w:rPr>
              <w:t>内容</w:t>
            </w:r>
          </w:p>
        </w:tc>
        <w:tc>
          <w:tcPr>
            <w:tcW w:w="3628" w:type="dxa"/>
            <w:shd w:val="clear" w:color="auto" w:fill="1F4E79"/>
            <w:tcMar>
              <w:top w:w="90" w:type="dxa"/>
              <w:left w:w="90" w:type="dxa"/>
              <w:bottom w:w="90" w:type="dxa"/>
              <w:right w:w="90" w:type="dxa"/>
            </w:tcMar>
            <w:vAlign w:val="center"/>
          </w:tcPr>
          <w:p ns2:paraId="6AFD28A5">
            <w:pPr>
              <w:spacing w:after="0" w:line="240" w:lineRule="auto"/>
              <w:jc w:val="center"/>
              <w:rPr>
                <w:rFonts w:hint="eastAsia" w:ascii="宋体" w:hAnsi="宋体" w:eastAsia="宋体" w:cs="宋体"/>
              </w:rPr>
            </w:pPr>
            <w:r>
              <w:rPr>
                <w:rFonts w:hint="eastAsia" w:ascii="宋体" w:hAnsi="宋体" w:eastAsia="宋体" w:cs="宋体"/>
                <w:b/>
                <w:color w:val="FFFFFF"/>
                <w:sz w:val="17"/>
              </w:rPr>
              <w:t>评委看到的价值</w:t>
            </w:r>
          </w:p>
        </w:tc>
      </w:tr>
      <w:tr ns2:paraId="0C1D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5" w:type="dxa"/>
              <w:left w:w="85" w:type="dxa"/>
              <w:bottom w:w="75" w:type="dxa"/>
              <w:right w:w="85" w:type="dxa"/>
            </w:tcMar>
            <w:vAlign w:val="center"/>
          </w:tcPr>
          <w:p ns2:paraId="6A17690D">
            <w:pPr>
              <w:spacing w:after="0" w:line="252" w:lineRule="auto"/>
              <w:rPr>
                <w:rFonts w:hint="eastAsia" w:ascii="宋体" w:hAnsi="宋体" w:eastAsia="宋体" w:cs="宋体"/>
              </w:rPr>
            </w:pPr>
            <w:r>
              <w:rPr>
                <w:rFonts w:hint="eastAsia" w:ascii="宋体" w:hAnsi="宋体" w:eastAsia="宋体" w:cs="宋体"/>
                <w:sz w:val="17"/>
              </w:rPr>
              <w:t>Market &amp; Agent Map</w:t>
            </w:r>
          </w:p>
        </w:tc>
        <w:tc>
          <w:tcPr>
            <w:tcW w:w="3969" w:type="dxa"/>
            <w:tcMar>
              <w:top w:w="75" w:type="dxa"/>
              <w:left w:w="85" w:type="dxa"/>
              <w:bottom w:w="75" w:type="dxa"/>
              <w:right w:w="85" w:type="dxa"/>
            </w:tcMar>
            <w:vAlign w:val="center"/>
          </w:tcPr>
          <w:p ns2:paraId="7C4AC286">
            <w:pPr>
              <w:spacing w:after="0" w:line="252" w:lineRule="auto"/>
              <w:rPr>
                <w:rFonts w:hint="eastAsia" w:ascii="宋体" w:hAnsi="宋体" w:eastAsia="宋体" w:cs="宋体"/>
              </w:rPr>
            </w:pPr>
            <w:r>
              <w:rPr>
                <w:rFonts w:hint="eastAsia" w:ascii="宋体" w:hAnsi="宋体" w:eastAsia="宋体" w:cs="宋体"/>
                <w:sz w:val="17"/>
              </w:rPr>
              <w:t>Regime、Agent Profile、历史表现、相似度</w:t>
            </w:r>
          </w:p>
        </w:tc>
        <w:tc>
          <w:tcPr>
            <w:tcW w:w="3628" w:type="dxa"/>
            <w:tcMar>
              <w:top w:w="75" w:type="dxa"/>
              <w:left w:w="85" w:type="dxa"/>
              <w:bottom w:w="75" w:type="dxa"/>
              <w:right w:w="85" w:type="dxa"/>
            </w:tcMar>
            <w:vAlign w:val="center"/>
          </w:tcPr>
          <w:p ns2:paraId="29796F3C">
            <w:pPr>
              <w:spacing w:after="0" w:line="252" w:lineRule="auto"/>
              <w:rPr>
                <w:rFonts w:hint="eastAsia" w:ascii="宋体" w:hAnsi="宋体" w:eastAsia="宋体" w:cs="宋体"/>
              </w:rPr>
            </w:pPr>
            <w:r>
              <w:rPr>
                <w:rFonts w:hint="eastAsia" w:ascii="宋体" w:hAnsi="宋体" w:eastAsia="宋体" w:cs="宋体"/>
                <w:sz w:val="17"/>
              </w:rPr>
              <w:t>系统知道“现在是什么市场”和“每个专家擅长什么”</w:t>
            </w:r>
          </w:p>
        </w:tc>
      </w:tr>
      <w:tr ns2:paraId="76C5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7F9FC"/>
            <w:tcMar>
              <w:top w:w="75" w:type="dxa"/>
              <w:left w:w="85" w:type="dxa"/>
              <w:bottom w:w="75" w:type="dxa"/>
              <w:right w:w="85" w:type="dxa"/>
            </w:tcMar>
            <w:vAlign w:val="center"/>
          </w:tcPr>
          <w:p ns2:paraId="0630C2FE">
            <w:pPr>
              <w:spacing w:after="0" w:line="252" w:lineRule="auto"/>
              <w:rPr>
                <w:rFonts w:hint="eastAsia" w:ascii="宋体" w:hAnsi="宋体" w:eastAsia="宋体" w:cs="宋体"/>
              </w:rPr>
            </w:pPr>
            <w:r>
              <w:rPr>
                <w:rFonts w:hint="eastAsia" w:ascii="宋体" w:hAnsi="宋体" w:eastAsia="宋体" w:cs="宋体"/>
                <w:sz w:val="17"/>
              </w:rPr>
              <w:t>Routing Trace</w:t>
            </w:r>
          </w:p>
        </w:tc>
        <w:tc>
          <w:tcPr>
            <w:tcW w:w="3969" w:type="dxa"/>
            <w:shd w:val="clear" w:color="auto" w:fill="F7F9FC"/>
            <w:tcMar>
              <w:top w:w="75" w:type="dxa"/>
              <w:left w:w="85" w:type="dxa"/>
              <w:bottom w:w="75" w:type="dxa"/>
              <w:right w:w="85" w:type="dxa"/>
            </w:tcMar>
            <w:vAlign w:val="center"/>
          </w:tcPr>
          <w:p ns2:paraId="3A1970FF">
            <w:pPr>
              <w:spacing w:after="0" w:line="252" w:lineRule="auto"/>
              <w:rPr>
                <w:rFonts w:hint="eastAsia" w:ascii="宋体" w:hAnsi="宋体" w:eastAsia="宋体" w:cs="宋体"/>
              </w:rPr>
            </w:pPr>
            <w:r>
              <w:rPr>
                <w:rFonts w:hint="eastAsia" w:ascii="宋体" w:hAnsi="宋体" w:eastAsia="宋体" w:cs="宋体"/>
                <w:sz w:val="17"/>
              </w:rPr>
              <w:t>谁被选/没被选、Selection Score、成本</w:t>
            </w:r>
          </w:p>
        </w:tc>
        <w:tc>
          <w:tcPr>
            <w:tcW w:w="3628" w:type="dxa"/>
            <w:shd w:val="clear" w:color="auto" w:fill="F7F9FC"/>
            <w:tcMar>
              <w:top w:w="75" w:type="dxa"/>
              <w:left w:w="85" w:type="dxa"/>
              <w:bottom w:w="75" w:type="dxa"/>
              <w:right w:w="85" w:type="dxa"/>
            </w:tcMar>
            <w:vAlign w:val="center"/>
          </w:tcPr>
          <w:p ns2:paraId="1F042970">
            <w:pPr>
              <w:spacing w:after="0" w:line="252" w:lineRule="auto"/>
              <w:rPr>
                <w:rFonts w:hint="eastAsia" w:ascii="宋体" w:hAnsi="宋体" w:eastAsia="宋体" w:cs="宋体"/>
              </w:rPr>
            </w:pPr>
            <w:r>
              <w:rPr>
                <w:rFonts w:hint="eastAsia" w:ascii="宋体" w:hAnsi="宋体" w:eastAsia="宋体" w:cs="宋体"/>
                <w:sz w:val="17"/>
              </w:rPr>
              <w:t>动态组队，不是固定流水线</w:t>
            </w:r>
          </w:p>
        </w:tc>
      </w:tr>
      <w:tr ns2:paraId="1592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5" w:type="dxa"/>
              <w:left w:w="85" w:type="dxa"/>
              <w:bottom w:w="75" w:type="dxa"/>
              <w:right w:w="85" w:type="dxa"/>
            </w:tcMar>
            <w:vAlign w:val="center"/>
          </w:tcPr>
          <w:p ns2:paraId="3F025DC4">
            <w:pPr>
              <w:spacing w:after="0" w:line="252" w:lineRule="auto"/>
              <w:rPr>
                <w:rFonts w:hint="eastAsia" w:ascii="宋体" w:hAnsi="宋体" w:eastAsia="宋体" w:cs="宋体"/>
              </w:rPr>
            </w:pPr>
            <w:r>
              <w:rPr>
                <w:rFonts w:hint="eastAsia" w:ascii="宋体" w:hAnsi="宋体" w:eastAsia="宋体" w:cs="宋体"/>
                <w:sz w:val="17"/>
              </w:rPr>
              <w:t>Conflict Console</w:t>
            </w:r>
          </w:p>
        </w:tc>
        <w:tc>
          <w:tcPr>
            <w:tcW w:w="3969" w:type="dxa"/>
            <w:tcMar>
              <w:top w:w="75" w:type="dxa"/>
              <w:left w:w="85" w:type="dxa"/>
              <w:bottom w:w="75" w:type="dxa"/>
              <w:right w:w="85" w:type="dxa"/>
            </w:tcMar>
            <w:vAlign w:val="center"/>
          </w:tcPr>
          <w:p ns2:paraId="483965B0">
            <w:pPr>
              <w:spacing w:after="0" w:line="252" w:lineRule="auto"/>
              <w:rPr>
                <w:rFonts w:hint="eastAsia" w:ascii="宋体" w:hAnsi="宋体" w:eastAsia="宋体" w:cs="宋体"/>
              </w:rPr>
            </w:pPr>
            <w:r>
              <w:rPr>
                <w:rFonts w:hint="eastAsia" w:ascii="宋体" w:hAnsi="宋体" w:eastAsia="宋体" w:cs="宋体"/>
                <w:sz w:val="17"/>
              </w:rPr>
              <w:t>预测、证据、期限、置信度、冲突类型、Debate</w:t>
            </w:r>
          </w:p>
        </w:tc>
        <w:tc>
          <w:tcPr>
            <w:tcW w:w="3628" w:type="dxa"/>
            <w:tcMar>
              <w:top w:w="75" w:type="dxa"/>
              <w:left w:w="85" w:type="dxa"/>
              <w:bottom w:w="75" w:type="dxa"/>
              <w:right w:w="85" w:type="dxa"/>
            </w:tcMar>
            <w:vAlign w:val="center"/>
          </w:tcPr>
          <w:p ns2:paraId="36067423">
            <w:pPr>
              <w:spacing w:after="0" w:line="252" w:lineRule="auto"/>
              <w:rPr>
                <w:rFonts w:hint="eastAsia" w:ascii="宋体" w:hAnsi="宋体" w:eastAsia="宋体" w:cs="宋体"/>
              </w:rPr>
            </w:pPr>
            <w:r>
              <w:rPr>
                <w:rFonts w:hint="eastAsia" w:ascii="宋体" w:hAnsi="宋体" w:eastAsia="宋体" w:cs="宋体"/>
                <w:sz w:val="17"/>
              </w:rPr>
              <w:t>分歧被解释和处理，而非统一扣分</w:t>
            </w:r>
          </w:p>
        </w:tc>
      </w:tr>
      <w:tr ns2:paraId="06DD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7F9FC"/>
            <w:tcMar>
              <w:top w:w="75" w:type="dxa"/>
              <w:left w:w="85" w:type="dxa"/>
              <w:bottom w:w="75" w:type="dxa"/>
              <w:right w:w="85" w:type="dxa"/>
            </w:tcMar>
            <w:vAlign w:val="center"/>
          </w:tcPr>
          <w:p ns2:paraId="4E57B5C2">
            <w:pPr>
              <w:spacing w:after="0" w:line="252" w:lineRule="auto"/>
              <w:rPr>
                <w:rFonts w:hint="eastAsia" w:ascii="宋体" w:hAnsi="宋体" w:eastAsia="宋体" w:cs="宋体"/>
              </w:rPr>
            </w:pPr>
            <w:r>
              <w:rPr>
                <w:rFonts w:hint="eastAsia" w:ascii="宋体" w:hAnsi="宋体" w:eastAsia="宋体" w:cs="宋体"/>
                <w:sz w:val="17"/>
              </w:rPr>
              <w:t>Portfolio &amp; Cost</w:t>
            </w:r>
          </w:p>
        </w:tc>
        <w:tc>
          <w:tcPr>
            <w:tcW w:w="3969" w:type="dxa"/>
            <w:shd w:val="clear" w:color="auto" w:fill="F7F9FC"/>
            <w:tcMar>
              <w:top w:w="75" w:type="dxa"/>
              <w:left w:w="85" w:type="dxa"/>
              <w:bottom w:w="75" w:type="dxa"/>
              <w:right w:w="85" w:type="dxa"/>
            </w:tcMar>
            <w:vAlign w:val="center"/>
          </w:tcPr>
          <w:p ns2:paraId="3C3B6F85">
            <w:pPr>
              <w:spacing w:after="0" w:line="252" w:lineRule="auto"/>
              <w:rPr>
                <w:rFonts w:hint="eastAsia" w:ascii="宋体" w:hAnsi="宋体" w:eastAsia="宋体" w:cs="宋体"/>
              </w:rPr>
            </w:pPr>
            <w:r>
              <w:rPr>
                <w:rFonts w:hint="eastAsia" w:ascii="宋体" w:hAnsi="宋体" w:eastAsia="宋体" w:cs="宋体"/>
                <w:sz w:val="17"/>
              </w:rPr>
              <w:t>最终Alpha、权重、收益风险、Token/延迟、基线对比</w:t>
            </w:r>
          </w:p>
        </w:tc>
        <w:tc>
          <w:tcPr>
            <w:tcW w:w="3628" w:type="dxa"/>
            <w:shd w:val="clear" w:color="auto" w:fill="F7F9FC"/>
            <w:tcMar>
              <w:top w:w="75" w:type="dxa"/>
              <w:left w:w="85" w:type="dxa"/>
              <w:bottom w:w="75" w:type="dxa"/>
              <w:right w:w="85" w:type="dxa"/>
            </w:tcMar>
            <w:vAlign w:val="center"/>
          </w:tcPr>
          <w:p ns2:paraId="21C36EE8">
            <w:pPr>
              <w:spacing w:after="0" w:line="252" w:lineRule="auto"/>
              <w:rPr>
                <w:rFonts w:hint="eastAsia" w:ascii="宋体" w:hAnsi="宋体" w:eastAsia="宋体" w:cs="宋体"/>
              </w:rPr>
            </w:pPr>
            <w:r>
              <w:rPr>
                <w:rFonts w:hint="eastAsia" w:ascii="宋体" w:hAnsi="宋体" w:eastAsia="宋体" w:cs="宋体"/>
                <w:sz w:val="17"/>
              </w:rPr>
              <w:t>同时证明效果与工程经济性</w:t>
            </w:r>
          </w:p>
        </w:tc>
      </w:tr>
    </w:tbl>
    <w:p ns2:paraId="38C29D0C">
      <w:pPr>
        <w:spacing w:after="20"/>
        <w:rPr>
          <w:rFonts w:hint="eastAsia" w:ascii="宋体" w:hAnsi="宋体" w:eastAsia="宋体" w:cs="宋体"/>
        </w:rPr>
      </w:pPr>
    </w:p>
    <w:p ns2:paraId="1BD2128C">
      <w:pPr>
        <w:spacing w:after="100" w:line="300" w:lineRule="auto"/>
        <w:ind w:firstLine="420"/>
        <w:rPr>
          <w:rFonts w:hint="eastAsia" w:ascii="宋体" w:hAnsi="宋体" w:eastAsia="宋体" w:cs="宋体"/>
        </w:rPr>
      </w:pPr>
      <w:r>
        <w:rPr>
          <w:rFonts w:hint="eastAsia" w:ascii="宋体" w:hAnsi="宋体" w:eastAsia="宋体" w:cs="宋体"/>
          <w:sz w:val="21"/>
        </w:rPr>
        <w:t>注：当前实验链路已支持上述四页中已实现模块的数据产出；完整四页MVP将在补齐Targeted Debate、Agent Similarity Matrix与Dynamic Budget后形成。</w:t>
      </w:r>
    </w:p>
    <w:p ns2:paraId="4FED1A71">
      <w:pPr>
        <w:pStyle w:val="4"/>
        <w:keepNext/>
        <w:spacing w:before="140" w:after="120"/>
        <w:rPr>
          <w:rFonts w:hint="eastAsia" w:ascii="宋体" w:hAnsi="宋体" w:eastAsia="宋体" w:cs="宋体"/>
        </w:rPr>
      </w:pPr>
      <w:r>
        <w:rPr>
          <w:rFonts w:hint="eastAsia" w:ascii="宋体" w:hAnsi="宋体" w:eastAsia="宋体" w:cs="宋体"/>
          <w:b/>
          <w:color w:val="1F4E79"/>
          <w:sz w:val="26"/>
        </w:rPr>
        <w:t>9.3 POC版产品形态</w:t>
      </w:r>
    </w:p>
    <w:p ns2:paraId="756CD802">
      <w:pPr>
        <w:spacing w:after="100" w:line="300" w:lineRule="auto"/>
        <w:ind w:firstLine="420"/>
        <w:rPr>
          <w:rFonts w:hint="eastAsia" w:ascii="宋体" w:hAnsi="宋体" w:eastAsia="宋体" w:cs="宋体"/>
        </w:rPr>
      </w:pPr>
      <w:r>
        <w:rPr>
          <w:rFonts w:hint="eastAsia" w:ascii="宋体" w:hAnsi="宋体" w:eastAsia="宋体" w:cs="宋体"/>
          <w:sz w:val="21"/>
        </w:rPr>
        <w:t>机构POC建议采用私有化或VPC部署，数据不出域。Agent编排层以API连接客户已有行情、因子库、LLM Gateway、风险模型与回测器；部署前先运行4–8周Shadow Mode，仅输出建议与完整Trace，不直接影响真实仓位。达到预设稳定性、成本和风险门槛后，再由客户决定是否进入人机协同流程。</w:t>
      </w:r>
    </w:p>
    <w:p ns2:paraId="4BB90B12">
      <w:pPr>
        <w:pStyle w:val="3"/>
        <w:keepNext/>
        <w:spacing w:before="240" w:after="120"/>
        <w:rPr>
          <w:rFonts w:hint="eastAsia" w:ascii="宋体" w:hAnsi="宋体" w:eastAsia="宋体" w:cs="宋体"/>
        </w:rPr>
      </w:pPr>
      <w:r>
        <w:rPr>
          <w:rFonts w:hint="eastAsia" w:ascii="宋体" w:hAnsi="宋体" w:eastAsia="宋体" w:cs="宋体"/>
          <w:b/>
          <w:color w:val="17365D"/>
          <w:sz w:val="32"/>
        </w:rPr>
        <w:t>10. 目标市场与客户画像</w:t>
      </w:r>
    </w:p>
    <w:p ns2:paraId="22BCBCDD">
      <w:pPr>
        <w:pStyle w:val="4"/>
        <w:keepNext/>
        <w:spacing w:before="140" w:after="120"/>
        <w:rPr>
          <w:rFonts w:hint="eastAsia" w:ascii="宋体" w:hAnsi="宋体" w:eastAsia="宋体" w:cs="宋体"/>
        </w:rPr>
      </w:pPr>
      <w:r>
        <w:rPr>
          <w:rFonts w:hint="eastAsia" w:ascii="宋体" w:hAnsi="宋体" w:eastAsia="宋体" w:cs="宋体"/>
          <w:b/>
          <w:color w:val="1F4E79"/>
          <w:sz w:val="26"/>
        </w:rPr>
        <w:t>10.1 市场不是“全中国AUM”，而是可付费的机构投研软件预算</w:t>
      </w:r>
    </w:p>
    <w:p ns2:paraId="6DEB251E">
      <w:pPr>
        <w:spacing w:after="100" w:line="300" w:lineRule="auto"/>
        <w:ind w:firstLine="420"/>
        <w:rPr>
          <w:rFonts w:hint="eastAsia" w:ascii="宋体" w:hAnsi="宋体" w:eastAsia="宋体" w:cs="宋体"/>
        </w:rPr>
      </w:pPr>
      <w:r>
        <w:rPr>
          <w:rFonts w:hint="eastAsia" w:ascii="宋体" w:hAnsi="宋体" w:eastAsia="宋体" w:cs="宋体"/>
          <w:sz w:val="21"/>
        </w:rPr>
        <w:t>市场测算采用自下而上方法，不把7万亿元私募证券基金规模直接当作软件TAM。初始客户单元是“拥有系统化投研团队、可提供结构化数据、具有LLM/AI试点预算、且对私有化和合规有明确要求的机构”。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4535"/>
        <w:gridCol w:w="2835"/>
      </w:tblGrid>
      <w:tr ns2:paraId="0323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F4E79"/>
            <w:tcMar>
              <w:top w:w="90" w:type="dxa"/>
              <w:left w:w="90" w:type="dxa"/>
              <w:bottom w:w="90" w:type="dxa"/>
              <w:right w:w="90" w:type="dxa"/>
            </w:tcMar>
            <w:vAlign w:val="center"/>
          </w:tcPr>
          <w:p ns2:paraId="2D825D93">
            <w:pPr>
              <w:spacing w:after="0" w:line="240" w:lineRule="auto"/>
              <w:jc w:val="center"/>
              <w:rPr>
                <w:rFonts w:hint="eastAsia" w:ascii="宋体" w:hAnsi="宋体" w:eastAsia="宋体" w:cs="宋体"/>
              </w:rPr>
            </w:pPr>
            <w:r>
              <w:rPr>
                <w:rFonts w:hint="eastAsia" w:ascii="宋体" w:hAnsi="宋体" w:eastAsia="宋体" w:cs="宋体"/>
                <w:b/>
                <w:color w:val="FFFFFF"/>
                <w:sz w:val="18"/>
              </w:rPr>
              <w:t>市场层级</w:t>
            </w:r>
          </w:p>
        </w:tc>
        <w:tc>
          <w:tcPr>
            <w:tcW w:w="4535" w:type="dxa"/>
            <w:shd w:val="clear" w:color="auto" w:fill="1F4E79"/>
            <w:tcMar>
              <w:top w:w="90" w:type="dxa"/>
              <w:left w:w="90" w:type="dxa"/>
              <w:bottom w:w="90" w:type="dxa"/>
              <w:right w:w="90" w:type="dxa"/>
            </w:tcMar>
            <w:vAlign w:val="center"/>
          </w:tcPr>
          <w:p ns2:paraId="1CE21319">
            <w:pPr>
              <w:spacing w:after="0" w:line="240" w:lineRule="auto"/>
              <w:jc w:val="center"/>
              <w:rPr>
                <w:rFonts w:hint="eastAsia" w:ascii="宋体" w:hAnsi="宋体" w:eastAsia="宋体" w:cs="宋体"/>
              </w:rPr>
            </w:pPr>
            <w:r>
              <w:rPr>
                <w:rFonts w:hint="eastAsia" w:ascii="宋体" w:hAnsi="宋体" w:eastAsia="宋体" w:cs="宋体"/>
                <w:b/>
                <w:color w:val="FFFFFF"/>
                <w:sz w:val="18"/>
              </w:rPr>
              <w:t>口径（规划假设）</w:t>
            </w:r>
          </w:p>
        </w:tc>
        <w:tc>
          <w:tcPr>
            <w:tcW w:w="2835" w:type="dxa"/>
            <w:shd w:val="clear" w:color="auto" w:fill="1F4E79"/>
            <w:tcMar>
              <w:top w:w="90" w:type="dxa"/>
              <w:left w:w="90" w:type="dxa"/>
              <w:bottom w:w="90" w:type="dxa"/>
              <w:right w:w="90" w:type="dxa"/>
            </w:tcMar>
            <w:vAlign w:val="center"/>
          </w:tcPr>
          <w:p ns2:paraId="045126AF">
            <w:pPr>
              <w:spacing w:after="0" w:line="240" w:lineRule="auto"/>
              <w:jc w:val="center"/>
              <w:rPr>
                <w:rFonts w:hint="eastAsia" w:ascii="宋体" w:hAnsi="宋体" w:eastAsia="宋体" w:cs="宋体"/>
              </w:rPr>
            </w:pPr>
            <w:r>
              <w:rPr>
                <w:rFonts w:hint="eastAsia" w:ascii="宋体" w:hAnsi="宋体" w:eastAsia="宋体" w:cs="宋体"/>
                <w:b/>
                <w:color w:val="FFFFFF"/>
                <w:sz w:val="18"/>
              </w:rPr>
              <w:t>年收入机会测算</w:t>
            </w:r>
          </w:p>
        </w:tc>
      </w:tr>
      <w:tr ns2:paraId="2861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36CCDC0F">
            <w:pPr>
              <w:spacing w:after="0" w:line="252" w:lineRule="auto"/>
              <w:rPr>
                <w:rFonts w:hint="eastAsia" w:ascii="宋体" w:hAnsi="宋体" w:eastAsia="宋体" w:cs="宋体"/>
              </w:rPr>
            </w:pPr>
            <w:r>
              <w:rPr>
                <w:rFonts w:hint="eastAsia" w:ascii="宋体" w:hAnsi="宋体" w:eastAsia="宋体" w:cs="宋体"/>
                <w:sz w:val="18"/>
              </w:rPr>
              <w:t>Beachhead / SOM</w:t>
            </w:r>
          </w:p>
        </w:tc>
        <w:tc>
          <w:tcPr>
            <w:tcW w:w="4535" w:type="dxa"/>
            <w:tcMar>
              <w:top w:w="75" w:type="dxa"/>
              <w:left w:w="85" w:type="dxa"/>
              <w:bottom w:w="75" w:type="dxa"/>
              <w:right w:w="85" w:type="dxa"/>
            </w:tcMar>
            <w:vAlign w:val="center"/>
          </w:tcPr>
          <w:p ns2:paraId="3303032E">
            <w:pPr>
              <w:spacing w:after="0" w:line="252" w:lineRule="auto"/>
              <w:rPr>
                <w:rFonts w:hint="eastAsia" w:ascii="宋体" w:hAnsi="宋体" w:eastAsia="宋体" w:cs="宋体"/>
              </w:rPr>
            </w:pPr>
            <w:r>
              <w:rPr>
                <w:rFonts w:hint="eastAsia" w:ascii="宋体" w:hAnsi="宋体" w:eastAsia="宋体" w:cs="宋体"/>
                <w:sz w:val="18"/>
              </w:rPr>
              <w:t>三年内15家付费机构，平均年合同60万元</w:t>
            </w:r>
          </w:p>
        </w:tc>
        <w:tc>
          <w:tcPr>
            <w:tcW w:w="2835" w:type="dxa"/>
            <w:tcMar>
              <w:top w:w="75" w:type="dxa"/>
              <w:left w:w="85" w:type="dxa"/>
              <w:bottom w:w="75" w:type="dxa"/>
              <w:right w:w="85" w:type="dxa"/>
            </w:tcMar>
            <w:vAlign w:val="center"/>
          </w:tcPr>
          <w:p ns2:paraId="547119F6">
            <w:pPr>
              <w:spacing w:after="0" w:line="252" w:lineRule="auto"/>
              <w:rPr>
                <w:rFonts w:hint="eastAsia" w:ascii="宋体" w:hAnsi="宋体" w:eastAsia="宋体" w:cs="宋体"/>
              </w:rPr>
            </w:pPr>
            <w:r>
              <w:rPr>
                <w:rFonts w:hint="eastAsia" w:ascii="宋体" w:hAnsi="宋体" w:eastAsia="宋体" w:cs="宋体"/>
                <w:sz w:val="18"/>
              </w:rPr>
              <w:t>约900万元/年</w:t>
            </w:r>
          </w:p>
        </w:tc>
      </w:tr>
      <w:tr ns2:paraId="6FFA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1AE7C996">
            <w:pPr>
              <w:spacing w:after="0" w:line="252" w:lineRule="auto"/>
              <w:rPr>
                <w:rFonts w:hint="eastAsia" w:ascii="宋体" w:hAnsi="宋体" w:eastAsia="宋体" w:cs="宋体"/>
              </w:rPr>
            </w:pPr>
            <w:r>
              <w:rPr>
                <w:rFonts w:hint="eastAsia" w:ascii="宋体" w:hAnsi="宋体" w:eastAsia="宋体" w:cs="宋体"/>
                <w:sz w:val="18"/>
              </w:rPr>
              <w:t>初始SAM</w:t>
            </w:r>
          </w:p>
        </w:tc>
        <w:tc>
          <w:tcPr>
            <w:tcW w:w="4535" w:type="dxa"/>
            <w:shd w:val="clear" w:color="auto" w:fill="F7F9FC"/>
            <w:tcMar>
              <w:top w:w="75" w:type="dxa"/>
              <w:left w:w="85" w:type="dxa"/>
              <w:bottom w:w="75" w:type="dxa"/>
              <w:right w:w="85" w:type="dxa"/>
            </w:tcMar>
            <w:vAlign w:val="center"/>
          </w:tcPr>
          <w:p ns2:paraId="118B2A7A">
            <w:pPr>
              <w:spacing w:after="0" w:line="252" w:lineRule="auto"/>
              <w:rPr>
                <w:rFonts w:hint="eastAsia" w:ascii="宋体" w:hAnsi="宋体" w:eastAsia="宋体" w:cs="宋体"/>
              </w:rPr>
            </w:pPr>
            <w:r>
              <w:rPr>
                <w:rFonts w:hint="eastAsia" w:ascii="宋体" w:hAnsi="宋体" w:eastAsia="宋体" w:cs="宋体"/>
                <w:sz w:val="18"/>
              </w:rPr>
              <w:t>约300家量化/系统化程度较高机构 × 50万元年客单</w:t>
            </w:r>
          </w:p>
        </w:tc>
        <w:tc>
          <w:tcPr>
            <w:tcW w:w="2835" w:type="dxa"/>
            <w:shd w:val="clear" w:color="auto" w:fill="F7F9FC"/>
            <w:tcMar>
              <w:top w:w="75" w:type="dxa"/>
              <w:left w:w="85" w:type="dxa"/>
              <w:bottom w:w="75" w:type="dxa"/>
              <w:right w:w="85" w:type="dxa"/>
            </w:tcMar>
            <w:vAlign w:val="center"/>
          </w:tcPr>
          <w:p ns2:paraId="4C36B650">
            <w:pPr>
              <w:spacing w:after="0" w:line="252" w:lineRule="auto"/>
              <w:rPr>
                <w:rFonts w:hint="eastAsia" w:ascii="宋体" w:hAnsi="宋体" w:eastAsia="宋体" w:cs="宋体"/>
              </w:rPr>
            </w:pPr>
            <w:r>
              <w:rPr>
                <w:rFonts w:hint="eastAsia" w:ascii="宋体" w:hAnsi="宋体" w:eastAsia="宋体" w:cs="宋体"/>
                <w:sz w:val="18"/>
              </w:rPr>
              <w:t>约1.5亿元/年</w:t>
            </w:r>
          </w:p>
        </w:tc>
      </w:tr>
      <w:tr ns2:paraId="2575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5F951C0B">
            <w:pPr>
              <w:spacing w:after="0" w:line="252" w:lineRule="auto"/>
              <w:rPr>
                <w:rFonts w:hint="eastAsia" w:ascii="宋体" w:hAnsi="宋体" w:eastAsia="宋体" w:cs="宋体"/>
              </w:rPr>
            </w:pPr>
            <w:r>
              <w:rPr>
                <w:rFonts w:hint="eastAsia" w:ascii="宋体" w:hAnsi="宋体" w:eastAsia="宋体" w:cs="宋体"/>
                <w:sz w:val="18"/>
              </w:rPr>
              <w:t>扩展SAM</w:t>
            </w:r>
          </w:p>
        </w:tc>
        <w:tc>
          <w:tcPr>
            <w:tcW w:w="4535" w:type="dxa"/>
            <w:tcMar>
              <w:top w:w="75" w:type="dxa"/>
              <w:left w:w="85" w:type="dxa"/>
              <w:bottom w:w="75" w:type="dxa"/>
              <w:right w:w="85" w:type="dxa"/>
            </w:tcMar>
            <w:vAlign w:val="center"/>
          </w:tcPr>
          <w:p ns2:paraId="5091CA20">
            <w:pPr>
              <w:spacing w:after="0" w:line="252" w:lineRule="auto"/>
              <w:rPr>
                <w:rFonts w:hint="eastAsia" w:ascii="宋体" w:hAnsi="宋体" w:eastAsia="宋体" w:cs="宋体"/>
              </w:rPr>
            </w:pPr>
            <w:r>
              <w:rPr>
                <w:rFonts w:hint="eastAsia" w:ascii="宋体" w:hAnsi="宋体" w:eastAsia="宋体" w:cs="宋体"/>
                <w:sz w:val="18"/>
              </w:rPr>
              <w:t>约800家私募、券商资管、公募/金融科技机构 × 50万元</w:t>
            </w:r>
          </w:p>
        </w:tc>
        <w:tc>
          <w:tcPr>
            <w:tcW w:w="2835" w:type="dxa"/>
            <w:tcMar>
              <w:top w:w="75" w:type="dxa"/>
              <w:left w:w="85" w:type="dxa"/>
              <w:bottom w:w="75" w:type="dxa"/>
              <w:right w:w="85" w:type="dxa"/>
            </w:tcMar>
            <w:vAlign w:val="center"/>
          </w:tcPr>
          <w:p ns2:paraId="69F61A22">
            <w:pPr>
              <w:spacing w:after="0" w:line="252" w:lineRule="auto"/>
              <w:rPr>
                <w:rFonts w:hint="eastAsia" w:ascii="宋体" w:hAnsi="宋体" w:eastAsia="宋体" w:cs="宋体"/>
              </w:rPr>
            </w:pPr>
            <w:r>
              <w:rPr>
                <w:rFonts w:hint="eastAsia" w:ascii="宋体" w:hAnsi="宋体" w:eastAsia="宋体" w:cs="宋体"/>
                <w:sz w:val="18"/>
              </w:rPr>
              <w:t>约4亿元/年</w:t>
            </w:r>
          </w:p>
        </w:tc>
      </w:tr>
    </w:tbl>
    <w:p ns2:paraId="4C5D7181">
      <w:pPr>
        <w:spacing w:after="20"/>
        <w:rPr>
          <w:rFonts w:hint="eastAsia" w:ascii="宋体" w:hAnsi="宋体" w:eastAsia="宋体" w:cs="宋体"/>
        </w:rPr>
      </w:pPr>
    </w:p>
    <w:p ns2:paraId="60307845">
      <w:pPr>
        <w:spacing w:after="100" w:line="300" w:lineRule="auto"/>
        <w:rPr>
          <w:rFonts w:hint="eastAsia" w:ascii="宋体" w:hAnsi="宋体" w:eastAsia="宋体" w:cs="宋体"/>
        </w:rPr>
      </w:pPr>
      <w:r>
        <w:rPr>
          <w:rFonts w:hint="eastAsia" w:ascii="宋体" w:hAnsi="宋体" w:eastAsia="宋体" w:cs="宋体"/>
          <w:color w:val="A61B1B"/>
          <w:sz w:val="18"/>
        </w:rPr>
        <w:t>上述机构数量与客单价均是商业规划假设，用于展示单位经济模型，而不是外部审计的行业市场规模。正式融资或商业化前应通过20–30家目标客户访谈校正。</w:t>
      </w:r>
    </w:p>
    <w:p ns2:paraId="03130D3F">
      <w:pPr>
        <w:pStyle w:val="4"/>
        <w:keepNext/>
        <w:spacing w:before="140" w:after="120"/>
        <w:rPr>
          <w:rFonts w:hint="eastAsia" w:ascii="宋体" w:hAnsi="宋体" w:eastAsia="宋体" w:cs="宋体"/>
        </w:rPr>
      </w:pPr>
      <w:r>
        <w:rPr>
          <w:rFonts w:hint="eastAsia" w:ascii="宋体" w:hAnsi="宋体" w:eastAsia="宋体" w:cs="宋体"/>
          <w:b/>
          <w:color w:val="1F4E79"/>
          <w:sz w:val="26"/>
        </w:rPr>
        <w:t>10.2 客户画像与购买触发点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3288"/>
        <w:gridCol w:w="1984"/>
        <w:gridCol w:w="2268"/>
      </w:tblGrid>
      <w:tr ns2:paraId="40EE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8" w:type="dxa"/>
            <w:shd w:val="clear" w:color="auto" w:fill="1F4E79"/>
            <w:tcMar>
              <w:top w:w="90" w:type="dxa"/>
              <w:left w:w="90" w:type="dxa"/>
              <w:bottom w:w="90" w:type="dxa"/>
              <w:right w:w="90" w:type="dxa"/>
            </w:tcMar>
            <w:vAlign w:val="center"/>
          </w:tcPr>
          <w:p ns2:paraId="46CDD70C">
            <w:pPr>
              <w:spacing w:after="0" w:line="240" w:lineRule="auto"/>
              <w:jc w:val="center"/>
              <w:rPr>
                <w:rFonts w:hint="eastAsia" w:ascii="宋体" w:hAnsi="宋体" w:eastAsia="宋体" w:cs="宋体"/>
              </w:rPr>
            </w:pPr>
            <w:r>
              <w:rPr>
                <w:rFonts w:hint="eastAsia" w:ascii="宋体" w:hAnsi="宋体" w:eastAsia="宋体" w:cs="宋体"/>
                <w:b/>
                <w:color w:val="FFFFFF"/>
                <w:sz w:val="17"/>
              </w:rPr>
              <w:t>客户</w:t>
            </w:r>
          </w:p>
        </w:tc>
        <w:tc>
          <w:tcPr>
            <w:tcW w:w="3288" w:type="dxa"/>
            <w:shd w:val="clear" w:color="auto" w:fill="1F4E79"/>
            <w:tcMar>
              <w:top w:w="90" w:type="dxa"/>
              <w:left w:w="90" w:type="dxa"/>
              <w:bottom w:w="90" w:type="dxa"/>
              <w:right w:w="90" w:type="dxa"/>
            </w:tcMar>
            <w:vAlign w:val="center"/>
          </w:tcPr>
          <w:p ns2:paraId="1798B625">
            <w:pPr>
              <w:spacing w:after="0" w:line="240" w:lineRule="auto"/>
              <w:jc w:val="center"/>
              <w:rPr>
                <w:rFonts w:hint="eastAsia" w:ascii="宋体" w:hAnsi="宋体" w:eastAsia="宋体" w:cs="宋体"/>
              </w:rPr>
            </w:pPr>
            <w:r>
              <w:rPr>
                <w:rFonts w:hint="eastAsia" w:ascii="宋体" w:hAnsi="宋体" w:eastAsia="宋体" w:cs="宋体"/>
                <w:b/>
                <w:color w:val="FFFFFF"/>
                <w:sz w:val="17"/>
              </w:rPr>
              <w:t>典型触发点</w:t>
            </w:r>
          </w:p>
        </w:tc>
        <w:tc>
          <w:tcPr>
            <w:tcW w:w="1984" w:type="dxa"/>
            <w:shd w:val="clear" w:color="auto" w:fill="1F4E79"/>
            <w:tcMar>
              <w:top w:w="90" w:type="dxa"/>
              <w:left w:w="90" w:type="dxa"/>
              <w:bottom w:w="90" w:type="dxa"/>
              <w:right w:w="90" w:type="dxa"/>
            </w:tcMar>
            <w:vAlign w:val="center"/>
          </w:tcPr>
          <w:p ns2:paraId="6B5EA993">
            <w:pPr>
              <w:spacing w:after="0" w:line="240" w:lineRule="auto"/>
              <w:jc w:val="center"/>
              <w:rPr>
                <w:rFonts w:hint="eastAsia" w:ascii="宋体" w:hAnsi="宋体" w:eastAsia="宋体" w:cs="宋体"/>
              </w:rPr>
            </w:pPr>
            <w:r>
              <w:rPr>
                <w:rFonts w:hint="eastAsia" w:ascii="宋体" w:hAnsi="宋体" w:eastAsia="宋体" w:cs="宋体"/>
                <w:b/>
                <w:color w:val="FFFFFF"/>
                <w:sz w:val="17"/>
              </w:rPr>
              <w:t>主要采购人</w:t>
            </w:r>
          </w:p>
        </w:tc>
        <w:tc>
          <w:tcPr>
            <w:tcW w:w="2268" w:type="dxa"/>
            <w:shd w:val="clear" w:color="auto" w:fill="1F4E79"/>
            <w:tcMar>
              <w:top w:w="90" w:type="dxa"/>
              <w:left w:w="90" w:type="dxa"/>
              <w:bottom w:w="90" w:type="dxa"/>
              <w:right w:w="90" w:type="dxa"/>
            </w:tcMar>
            <w:vAlign w:val="center"/>
          </w:tcPr>
          <w:p ns2:paraId="23C811D8">
            <w:pPr>
              <w:spacing w:after="0" w:line="240" w:lineRule="auto"/>
              <w:jc w:val="center"/>
              <w:rPr>
                <w:rFonts w:hint="eastAsia" w:ascii="宋体" w:hAnsi="宋体" w:eastAsia="宋体" w:cs="宋体"/>
              </w:rPr>
            </w:pPr>
            <w:r>
              <w:rPr>
                <w:rFonts w:hint="eastAsia" w:ascii="宋体" w:hAnsi="宋体" w:eastAsia="宋体" w:cs="宋体"/>
                <w:b/>
                <w:color w:val="FFFFFF"/>
                <w:sz w:val="17"/>
              </w:rPr>
              <w:t>价值证明</w:t>
            </w:r>
          </w:p>
        </w:tc>
      </w:tr>
      <w:tr ns2:paraId="676F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5" w:type="dxa"/>
              <w:left w:w="85" w:type="dxa"/>
              <w:bottom w:w="75" w:type="dxa"/>
              <w:right w:w="85" w:type="dxa"/>
            </w:tcMar>
            <w:vAlign w:val="center"/>
          </w:tcPr>
          <w:p ns2:paraId="6B18A14C">
            <w:pPr>
              <w:spacing w:after="0" w:line="252" w:lineRule="auto"/>
              <w:rPr>
                <w:rFonts w:hint="eastAsia" w:ascii="宋体" w:hAnsi="宋体" w:eastAsia="宋体" w:cs="宋体"/>
              </w:rPr>
            </w:pPr>
            <w:r>
              <w:rPr>
                <w:rFonts w:hint="eastAsia" w:ascii="宋体" w:hAnsi="宋体" w:eastAsia="宋体" w:cs="宋体"/>
                <w:sz w:val="17"/>
              </w:rPr>
              <w:t>百亿/中大型量化私募</w:t>
            </w:r>
          </w:p>
        </w:tc>
        <w:tc>
          <w:tcPr>
            <w:tcW w:w="3288" w:type="dxa"/>
            <w:tcMar>
              <w:top w:w="75" w:type="dxa"/>
              <w:left w:w="85" w:type="dxa"/>
              <w:bottom w:w="75" w:type="dxa"/>
              <w:right w:w="85" w:type="dxa"/>
            </w:tcMar>
            <w:vAlign w:val="center"/>
          </w:tcPr>
          <w:p ns2:paraId="57BB1065">
            <w:pPr>
              <w:spacing w:after="0" w:line="252" w:lineRule="auto"/>
              <w:rPr>
                <w:rFonts w:hint="eastAsia" w:ascii="宋体" w:hAnsi="宋体" w:eastAsia="宋体" w:cs="宋体"/>
              </w:rPr>
            </w:pPr>
            <w:r>
              <w:rPr>
                <w:rFonts w:hint="eastAsia" w:ascii="宋体" w:hAnsi="宋体" w:eastAsia="宋体" w:cs="宋体"/>
                <w:sz w:val="17"/>
              </w:rPr>
              <w:t>Agent调用成本高、策略拥挤、需要多模态研究</w:t>
            </w:r>
          </w:p>
        </w:tc>
        <w:tc>
          <w:tcPr>
            <w:tcW w:w="1984" w:type="dxa"/>
            <w:tcMar>
              <w:top w:w="75" w:type="dxa"/>
              <w:left w:w="85" w:type="dxa"/>
              <w:bottom w:w="75" w:type="dxa"/>
              <w:right w:w="85" w:type="dxa"/>
            </w:tcMar>
            <w:vAlign w:val="center"/>
          </w:tcPr>
          <w:p ns2:paraId="0832D6DC">
            <w:pPr>
              <w:spacing w:after="0" w:line="252" w:lineRule="auto"/>
              <w:rPr>
                <w:rFonts w:hint="eastAsia" w:ascii="宋体" w:hAnsi="宋体" w:eastAsia="宋体" w:cs="宋体"/>
              </w:rPr>
            </w:pPr>
            <w:r>
              <w:rPr>
                <w:rFonts w:hint="eastAsia" w:ascii="宋体" w:hAnsi="宋体" w:eastAsia="宋体" w:cs="宋体"/>
                <w:sz w:val="17"/>
              </w:rPr>
              <w:t>投研负责人/CTO</w:t>
            </w:r>
          </w:p>
        </w:tc>
        <w:tc>
          <w:tcPr>
            <w:tcW w:w="2268" w:type="dxa"/>
            <w:tcMar>
              <w:top w:w="75" w:type="dxa"/>
              <w:left w:w="85" w:type="dxa"/>
              <w:bottom w:w="75" w:type="dxa"/>
              <w:right w:w="85" w:type="dxa"/>
            </w:tcMar>
            <w:vAlign w:val="center"/>
          </w:tcPr>
          <w:p ns2:paraId="70498881">
            <w:pPr>
              <w:spacing w:after="0" w:line="252" w:lineRule="auto"/>
              <w:rPr>
                <w:rFonts w:hint="eastAsia" w:ascii="宋体" w:hAnsi="宋体" w:eastAsia="宋体" w:cs="宋体"/>
              </w:rPr>
            </w:pPr>
            <w:r>
              <w:rPr>
                <w:rFonts w:hint="eastAsia" w:ascii="宋体" w:hAnsi="宋体" w:eastAsia="宋体" w:cs="宋体"/>
                <w:sz w:val="17"/>
              </w:rPr>
              <w:t>同表现降成本、Regime适应、Trace</w:t>
            </w:r>
          </w:p>
        </w:tc>
      </w:tr>
      <w:tr ns2:paraId="56AE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shd w:val="clear" w:color="auto" w:fill="F7F9FC"/>
            <w:tcMar>
              <w:top w:w="75" w:type="dxa"/>
              <w:left w:w="85" w:type="dxa"/>
              <w:bottom w:w="75" w:type="dxa"/>
              <w:right w:w="85" w:type="dxa"/>
            </w:tcMar>
            <w:vAlign w:val="center"/>
          </w:tcPr>
          <w:p ns2:paraId="1A506E4B">
            <w:pPr>
              <w:spacing w:after="0" w:line="252" w:lineRule="auto"/>
              <w:rPr>
                <w:rFonts w:hint="eastAsia" w:ascii="宋体" w:hAnsi="宋体" w:eastAsia="宋体" w:cs="宋体"/>
              </w:rPr>
            </w:pPr>
            <w:r>
              <w:rPr>
                <w:rFonts w:hint="eastAsia" w:ascii="宋体" w:hAnsi="宋体" w:eastAsia="宋体" w:cs="宋体"/>
                <w:sz w:val="17"/>
              </w:rPr>
              <w:t>券商自营/资管</w:t>
            </w:r>
          </w:p>
        </w:tc>
        <w:tc>
          <w:tcPr>
            <w:tcW w:w="3288" w:type="dxa"/>
            <w:shd w:val="clear" w:color="auto" w:fill="F7F9FC"/>
            <w:tcMar>
              <w:top w:w="75" w:type="dxa"/>
              <w:left w:w="85" w:type="dxa"/>
              <w:bottom w:w="75" w:type="dxa"/>
              <w:right w:w="85" w:type="dxa"/>
            </w:tcMar>
            <w:vAlign w:val="center"/>
          </w:tcPr>
          <w:p ns2:paraId="5270D002">
            <w:pPr>
              <w:spacing w:after="0" w:line="252" w:lineRule="auto"/>
              <w:rPr>
                <w:rFonts w:hint="eastAsia" w:ascii="宋体" w:hAnsi="宋体" w:eastAsia="宋体" w:cs="宋体"/>
              </w:rPr>
            </w:pPr>
            <w:r>
              <w:rPr>
                <w:rFonts w:hint="eastAsia" w:ascii="宋体" w:hAnsi="宋体" w:eastAsia="宋体" w:cs="宋体"/>
                <w:sz w:val="17"/>
              </w:rPr>
              <w:t>合规与系统治理要求更高</w:t>
            </w:r>
          </w:p>
        </w:tc>
        <w:tc>
          <w:tcPr>
            <w:tcW w:w="1984" w:type="dxa"/>
            <w:shd w:val="clear" w:color="auto" w:fill="F7F9FC"/>
            <w:tcMar>
              <w:top w:w="75" w:type="dxa"/>
              <w:left w:w="85" w:type="dxa"/>
              <w:bottom w:w="75" w:type="dxa"/>
              <w:right w:w="85" w:type="dxa"/>
            </w:tcMar>
            <w:vAlign w:val="center"/>
          </w:tcPr>
          <w:p ns2:paraId="36812CA1">
            <w:pPr>
              <w:spacing w:after="0" w:line="252" w:lineRule="auto"/>
              <w:rPr>
                <w:rFonts w:hint="eastAsia" w:ascii="宋体" w:hAnsi="宋体" w:eastAsia="宋体" w:cs="宋体"/>
              </w:rPr>
            </w:pPr>
            <w:r>
              <w:rPr>
                <w:rFonts w:hint="eastAsia" w:ascii="宋体" w:hAnsi="宋体" w:eastAsia="宋体" w:cs="宋体"/>
                <w:sz w:val="17"/>
              </w:rPr>
              <w:t>量化负责人/科技/风险</w:t>
            </w:r>
          </w:p>
        </w:tc>
        <w:tc>
          <w:tcPr>
            <w:tcW w:w="2268" w:type="dxa"/>
            <w:shd w:val="clear" w:color="auto" w:fill="F7F9FC"/>
            <w:tcMar>
              <w:top w:w="75" w:type="dxa"/>
              <w:left w:w="85" w:type="dxa"/>
              <w:bottom w:w="75" w:type="dxa"/>
              <w:right w:w="85" w:type="dxa"/>
            </w:tcMar>
            <w:vAlign w:val="center"/>
          </w:tcPr>
          <w:p ns2:paraId="1832F3BC">
            <w:pPr>
              <w:spacing w:after="0" w:line="252" w:lineRule="auto"/>
              <w:rPr>
                <w:rFonts w:hint="eastAsia" w:ascii="宋体" w:hAnsi="宋体" w:eastAsia="宋体" w:cs="宋体"/>
              </w:rPr>
            </w:pPr>
            <w:r>
              <w:rPr>
                <w:rFonts w:hint="eastAsia" w:ascii="宋体" w:hAnsi="宋体" w:eastAsia="宋体" w:cs="宋体"/>
                <w:sz w:val="17"/>
              </w:rPr>
              <w:t>私有化、权限、审计、硬风险约束</w:t>
            </w:r>
          </w:p>
        </w:tc>
      </w:tr>
      <w:tr ns2:paraId="182B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tcMar>
              <w:top w:w="75" w:type="dxa"/>
              <w:left w:w="85" w:type="dxa"/>
              <w:bottom w:w="75" w:type="dxa"/>
              <w:right w:w="85" w:type="dxa"/>
            </w:tcMar>
            <w:vAlign w:val="center"/>
          </w:tcPr>
          <w:p ns2:paraId="28E6C591">
            <w:pPr>
              <w:spacing w:after="0" w:line="252" w:lineRule="auto"/>
              <w:rPr>
                <w:rFonts w:hint="eastAsia" w:ascii="宋体" w:hAnsi="宋体" w:eastAsia="宋体" w:cs="宋体"/>
              </w:rPr>
            </w:pPr>
            <w:r>
              <w:rPr>
                <w:rFonts w:hint="eastAsia" w:ascii="宋体" w:hAnsi="宋体" w:eastAsia="宋体" w:cs="宋体"/>
                <w:sz w:val="17"/>
              </w:rPr>
              <w:t>公募量化/指数增强</w:t>
            </w:r>
          </w:p>
        </w:tc>
        <w:tc>
          <w:tcPr>
            <w:tcW w:w="3288" w:type="dxa"/>
            <w:tcMar>
              <w:top w:w="75" w:type="dxa"/>
              <w:left w:w="85" w:type="dxa"/>
              <w:bottom w:w="75" w:type="dxa"/>
              <w:right w:w="85" w:type="dxa"/>
            </w:tcMar>
            <w:vAlign w:val="center"/>
          </w:tcPr>
          <w:p ns2:paraId="7E492389">
            <w:pPr>
              <w:spacing w:after="0" w:line="252" w:lineRule="auto"/>
              <w:rPr>
                <w:rFonts w:hint="eastAsia" w:ascii="宋体" w:hAnsi="宋体" w:eastAsia="宋体" w:cs="宋体"/>
              </w:rPr>
            </w:pPr>
            <w:r>
              <w:rPr>
                <w:rFonts w:hint="eastAsia" w:ascii="宋体" w:hAnsi="宋体" w:eastAsia="宋体" w:cs="宋体"/>
                <w:sz w:val="17"/>
              </w:rPr>
              <w:t>需要稳定性与研究协同</w:t>
            </w:r>
          </w:p>
        </w:tc>
        <w:tc>
          <w:tcPr>
            <w:tcW w:w="1984" w:type="dxa"/>
            <w:tcMar>
              <w:top w:w="75" w:type="dxa"/>
              <w:left w:w="85" w:type="dxa"/>
              <w:bottom w:w="75" w:type="dxa"/>
              <w:right w:w="85" w:type="dxa"/>
            </w:tcMar>
            <w:vAlign w:val="center"/>
          </w:tcPr>
          <w:p ns2:paraId="3D4324C4">
            <w:pPr>
              <w:spacing w:after="0" w:line="252" w:lineRule="auto"/>
              <w:rPr>
                <w:rFonts w:hint="eastAsia" w:ascii="宋体" w:hAnsi="宋体" w:eastAsia="宋体" w:cs="宋体"/>
              </w:rPr>
            </w:pPr>
            <w:r>
              <w:rPr>
                <w:rFonts w:hint="eastAsia" w:ascii="宋体" w:hAnsi="宋体" w:eastAsia="宋体" w:cs="宋体"/>
                <w:sz w:val="17"/>
              </w:rPr>
              <w:t>基金经理/量化研究</w:t>
            </w:r>
          </w:p>
        </w:tc>
        <w:tc>
          <w:tcPr>
            <w:tcW w:w="2268" w:type="dxa"/>
            <w:tcMar>
              <w:top w:w="75" w:type="dxa"/>
              <w:left w:w="85" w:type="dxa"/>
              <w:bottom w:w="75" w:type="dxa"/>
              <w:right w:w="85" w:type="dxa"/>
            </w:tcMar>
            <w:vAlign w:val="center"/>
          </w:tcPr>
          <w:p ns2:paraId="4498F83D">
            <w:pPr>
              <w:spacing w:after="0" w:line="252" w:lineRule="auto"/>
              <w:rPr>
                <w:rFonts w:hint="eastAsia" w:ascii="宋体" w:hAnsi="宋体" w:eastAsia="宋体" w:cs="宋体"/>
              </w:rPr>
            </w:pPr>
            <w:r>
              <w:rPr>
                <w:rFonts w:hint="eastAsia" w:ascii="宋体" w:hAnsi="宋体" w:eastAsia="宋体" w:cs="宋体"/>
                <w:sz w:val="17"/>
              </w:rPr>
              <w:t>稳健性、组合风险、研究可复现</w:t>
            </w:r>
          </w:p>
        </w:tc>
      </w:tr>
      <w:tr ns2:paraId="2EBF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shd w:val="clear" w:color="auto" w:fill="F7F9FC"/>
            <w:tcMar>
              <w:top w:w="75" w:type="dxa"/>
              <w:left w:w="85" w:type="dxa"/>
              <w:bottom w:w="75" w:type="dxa"/>
              <w:right w:w="85" w:type="dxa"/>
            </w:tcMar>
            <w:vAlign w:val="center"/>
          </w:tcPr>
          <w:p ns2:paraId="4E556DA8">
            <w:pPr>
              <w:spacing w:after="0" w:line="252" w:lineRule="auto"/>
              <w:rPr>
                <w:rFonts w:hint="eastAsia" w:ascii="宋体" w:hAnsi="宋体" w:eastAsia="宋体" w:cs="宋体"/>
              </w:rPr>
            </w:pPr>
            <w:r>
              <w:rPr>
                <w:rFonts w:hint="eastAsia" w:ascii="宋体" w:hAnsi="宋体" w:eastAsia="宋体" w:cs="宋体"/>
                <w:sz w:val="17"/>
              </w:rPr>
              <w:t>金融科技平台</w:t>
            </w:r>
          </w:p>
        </w:tc>
        <w:tc>
          <w:tcPr>
            <w:tcW w:w="3288" w:type="dxa"/>
            <w:shd w:val="clear" w:color="auto" w:fill="F7F9FC"/>
            <w:tcMar>
              <w:top w:w="75" w:type="dxa"/>
              <w:left w:w="85" w:type="dxa"/>
              <w:bottom w:w="75" w:type="dxa"/>
              <w:right w:w="85" w:type="dxa"/>
            </w:tcMar>
            <w:vAlign w:val="center"/>
          </w:tcPr>
          <w:p ns2:paraId="271015AF">
            <w:pPr>
              <w:spacing w:after="0" w:line="252" w:lineRule="auto"/>
              <w:rPr>
                <w:rFonts w:hint="eastAsia" w:ascii="宋体" w:hAnsi="宋体" w:eastAsia="宋体" w:cs="宋体"/>
              </w:rPr>
            </w:pPr>
            <w:r>
              <w:rPr>
                <w:rFonts w:hint="eastAsia" w:ascii="宋体" w:hAnsi="宋体" w:eastAsia="宋体" w:cs="宋体"/>
                <w:sz w:val="17"/>
              </w:rPr>
              <w:t>希望增强现有回测/因子平台Agent能力</w:t>
            </w:r>
          </w:p>
        </w:tc>
        <w:tc>
          <w:tcPr>
            <w:tcW w:w="1984" w:type="dxa"/>
            <w:shd w:val="clear" w:color="auto" w:fill="F7F9FC"/>
            <w:tcMar>
              <w:top w:w="75" w:type="dxa"/>
              <w:left w:w="85" w:type="dxa"/>
              <w:bottom w:w="75" w:type="dxa"/>
              <w:right w:w="85" w:type="dxa"/>
            </w:tcMar>
            <w:vAlign w:val="center"/>
          </w:tcPr>
          <w:p ns2:paraId="52900E40">
            <w:pPr>
              <w:spacing w:after="0" w:line="252" w:lineRule="auto"/>
              <w:rPr>
                <w:rFonts w:hint="eastAsia" w:ascii="宋体" w:hAnsi="宋体" w:eastAsia="宋体" w:cs="宋体"/>
              </w:rPr>
            </w:pPr>
            <w:r>
              <w:rPr>
                <w:rFonts w:hint="eastAsia" w:ascii="宋体" w:hAnsi="宋体" w:eastAsia="宋体" w:cs="宋体"/>
                <w:sz w:val="17"/>
              </w:rPr>
              <w:t>产品/算法负责人</w:t>
            </w:r>
          </w:p>
        </w:tc>
        <w:tc>
          <w:tcPr>
            <w:tcW w:w="2268" w:type="dxa"/>
            <w:shd w:val="clear" w:color="auto" w:fill="F7F9FC"/>
            <w:tcMar>
              <w:top w:w="75" w:type="dxa"/>
              <w:left w:w="85" w:type="dxa"/>
              <w:bottom w:w="75" w:type="dxa"/>
              <w:right w:w="85" w:type="dxa"/>
            </w:tcMar>
            <w:vAlign w:val="center"/>
          </w:tcPr>
          <w:p ns2:paraId="5CBD38D4">
            <w:pPr>
              <w:spacing w:after="0" w:line="252" w:lineRule="auto"/>
              <w:rPr>
                <w:rFonts w:hint="eastAsia" w:ascii="宋体" w:hAnsi="宋体" w:eastAsia="宋体" w:cs="宋体"/>
              </w:rPr>
            </w:pPr>
            <w:r>
              <w:rPr>
                <w:rFonts w:hint="eastAsia" w:ascii="宋体" w:hAnsi="宋体" w:eastAsia="宋体" w:cs="宋体"/>
                <w:sz w:val="17"/>
              </w:rPr>
              <w:t>可插拔Agentic Control Plane</w:t>
            </w:r>
          </w:p>
        </w:tc>
      </w:tr>
    </w:tbl>
    <w:p ns2:paraId="0935BE54">
      <w:pPr>
        <w:spacing w:after="20"/>
        <w:rPr>
          <w:rFonts w:hint="eastAsia" w:ascii="宋体" w:hAnsi="宋体" w:eastAsia="宋体" w:cs="宋体"/>
        </w:rPr>
      </w:pPr>
    </w:p>
    <w:p ns2:paraId="7B2CB3D3">
      <w:pPr>
        <w:pStyle w:val="3"/>
        <w:keepNext/>
        <w:spacing w:before="240" w:after="120"/>
        <w:rPr>
          <w:rFonts w:hint="eastAsia" w:ascii="宋体" w:hAnsi="宋体" w:eastAsia="宋体" w:cs="宋体"/>
        </w:rPr>
      </w:pPr>
      <w:r>
        <w:rPr>
          <w:rFonts w:hint="eastAsia" w:ascii="宋体" w:hAnsi="宋体" w:eastAsia="宋体" w:cs="宋体"/>
          <w:b/>
          <w:color w:val="17365D"/>
          <w:sz w:val="32"/>
        </w:rPr>
        <w:t>11. 竞争格局与差异化壁垒</w:t>
      </w:r>
    </w:p>
    <w:p ns2:paraId="42C1952D">
      <w:pPr>
        <w:pStyle w:val="4"/>
        <w:keepNext/>
        <w:spacing w:before="140" w:after="120"/>
        <w:rPr>
          <w:rFonts w:hint="eastAsia" w:ascii="宋体" w:hAnsi="宋体" w:eastAsia="宋体" w:cs="宋体"/>
        </w:rPr>
      </w:pPr>
      <w:r>
        <w:rPr>
          <w:rFonts w:hint="eastAsia" w:ascii="宋体" w:hAnsi="宋体" w:eastAsia="宋体" w:cs="宋体"/>
          <w:b/>
          <w:color w:val="1F4E79"/>
          <w:sz w:val="26"/>
        </w:rPr>
        <w:t>11.1 竞争不是“没有竞品”，而是四类替代方案</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438"/>
        <w:gridCol w:w="2381"/>
        <w:gridCol w:w="2835"/>
      </w:tblGrid>
      <w:tr ns2:paraId="320D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1F4E79"/>
            <w:tcMar>
              <w:top w:w="90" w:type="dxa"/>
              <w:left w:w="90" w:type="dxa"/>
              <w:bottom w:w="90" w:type="dxa"/>
              <w:right w:w="90" w:type="dxa"/>
            </w:tcMar>
            <w:vAlign w:val="center"/>
          </w:tcPr>
          <w:p ns2:paraId="0D458694">
            <w:pPr>
              <w:spacing w:after="0" w:line="240" w:lineRule="auto"/>
              <w:jc w:val="center"/>
              <w:rPr>
                <w:rFonts w:hint="eastAsia" w:ascii="宋体" w:hAnsi="宋体" w:eastAsia="宋体" w:cs="宋体"/>
              </w:rPr>
            </w:pPr>
            <w:r>
              <w:rPr>
                <w:rFonts w:hint="eastAsia" w:ascii="宋体" w:hAnsi="宋体" w:eastAsia="宋体" w:cs="宋体"/>
                <w:b/>
                <w:color w:val="FFFFFF"/>
                <w:sz w:val="17"/>
              </w:rPr>
              <w:t>类别</w:t>
            </w:r>
          </w:p>
        </w:tc>
        <w:tc>
          <w:tcPr>
            <w:tcW w:w="2438" w:type="dxa"/>
            <w:shd w:val="clear" w:color="auto" w:fill="1F4E79"/>
            <w:tcMar>
              <w:top w:w="90" w:type="dxa"/>
              <w:left w:w="90" w:type="dxa"/>
              <w:bottom w:w="90" w:type="dxa"/>
              <w:right w:w="90" w:type="dxa"/>
            </w:tcMar>
            <w:vAlign w:val="center"/>
          </w:tcPr>
          <w:p ns2:paraId="1E3EB430">
            <w:pPr>
              <w:spacing w:after="0" w:line="240" w:lineRule="auto"/>
              <w:jc w:val="center"/>
              <w:rPr>
                <w:rFonts w:hint="eastAsia" w:ascii="宋体" w:hAnsi="宋体" w:eastAsia="宋体" w:cs="宋体"/>
              </w:rPr>
            </w:pPr>
            <w:r>
              <w:rPr>
                <w:rFonts w:hint="eastAsia" w:ascii="宋体" w:hAnsi="宋体" w:eastAsia="宋体" w:cs="宋体"/>
                <w:b/>
                <w:color w:val="FFFFFF"/>
                <w:sz w:val="17"/>
              </w:rPr>
              <w:t>代表/现状</w:t>
            </w:r>
          </w:p>
        </w:tc>
        <w:tc>
          <w:tcPr>
            <w:tcW w:w="2381" w:type="dxa"/>
            <w:shd w:val="clear" w:color="auto" w:fill="1F4E79"/>
            <w:tcMar>
              <w:top w:w="90" w:type="dxa"/>
              <w:left w:w="90" w:type="dxa"/>
              <w:bottom w:w="90" w:type="dxa"/>
              <w:right w:w="90" w:type="dxa"/>
            </w:tcMar>
            <w:vAlign w:val="center"/>
          </w:tcPr>
          <w:p ns2:paraId="62440FC7">
            <w:pPr>
              <w:spacing w:after="0" w:line="240" w:lineRule="auto"/>
              <w:jc w:val="center"/>
              <w:rPr>
                <w:rFonts w:hint="eastAsia" w:ascii="宋体" w:hAnsi="宋体" w:eastAsia="宋体" w:cs="宋体"/>
              </w:rPr>
            </w:pPr>
            <w:r>
              <w:rPr>
                <w:rFonts w:hint="eastAsia" w:ascii="宋体" w:hAnsi="宋体" w:eastAsia="宋体" w:cs="宋体"/>
                <w:b/>
                <w:color w:val="FFFFFF"/>
                <w:sz w:val="17"/>
              </w:rPr>
              <w:t>优势</w:t>
            </w:r>
          </w:p>
        </w:tc>
        <w:tc>
          <w:tcPr>
            <w:tcW w:w="2835" w:type="dxa"/>
            <w:shd w:val="clear" w:color="auto" w:fill="1F4E79"/>
            <w:tcMar>
              <w:top w:w="90" w:type="dxa"/>
              <w:left w:w="90" w:type="dxa"/>
              <w:bottom w:w="90" w:type="dxa"/>
              <w:right w:w="90" w:type="dxa"/>
            </w:tcMar>
            <w:vAlign w:val="center"/>
          </w:tcPr>
          <w:p ns2:paraId="10A3A0F8">
            <w:pPr>
              <w:spacing w:after="0" w:line="240" w:lineRule="auto"/>
              <w:jc w:val="center"/>
              <w:rPr>
                <w:rFonts w:hint="eastAsia" w:ascii="宋体" w:hAnsi="宋体" w:eastAsia="宋体" w:cs="宋体"/>
              </w:rPr>
            </w:pPr>
            <w:r>
              <w:rPr>
                <w:rFonts w:hint="eastAsia" w:ascii="宋体" w:hAnsi="宋体" w:eastAsia="宋体" w:cs="宋体"/>
                <w:b/>
                <w:color w:val="FFFFFF"/>
                <w:sz w:val="17"/>
              </w:rPr>
              <w:t>AlphaOrchestra差异</w:t>
            </w:r>
          </w:p>
        </w:tc>
      </w:tr>
      <w:tr ns2:paraId="1EF2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5" w:type="dxa"/>
              <w:left w:w="85" w:type="dxa"/>
              <w:bottom w:w="75" w:type="dxa"/>
              <w:right w:w="85" w:type="dxa"/>
            </w:tcMar>
            <w:vAlign w:val="center"/>
          </w:tcPr>
          <w:p ns2:paraId="303C6B81">
            <w:pPr>
              <w:spacing w:after="0" w:line="252" w:lineRule="auto"/>
              <w:rPr>
                <w:rFonts w:hint="eastAsia" w:ascii="宋体" w:hAnsi="宋体" w:eastAsia="宋体" w:cs="宋体"/>
              </w:rPr>
            </w:pPr>
            <w:r>
              <w:rPr>
                <w:rFonts w:hint="eastAsia" w:ascii="宋体" w:hAnsi="宋体" w:eastAsia="宋体" w:cs="宋体"/>
                <w:sz w:val="17"/>
              </w:rPr>
              <w:t>传统量化平台</w:t>
            </w:r>
          </w:p>
        </w:tc>
        <w:tc>
          <w:tcPr>
            <w:tcW w:w="2438" w:type="dxa"/>
            <w:tcMar>
              <w:top w:w="75" w:type="dxa"/>
              <w:left w:w="85" w:type="dxa"/>
              <w:bottom w:w="75" w:type="dxa"/>
              <w:right w:w="85" w:type="dxa"/>
            </w:tcMar>
            <w:vAlign w:val="center"/>
          </w:tcPr>
          <w:p ns2:paraId="0404F338">
            <w:pPr>
              <w:spacing w:after="0" w:line="252" w:lineRule="auto"/>
              <w:rPr>
                <w:rFonts w:hint="eastAsia" w:ascii="宋体" w:hAnsi="宋体" w:eastAsia="宋体" w:cs="宋体"/>
              </w:rPr>
            </w:pPr>
            <w:r>
              <w:rPr>
                <w:rFonts w:hint="eastAsia" w:ascii="宋体" w:hAnsi="宋体" w:eastAsia="宋体" w:cs="宋体"/>
                <w:sz w:val="17"/>
              </w:rPr>
              <w:t>Qlib、自研回测/因子平台</w:t>
            </w:r>
          </w:p>
        </w:tc>
        <w:tc>
          <w:tcPr>
            <w:tcW w:w="2381" w:type="dxa"/>
            <w:tcMar>
              <w:top w:w="75" w:type="dxa"/>
              <w:left w:w="85" w:type="dxa"/>
              <w:bottom w:w="75" w:type="dxa"/>
              <w:right w:w="85" w:type="dxa"/>
            </w:tcMar>
            <w:vAlign w:val="center"/>
          </w:tcPr>
          <w:p ns2:paraId="679ECCCF">
            <w:pPr>
              <w:spacing w:after="0" w:line="252" w:lineRule="auto"/>
              <w:rPr>
                <w:rFonts w:hint="eastAsia" w:ascii="宋体" w:hAnsi="宋体" w:eastAsia="宋体" w:cs="宋体"/>
              </w:rPr>
            </w:pPr>
            <w:r>
              <w:rPr>
                <w:rFonts w:hint="eastAsia" w:ascii="宋体" w:hAnsi="宋体" w:eastAsia="宋体" w:cs="宋体"/>
                <w:sz w:val="17"/>
              </w:rPr>
              <w:t>可靠、成熟、工具丰富</w:t>
            </w:r>
          </w:p>
        </w:tc>
        <w:tc>
          <w:tcPr>
            <w:tcW w:w="2835" w:type="dxa"/>
            <w:tcMar>
              <w:top w:w="75" w:type="dxa"/>
              <w:left w:w="85" w:type="dxa"/>
              <w:bottom w:w="75" w:type="dxa"/>
              <w:right w:w="85" w:type="dxa"/>
            </w:tcMar>
            <w:vAlign w:val="center"/>
          </w:tcPr>
          <w:p ns2:paraId="5A69CF11">
            <w:pPr>
              <w:spacing w:after="0" w:line="252" w:lineRule="auto"/>
              <w:rPr>
                <w:rFonts w:hint="eastAsia" w:ascii="宋体" w:hAnsi="宋体" w:eastAsia="宋体" w:cs="宋体"/>
              </w:rPr>
            </w:pPr>
            <w:r>
              <w:rPr>
                <w:rFonts w:hint="eastAsia" w:ascii="宋体" w:hAnsi="宋体" w:eastAsia="宋体" w:cs="宋体"/>
                <w:sz w:val="17"/>
              </w:rPr>
              <w:t>在其上增加多Agent选择、冲突治理和成本编排，不替换底层工具</w:t>
            </w:r>
          </w:p>
        </w:tc>
      </w:tr>
      <w:tr ns2:paraId="2E89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7F9FC"/>
            <w:tcMar>
              <w:top w:w="75" w:type="dxa"/>
              <w:left w:w="85" w:type="dxa"/>
              <w:bottom w:w="75" w:type="dxa"/>
              <w:right w:w="85" w:type="dxa"/>
            </w:tcMar>
            <w:vAlign w:val="center"/>
          </w:tcPr>
          <w:p ns2:paraId="6A3DF53A">
            <w:pPr>
              <w:spacing w:after="0" w:line="252" w:lineRule="auto"/>
              <w:rPr>
                <w:rFonts w:hint="eastAsia" w:ascii="宋体" w:hAnsi="宋体" w:eastAsia="宋体" w:cs="宋体"/>
              </w:rPr>
            </w:pPr>
            <w:r>
              <w:rPr>
                <w:rFonts w:hint="eastAsia" w:ascii="宋体" w:hAnsi="宋体" w:eastAsia="宋体" w:cs="宋体"/>
                <w:sz w:val="17"/>
              </w:rPr>
              <w:t>单/多Agent交易框架</w:t>
            </w:r>
          </w:p>
        </w:tc>
        <w:tc>
          <w:tcPr>
            <w:tcW w:w="2438" w:type="dxa"/>
            <w:shd w:val="clear" w:color="auto" w:fill="F7F9FC"/>
            <w:tcMar>
              <w:top w:w="75" w:type="dxa"/>
              <w:left w:w="85" w:type="dxa"/>
              <w:bottom w:w="75" w:type="dxa"/>
              <w:right w:w="85" w:type="dxa"/>
            </w:tcMar>
            <w:vAlign w:val="center"/>
          </w:tcPr>
          <w:p ns2:paraId="45DAACEF">
            <w:pPr>
              <w:spacing w:after="0" w:line="252" w:lineRule="auto"/>
              <w:rPr>
                <w:rFonts w:hint="eastAsia" w:ascii="宋体" w:hAnsi="宋体" w:eastAsia="宋体" w:cs="宋体"/>
              </w:rPr>
            </w:pPr>
            <w:r>
              <w:rPr>
                <w:rFonts w:hint="eastAsia" w:ascii="宋体" w:hAnsi="宋体" w:eastAsia="宋体" w:cs="宋体"/>
                <w:sz w:val="17"/>
              </w:rPr>
              <w:t>TradingAgents、FinCON等</w:t>
            </w:r>
          </w:p>
        </w:tc>
        <w:tc>
          <w:tcPr>
            <w:tcW w:w="2381" w:type="dxa"/>
            <w:shd w:val="clear" w:color="auto" w:fill="F7F9FC"/>
            <w:tcMar>
              <w:top w:w="75" w:type="dxa"/>
              <w:left w:w="85" w:type="dxa"/>
              <w:bottom w:w="75" w:type="dxa"/>
              <w:right w:w="85" w:type="dxa"/>
            </w:tcMar>
            <w:vAlign w:val="center"/>
          </w:tcPr>
          <w:p ns2:paraId="138515C3">
            <w:pPr>
              <w:spacing w:after="0" w:line="252" w:lineRule="auto"/>
              <w:rPr>
                <w:rFonts w:hint="eastAsia" w:ascii="宋体" w:hAnsi="宋体" w:eastAsia="宋体" w:cs="宋体"/>
              </w:rPr>
            </w:pPr>
            <w:r>
              <w:rPr>
                <w:rFonts w:hint="eastAsia" w:ascii="宋体" w:hAnsi="宋体" w:eastAsia="宋体" w:cs="宋体"/>
                <w:sz w:val="17"/>
              </w:rPr>
              <w:t>角色分工、自然语言推理</w:t>
            </w:r>
          </w:p>
        </w:tc>
        <w:tc>
          <w:tcPr>
            <w:tcW w:w="2835" w:type="dxa"/>
            <w:shd w:val="clear" w:color="auto" w:fill="F7F9FC"/>
            <w:tcMar>
              <w:top w:w="75" w:type="dxa"/>
              <w:left w:w="85" w:type="dxa"/>
              <w:bottom w:w="75" w:type="dxa"/>
              <w:right w:w="85" w:type="dxa"/>
            </w:tcMar>
            <w:vAlign w:val="center"/>
          </w:tcPr>
          <w:p ns2:paraId="68034286">
            <w:pPr>
              <w:spacing w:after="0" w:line="252" w:lineRule="auto"/>
              <w:rPr>
                <w:rFonts w:hint="eastAsia" w:ascii="宋体" w:hAnsi="宋体" w:eastAsia="宋体" w:cs="宋体"/>
              </w:rPr>
            </w:pPr>
            <w:r>
              <w:rPr>
                <w:rFonts w:hint="eastAsia" w:ascii="宋体" w:hAnsi="宋体" w:eastAsia="宋体" w:cs="宋体"/>
                <w:sz w:val="17"/>
              </w:rPr>
              <w:t>更聚焦事前动态路由、结构化分歧和成本–多样性目标</w:t>
            </w:r>
          </w:p>
        </w:tc>
      </w:tr>
      <w:tr ns2:paraId="6BCE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75" w:type="dxa"/>
              <w:left w:w="85" w:type="dxa"/>
              <w:bottom w:w="75" w:type="dxa"/>
              <w:right w:w="85" w:type="dxa"/>
            </w:tcMar>
            <w:vAlign w:val="center"/>
          </w:tcPr>
          <w:p ns2:paraId="0A4EBF20">
            <w:pPr>
              <w:spacing w:after="0" w:line="252" w:lineRule="auto"/>
              <w:rPr>
                <w:rFonts w:hint="eastAsia" w:ascii="宋体" w:hAnsi="宋体" w:eastAsia="宋体" w:cs="宋体"/>
              </w:rPr>
            </w:pPr>
            <w:r>
              <w:rPr>
                <w:rFonts w:hint="eastAsia" w:ascii="宋体" w:hAnsi="宋体" w:eastAsia="宋体" w:cs="宋体"/>
                <w:sz w:val="17"/>
              </w:rPr>
              <w:t>多Agent组合研究</w:t>
            </w:r>
          </w:p>
        </w:tc>
        <w:tc>
          <w:tcPr>
            <w:tcW w:w="2438" w:type="dxa"/>
            <w:tcMar>
              <w:top w:w="75" w:type="dxa"/>
              <w:left w:w="85" w:type="dxa"/>
              <w:bottom w:w="75" w:type="dxa"/>
              <w:right w:w="85" w:type="dxa"/>
            </w:tcMar>
            <w:vAlign w:val="center"/>
          </w:tcPr>
          <w:p ns2:paraId="506BE2D3">
            <w:pPr>
              <w:spacing w:after="0" w:line="252" w:lineRule="auto"/>
              <w:rPr>
                <w:rFonts w:hint="eastAsia" w:ascii="宋体" w:hAnsi="宋体" w:eastAsia="宋体" w:cs="宋体"/>
              </w:rPr>
            </w:pPr>
            <w:r>
              <w:rPr>
                <w:rFonts w:hint="eastAsia" w:ascii="宋体" w:hAnsi="宋体" w:eastAsia="宋体" w:cs="宋体"/>
                <w:sz w:val="17"/>
              </w:rPr>
              <w:t>MASS等</w:t>
            </w:r>
          </w:p>
        </w:tc>
        <w:tc>
          <w:tcPr>
            <w:tcW w:w="2381" w:type="dxa"/>
            <w:tcMar>
              <w:top w:w="75" w:type="dxa"/>
              <w:left w:w="85" w:type="dxa"/>
              <w:bottom w:w="75" w:type="dxa"/>
              <w:right w:w="85" w:type="dxa"/>
            </w:tcMar>
            <w:vAlign w:val="center"/>
          </w:tcPr>
          <w:p ns2:paraId="5F53D9ED">
            <w:pPr>
              <w:spacing w:after="0" w:line="252" w:lineRule="auto"/>
              <w:rPr>
                <w:rFonts w:hint="eastAsia" w:ascii="宋体" w:hAnsi="宋体" w:eastAsia="宋体" w:cs="宋体"/>
              </w:rPr>
            </w:pPr>
            <w:r>
              <w:rPr>
                <w:rFonts w:hint="eastAsia" w:ascii="宋体" w:hAnsi="宋体" w:eastAsia="宋体" w:cs="宋体"/>
                <w:sz w:val="17"/>
              </w:rPr>
              <w:t>大规模异构Agent与动态权重提供了重要研究参照</w:t>
            </w:r>
          </w:p>
        </w:tc>
        <w:tc>
          <w:tcPr>
            <w:tcW w:w="2835" w:type="dxa"/>
            <w:tcMar>
              <w:top w:w="75" w:type="dxa"/>
              <w:left w:w="85" w:type="dxa"/>
              <w:bottom w:w="75" w:type="dxa"/>
              <w:right w:w="85" w:type="dxa"/>
            </w:tcMar>
            <w:vAlign w:val="center"/>
          </w:tcPr>
          <w:p ns2:paraId="43B7733B">
            <w:pPr>
              <w:spacing w:after="0" w:line="252" w:lineRule="auto"/>
              <w:rPr>
                <w:rFonts w:hint="eastAsia" w:ascii="宋体" w:hAnsi="宋体" w:eastAsia="宋体" w:cs="宋体"/>
              </w:rPr>
            </w:pPr>
            <w:r>
              <w:rPr>
                <w:rFonts w:hint="eastAsia" w:ascii="宋体" w:hAnsi="宋体" w:eastAsia="宋体" w:cs="宋体"/>
                <w:sz w:val="17"/>
              </w:rPr>
              <w:t>AlphaOrchestra进一步强调事前动态组队、结构化冲突治理与动态计算预算</w:t>
            </w:r>
          </w:p>
        </w:tc>
      </w:tr>
      <w:tr ns2:paraId="1AB0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F7F9FC"/>
            <w:tcMar>
              <w:top w:w="75" w:type="dxa"/>
              <w:left w:w="85" w:type="dxa"/>
              <w:bottom w:w="75" w:type="dxa"/>
              <w:right w:w="85" w:type="dxa"/>
            </w:tcMar>
            <w:vAlign w:val="center"/>
          </w:tcPr>
          <w:p ns2:paraId="71399803">
            <w:pPr>
              <w:spacing w:after="0" w:line="252" w:lineRule="auto"/>
              <w:rPr>
                <w:rFonts w:hint="eastAsia" w:ascii="宋体" w:hAnsi="宋体" w:eastAsia="宋体" w:cs="宋体"/>
              </w:rPr>
            </w:pPr>
            <w:r>
              <w:rPr>
                <w:rFonts w:hint="eastAsia" w:ascii="宋体" w:hAnsi="宋体" w:eastAsia="宋体" w:cs="宋体"/>
                <w:sz w:val="17"/>
              </w:rPr>
              <w:t>机构内部人工流程</w:t>
            </w:r>
          </w:p>
        </w:tc>
        <w:tc>
          <w:tcPr>
            <w:tcW w:w="2438" w:type="dxa"/>
            <w:shd w:val="clear" w:color="auto" w:fill="F7F9FC"/>
            <w:tcMar>
              <w:top w:w="75" w:type="dxa"/>
              <w:left w:w="85" w:type="dxa"/>
              <w:bottom w:w="75" w:type="dxa"/>
              <w:right w:w="85" w:type="dxa"/>
            </w:tcMar>
            <w:vAlign w:val="center"/>
          </w:tcPr>
          <w:p ns2:paraId="32848BAE">
            <w:pPr>
              <w:spacing w:after="0" w:line="252" w:lineRule="auto"/>
              <w:rPr>
                <w:rFonts w:hint="eastAsia" w:ascii="宋体" w:hAnsi="宋体" w:eastAsia="宋体" w:cs="宋体"/>
              </w:rPr>
            </w:pPr>
            <w:r>
              <w:rPr>
                <w:rFonts w:hint="eastAsia" w:ascii="宋体" w:hAnsi="宋体" w:eastAsia="宋体" w:cs="宋体"/>
                <w:sz w:val="17"/>
              </w:rPr>
              <w:t>研究员手工看多个模型/报告</w:t>
            </w:r>
          </w:p>
        </w:tc>
        <w:tc>
          <w:tcPr>
            <w:tcW w:w="2381" w:type="dxa"/>
            <w:shd w:val="clear" w:color="auto" w:fill="F7F9FC"/>
            <w:tcMar>
              <w:top w:w="75" w:type="dxa"/>
              <w:left w:w="85" w:type="dxa"/>
              <w:bottom w:w="75" w:type="dxa"/>
              <w:right w:w="85" w:type="dxa"/>
            </w:tcMar>
            <w:vAlign w:val="center"/>
          </w:tcPr>
          <w:p ns2:paraId="3E7C90D4">
            <w:pPr>
              <w:spacing w:after="0" w:line="252" w:lineRule="auto"/>
              <w:rPr>
                <w:rFonts w:hint="eastAsia" w:ascii="宋体" w:hAnsi="宋体" w:eastAsia="宋体" w:cs="宋体"/>
              </w:rPr>
            </w:pPr>
            <w:r>
              <w:rPr>
                <w:rFonts w:hint="eastAsia" w:ascii="宋体" w:hAnsi="宋体" w:eastAsia="宋体" w:cs="宋体"/>
                <w:sz w:val="17"/>
              </w:rPr>
              <w:t>经验强、可灵活判断</w:t>
            </w:r>
          </w:p>
        </w:tc>
        <w:tc>
          <w:tcPr>
            <w:tcW w:w="2835" w:type="dxa"/>
            <w:shd w:val="clear" w:color="auto" w:fill="F7F9FC"/>
            <w:tcMar>
              <w:top w:w="75" w:type="dxa"/>
              <w:left w:w="85" w:type="dxa"/>
              <w:bottom w:w="75" w:type="dxa"/>
              <w:right w:w="85" w:type="dxa"/>
            </w:tcMar>
            <w:vAlign w:val="center"/>
          </w:tcPr>
          <w:p ns2:paraId="25B1AF22">
            <w:pPr>
              <w:spacing w:after="0" w:line="252" w:lineRule="auto"/>
              <w:rPr>
                <w:rFonts w:hint="eastAsia" w:ascii="宋体" w:hAnsi="宋体" w:eastAsia="宋体" w:cs="宋体"/>
              </w:rPr>
            </w:pPr>
            <w:r>
              <w:rPr>
                <w:rFonts w:hint="eastAsia" w:ascii="宋体" w:hAnsi="宋体" w:eastAsia="宋体" w:cs="宋体"/>
                <w:sz w:val="17"/>
              </w:rPr>
              <w:t>把重复的“找专家—对冲突—做记录”结构化、自动化和可复现</w:t>
            </w:r>
          </w:p>
        </w:tc>
      </w:tr>
    </w:tbl>
    <w:p ns2:paraId="1FCC02B6">
      <w:pPr>
        <w:spacing w:after="20"/>
        <w:rPr>
          <w:rFonts w:hint="eastAsia" w:ascii="宋体" w:hAnsi="宋体" w:eastAsia="宋体" w:cs="宋体"/>
        </w:rPr>
      </w:pPr>
    </w:p>
    <w:p ns2:paraId="399426F8">
      <w:pPr>
        <w:spacing w:after="100" w:line="300" w:lineRule="auto"/>
        <w:ind w:firstLine="420"/>
        <w:rPr>
          <w:rFonts w:hint="eastAsia" w:ascii="宋体" w:hAnsi="宋体" w:eastAsia="宋体" w:cs="宋体"/>
        </w:rPr>
      </w:pPr>
      <w:r>
        <w:rPr>
          <w:rFonts w:hint="eastAsia" w:ascii="宋体" w:hAnsi="宋体" w:eastAsia="宋体" w:cs="宋体"/>
          <w:sz w:val="21"/>
        </w:rPr>
        <w:t>Qlib本身覆盖数据处理、模型训练、回测、风险、组合优化和执行等完整量化链路，并已引入RD-Agent做自动R&amp;D。AlphaOrchestra不应宣称替代Qlib，而应将其视为可连接的Quant Tool Layer；真正差异化的是“跨异构投资Agent的动态选择—冲突诊断—成本治理”。</w:t>
      </w:r>
    </w:p>
    <w:p ns2:paraId="120E9922">
      <w:pPr>
        <w:spacing w:after="100" w:line="300" w:lineRule="auto"/>
        <w:ind w:firstLine="420"/>
        <w:rPr>
          <w:rFonts w:hint="eastAsia" w:ascii="宋体" w:hAnsi="宋体" w:eastAsia="宋体" w:cs="宋体"/>
        </w:rPr>
      </w:pPr>
      <w:r>
        <w:rPr>
          <w:rFonts w:hint="eastAsia" w:ascii="宋体" w:hAnsi="宋体" w:eastAsia="宋体" w:cs="宋体"/>
          <w:sz w:val="21"/>
        </w:rPr>
        <w:t>对最重要的公开参照MASS，竞合边界可以一句话界定：MASS验证了“Agent越多越强”的规模化方向；AlphaOrchestra在此基础上解决规模化之后的经济性与治理问题——同等绩效下压缩Agent/Token调用、让冲突可审计可干预。MASS论文与开源代码将作为本项目消融实验的公开基线，核验结果以可复现方式回馈开源社区。</w:t>
      </w:r>
    </w:p>
    <w:p ns2:paraId="0C26F0DA">
      <w:pPr>
        <w:pStyle w:val="4"/>
        <w:keepNext/>
        <w:spacing w:before="140" w:after="120"/>
        <w:rPr>
          <w:rFonts w:hint="eastAsia" w:ascii="宋体" w:hAnsi="宋体" w:eastAsia="宋体" w:cs="宋体"/>
        </w:rPr>
      </w:pPr>
      <w:r>
        <w:rPr>
          <w:rFonts w:hint="eastAsia" w:ascii="宋体" w:hAnsi="宋体" w:eastAsia="宋体" w:cs="宋体"/>
          <w:b/>
          <w:color w:val="1F4E79"/>
          <w:sz w:val="26"/>
        </w:rPr>
        <w:t>11.2 可形成的五类壁垒</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7257"/>
      </w:tblGrid>
      <w:tr ns2:paraId="75A9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1F4E79"/>
            <w:tcMar>
              <w:top w:w="90" w:type="dxa"/>
              <w:left w:w="90" w:type="dxa"/>
              <w:bottom w:w="90" w:type="dxa"/>
              <w:right w:w="90" w:type="dxa"/>
            </w:tcMar>
            <w:vAlign w:val="center"/>
          </w:tcPr>
          <w:p ns2:paraId="11664A02">
            <w:pPr>
              <w:spacing w:after="0" w:line="240" w:lineRule="auto"/>
              <w:jc w:val="center"/>
              <w:rPr>
                <w:rFonts w:hint="eastAsia" w:ascii="宋体" w:hAnsi="宋体" w:eastAsia="宋体" w:cs="宋体"/>
              </w:rPr>
            </w:pPr>
            <w:r>
              <w:rPr>
                <w:rFonts w:hint="eastAsia" w:ascii="宋体" w:hAnsi="宋体" w:eastAsia="宋体" w:cs="宋体"/>
                <w:b/>
                <w:color w:val="FFFFFF"/>
                <w:sz w:val="18"/>
              </w:rPr>
              <w:t>壁垒</w:t>
            </w:r>
          </w:p>
        </w:tc>
        <w:tc>
          <w:tcPr>
            <w:tcW w:w="7257" w:type="dxa"/>
            <w:shd w:val="clear" w:color="auto" w:fill="1F4E79"/>
            <w:tcMar>
              <w:top w:w="90" w:type="dxa"/>
              <w:left w:w="90" w:type="dxa"/>
              <w:bottom w:w="90" w:type="dxa"/>
              <w:right w:w="90" w:type="dxa"/>
            </w:tcMar>
            <w:vAlign w:val="center"/>
          </w:tcPr>
          <w:p ns2:paraId="38A28F25">
            <w:pPr>
              <w:spacing w:after="0" w:line="240" w:lineRule="auto"/>
              <w:jc w:val="center"/>
              <w:rPr>
                <w:rFonts w:hint="eastAsia" w:ascii="宋体" w:hAnsi="宋体" w:eastAsia="宋体" w:cs="宋体"/>
              </w:rPr>
            </w:pPr>
            <w:r>
              <w:rPr>
                <w:rFonts w:hint="eastAsia" w:ascii="宋体" w:hAnsi="宋体" w:eastAsia="宋体" w:cs="宋体"/>
                <w:b/>
                <w:color w:val="FFFFFF"/>
                <w:sz w:val="18"/>
              </w:rPr>
              <w:t>形成方式</w:t>
            </w:r>
          </w:p>
        </w:tc>
      </w:tr>
      <w:tr ns2:paraId="2AE1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5" w:type="dxa"/>
              <w:left w:w="85" w:type="dxa"/>
              <w:bottom w:w="75" w:type="dxa"/>
              <w:right w:w="85" w:type="dxa"/>
            </w:tcMar>
            <w:vAlign w:val="center"/>
          </w:tcPr>
          <w:p ns2:paraId="11F91AE9">
            <w:pPr>
              <w:spacing w:after="0" w:line="252" w:lineRule="auto"/>
              <w:rPr>
                <w:rFonts w:hint="eastAsia" w:ascii="宋体" w:hAnsi="宋体" w:eastAsia="宋体" w:cs="宋体"/>
              </w:rPr>
            </w:pPr>
            <w:r>
              <w:rPr>
                <w:rFonts w:hint="eastAsia" w:ascii="宋体" w:hAnsi="宋体" w:eastAsia="宋体" w:cs="宋体"/>
                <w:sz w:val="18"/>
              </w:rPr>
              <w:t>数据壁垒</w:t>
            </w:r>
          </w:p>
        </w:tc>
        <w:tc>
          <w:tcPr>
            <w:tcW w:w="7257" w:type="dxa"/>
            <w:tcMar>
              <w:top w:w="75" w:type="dxa"/>
              <w:left w:w="85" w:type="dxa"/>
              <w:bottom w:w="75" w:type="dxa"/>
              <w:right w:w="85" w:type="dxa"/>
            </w:tcMar>
            <w:vAlign w:val="center"/>
          </w:tcPr>
          <w:p ns2:paraId="1B6467C0">
            <w:pPr>
              <w:spacing w:after="0" w:line="252" w:lineRule="auto"/>
              <w:rPr>
                <w:rFonts w:hint="eastAsia" w:ascii="宋体" w:hAnsi="宋体" w:eastAsia="宋体" w:cs="宋体"/>
              </w:rPr>
            </w:pPr>
            <w:r>
              <w:rPr>
                <w:rFonts w:hint="eastAsia" w:ascii="宋体" w:hAnsi="宋体" w:eastAsia="宋体" w:cs="宋体"/>
                <w:sz w:val="18"/>
              </w:rPr>
              <w:t>客户私有数据上的Regime—Agent能力矩阵与冲突历史，不需要外泄原始数据</w:t>
            </w:r>
          </w:p>
        </w:tc>
      </w:tr>
      <w:tr ns2:paraId="2833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7F9FC"/>
            <w:tcMar>
              <w:top w:w="75" w:type="dxa"/>
              <w:left w:w="85" w:type="dxa"/>
              <w:bottom w:w="75" w:type="dxa"/>
              <w:right w:w="85" w:type="dxa"/>
            </w:tcMar>
            <w:vAlign w:val="center"/>
          </w:tcPr>
          <w:p ns2:paraId="3FEBC556">
            <w:pPr>
              <w:spacing w:after="0" w:line="252" w:lineRule="auto"/>
              <w:rPr>
                <w:rFonts w:hint="eastAsia" w:ascii="宋体" w:hAnsi="宋体" w:eastAsia="宋体" w:cs="宋体"/>
              </w:rPr>
            </w:pPr>
            <w:r>
              <w:rPr>
                <w:rFonts w:hint="eastAsia" w:ascii="宋体" w:hAnsi="宋体" w:eastAsia="宋体" w:cs="宋体"/>
                <w:sz w:val="18"/>
              </w:rPr>
              <w:t>经验壁垒</w:t>
            </w:r>
          </w:p>
        </w:tc>
        <w:tc>
          <w:tcPr>
            <w:tcW w:w="7257" w:type="dxa"/>
            <w:shd w:val="clear" w:color="auto" w:fill="F7F9FC"/>
            <w:tcMar>
              <w:top w:w="75" w:type="dxa"/>
              <w:left w:w="85" w:type="dxa"/>
              <w:bottom w:w="75" w:type="dxa"/>
              <w:right w:w="85" w:type="dxa"/>
            </w:tcMar>
            <w:vAlign w:val="center"/>
          </w:tcPr>
          <w:p ns2:paraId="14A52C84">
            <w:pPr>
              <w:spacing w:after="0" w:line="252" w:lineRule="auto"/>
              <w:rPr>
                <w:rFonts w:hint="eastAsia" w:ascii="宋体" w:hAnsi="宋体" w:eastAsia="宋体" w:cs="宋体"/>
              </w:rPr>
            </w:pPr>
            <w:r>
              <w:rPr>
                <w:rFonts w:hint="eastAsia" w:ascii="宋体" w:hAnsi="宋体" w:eastAsia="宋体" w:cs="宋体"/>
                <w:sz w:val="18"/>
              </w:rPr>
              <w:t>Agent Reputation、相似度与Debate outcome构成可持续Memory</w:t>
            </w:r>
          </w:p>
        </w:tc>
      </w:tr>
      <w:tr ns2:paraId="71C7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5" w:type="dxa"/>
              <w:left w:w="85" w:type="dxa"/>
              <w:bottom w:w="75" w:type="dxa"/>
              <w:right w:w="85" w:type="dxa"/>
            </w:tcMar>
            <w:vAlign w:val="center"/>
          </w:tcPr>
          <w:p ns2:paraId="410AF477">
            <w:pPr>
              <w:spacing w:after="0" w:line="252" w:lineRule="auto"/>
              <w:rPr>
                <w:rFonts w:hint="eastAsia" w:ascii="宋体" w:hAnsi="宋体" w:eastAsia="宋体" w:cs="宋体"/>
              </w:rPr>
            </w:pPr>
            <w:r>
              <w:rPr>
                <w:rFonts w:hint="eastAsia" w:ascii="宋体" w:hAnsi="宋体" w:eastAsia="宋体" w:cs="宋体"/>
                <w:sz w:val="18"/>
              </w:rPr>
              <w:t>系统壁垒</w:t>
            </w:r>
          </w:p>
        </w:tc>
        <w:tc>
          <w:tcPr>
            <w:tcW w:w="7257" w:type="dxa"/>
            <w:tcMar>
              <w:top w:w="75" w:type="dxa"/>
              <w:left w:w="85" w:type="dxa"/>
              <w:bottom w:w="75" w:type="dxa"/>
              <w:right w:w="85" w:type="dxa"/>
            </w:tcMar>
            <w:vAlign w:val="center"/>
          </w:tcPr>
          <w:p ns2:paraId="747A8F05">
            <w:pPr>
              <w:spacing w:after="0" w:line="252" w:lineRule="auto"/>
              <w:rPr>
                <w:rFonts w:hint="eastAsia" w:ascii="宋体" w:hAnsi="宋体" w:eastAsia="宋体" w:cs="宋体"/>
              </w:rPr>
            </w:pPr>
            <w:r>
              <w:rPr>
                <w:rFonts w:hint="eastAsia" w:ascii="宋体" w:hAnsi="宋体" w:eastAsia="宋体" w:cs="宋体"/>
                <w:sz w:val="18"/>
              </w:rPr>
              <w:t>Router、Diagnosis、Aggregator与量化Tool API形成完整可治理控制面</w:t>
            </w:r>
          </w:p>
        </w:tc>
      </w:tr>
      <w:tr ns2:paraId="2EDA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7F9FC"/>
            <w:tcMar>
              <w:top w:w="75" w:type="dxa"/>
              <w:left w:w="85" w:type="dxa"/>
              <w:bottom w:w="75" w:type="dxa"/>
              <w:right w:w="85" w:type="dxa"/>
            </w:tcMar>
            <w:vAlign w:val="center"/>
          </w:tcPr>
          <w:p ns2:paraId="47920AB8">
            <w:pPr>
              <w:spacing w:after="0" w:line="252" w:lineRule="auto"/>
              <w:rPr>
                <w:rFonts w:hint="eastAsia" w:ascii="宋体" w:hAnsi="宋体" w:eastAsia="宋体" w:cs="宋体"/>
              </w:rPr>
            </w:pPr>
            <w:r>
              <w:rPr>
                <w:rFonts w:hint="eastAsia" w:ascii="宋体" w:hAnsi="宋体" w:eastAsia="宋体" w:cs="宋体"/>
                <w:sz w:val="18"/>
              </w:rPr>
              <w:t>评估壁垒</w:t>
            </w:r>
          </w:p>
        </w:tc>
        <w:tc>
          <w:tcPr>
            <w:tcW w:w="7257" w:type="dxa"/>
            <w:shd w:val="clear" w:color="auto" w:fill="F7F9FC"/>
            <w:tcMar>
              <w:top w:w="75" w:type="dxa"/>
              <w:left w:w="85" w:type="dxa"/>
              <w:bottom w:w="75" w:type="dxa"/>
              <w:right w:w="85" w:type="dxa"/>
            </w:tcMar>
            <w:vAlign w:val="center"/>
          </w:tcPr>
          <w:p ns2:paraId="560D9557">
            <w:pPr>
              <w:spacing w:after="0" w:line="252" w:lineRule="auto"/>
              <w:rPr>
                <w:rFonts w:hint="eastAsia" w:ascii="宋体" w:hAnsi="宋体" w:eastAsia="宋体" w:cs="宋体"/>
              </w:rPr>
            </w:pPr>
            <w:r>
              <w:rPr>
                <w:rFonts w:hint="eastAsia" w:ascii="宋体" w:hAnsi="宋体" w:eastAsia="宋体" w:cs="宋体"/>
                <w:sz w:val="18"/>
              </w:rPr>
              <w:t>Performance–Cost Frontier、Regime恢复、冲突解决等专有评测体系</w:t>
            </w:r>
          </w:p>
        </w:tc>
      </w:tr>
      <w:tr ns2:paraId="7E1F4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75" w:type="dxa"/>
              <w:left w:w="85" w:type="dxa"/>
              <w:bottom w:w="75" w:type="dxa"/>
              <w:right w:w="85" w:type="dxa"/>
            </w:tcMar>
            <w:vAlign w:val="center"/>
          </w:tcPr>
          <w:p ns2:paraId="351F46DF">
            <w:pPr>
              <w:spacing w:after="0" w:line="252" w:lineRule="auto"/>
              <w:rPr>
                <w:rFonts w:hint="eastAsia" w:ascii="宋体" w:hAnsi="宋体" w:eastAsia="宋体" w:cs="宋体"/>
              </w:rPr>
            </w:pPr>
            <w:r>
              <w:rPr>
                <w:rFonts w:hint="eastAsia" w:ascii="宋体" w:hAnsi="宋体" w:eastAsia="宋体" w:cs="宋体"/>
                <w:sz w:val="18"/>
              </w:rPr>
              <w:t>交付壁垒</w:t>
            </w:r>
          </w:p>
        </w:tc>
        <w:tc>
          <w:tcPr>
            <w:tcW w:w="7257" w:type="dxa"/>
            <w:tcMar>
              <w:top w:w="75" w:type="dxa"/>
              <w:left w:w="85" w:type="dxa"/>
              <w:bottom w:w="75" w:type="dxa"/>
              <w:right w:w="85" w:type="dxa"/>
            </w:tcMar>
            <w:vAlign w:val="center"/>
          </w:tcPr>
          <w:p ns2:paraId="3EA54F6F">
            <w:pPr>
              <w:spacing w:after="0" w:line="252" w:lineRule="auto"/>
              <w:rPr>
                <w:rFonts w:hint="eastAsia" w:ascii="宋体" w:hAnsi="宋体" w:eastAsia="宋体" w:cs="宋体"/>
              </w:rPr>
            </w:pPr>
            <w:r>
              <w:rPr>
                <w:rFonts w:hint="eastAsia" w:ascii="宋体" w:hAnsi="宋体" w:eastAsia="宋体" w:cs="宋体"/>
                <w:sz w:val="18"/>
              </w:rPr>
              <w:t>金融机构私有化、权限、审计、Fallback与Human-in-the-loop工程经验</w:t>
            </w:r>
          </w:p>
        </w:tc>
      </w:tr>
    </w:tbl>
    <w:p ns2:paraId="6E5BE082">
      <w:pPr>
        <w:spacing w:after="20"/>
        <w:rPr>
          <w:rFonts w:hint="eastAsia" w:ascii="宋体" w:hAnsi="宋体" w:eastAsia="宋体" w:cs="宋体"/>
        </w:rPr>
      </w:pPr>
    </w:p>
    <w:p ns2:paraId="31995672">
      <w:pPr>
        <w:pStyle w:val="3"/>
        <w:keepNext/>
        <w:spacing w:before="240" w:after="120"/>
        <w:rPr>
          <w:rFonts w:hint="eastAsia" w:ascii="宋体" w:hAnsi="宋体" w:eastAsia="宋体" w:cs="宋体"/>
        </w:rPr>
      </w:pPr>
      <w:r>
        <w:rPr>
          <w:rFonts w:hint="eastAsia" w:ascii="宋体" w:hAnsi="宋体" w:eastAsia="宋体" w:cs="宋体"/>
          <w:b/>
          <w:color w:val="17365D"/>
          <w:sz w:val="32"/>
        </w:rPr>
        <w:t>12. 商业模式与定价</w:t>
      </w:r>
    </w:p>
    <w:p ns2:paraId="152951B1">
      <w:pPr>
        <w:pStyle w:val="4"/>
        <w:keepNext/>
        <w:spacing w:before="140" w:after="120"/>
        <w:rPr>
          <w:rFonts w:hint="eastAsia" w:ascii="宋体" w:hAnsi="宋体" w:eastAsia="宋体" w:cs="宋体"/>
        </w:rPr>
      </w:pPr>
      <w:r>
        <w:rPr>
          <w:rFonts w:hint="eastAsia" w:ascii="宋体" w:hAnsi="宋体" w:eastAsia="宋体" w:cs="宋体"/>
          <w:b/>
          <w:color w:val="1F4E79"/>
          <w:sz w:val="26"/>
        </w:rPr>
        <w:t>12.1 商业模式</w:t>
      </w:r>
    </w:p>
    <w:p ns2:paraId="10E3B77E">
      <w:pPr>
        <w:spacing w:after="100" w:line="300" w:lineRule="auto"/>
        <w:ind w:firstLine="420"/>
        <w:rPr>
          <w:rFonts w:hint="eastAsia" w:ascii="宋体" w:hAnsi="宋体" w:eastAsia="宋体" w:cs="宋体"/>
        </w:rPr>
      </w:pPr>
      <w:r>
        <w:rPr>
          <w:rFonts w:hint="eastAsia" w:ascii="宋体" w:hAnsi="宋体" w:eastAsia="宋体" w:cs="宋体"/>
          <w:sz w:val="21"/>
        </w:rPr>
        <w:t>项目采取B2B“POC → 私有化订阅/License → 企业级平台/API”的渐进模式。早期不以公开SaaS直接处理客户核心交易数据，而以私有化部署和Shadow Mode降低信任门槛。收入由软件许可、部署与适配服务、增值模块和可选推理资源管理组成。</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665"/>
        <w:gridCol w:w="4706"/>
      </w:tblGrid>
      <w:tr ns2:paraId="27ED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F4E79"/>
            <w:tcMar>
              <w:top w:w="90" w:type="dxa"/>
              <w:left w:w="90" w:type="dxa"/>
              <w:bottom w:w="90" w:type="dxa"/>
              <w:right w:w="90" w:type="dxa"/>
            </w:tcMar>
            <w:vAlign w:val="center"/>
          </w:tcPr>
          <w:p ns2:paraId="7E30F830">
            <w:pPr>
              <w:spacing w:after="0" w:line="240" w:lineRule="auto"/>
              <w:jc w:val="center"/>
              <w:rPr>
                <w:rFonts w:hint="eastAsia" w:ascii="宋体" w:hAnsi="宋体" w:eastAsia="宋体" w:cs="宋体"/>
              </w:rPr>
            </w:pPr>
            <w:r>
              <w:rPr>
                <w:rFonts w:hint="eastAsia" w:ascii="宋体" w:hAnsi="宋体" w:eastAsia="宋体" w:cs="宋体"/>
                <w:b/>
                <w:color w:val="FFFFFF"/>
                <w:sz w:val="17"/>
              </w:rPr>
              <w:t>产品层级</w:t>
            </w:r>
          </w:p>
        </w:tc>
        <w:tc>
          <w:tcPr>
            <w:tcW w:w="2665" w:type="dxa"/>
            <w:shd w:val="clear" w:color="auto" w:fill="1F4E79"/>
            <w:tcMar>
              <w:top w:w="90" w:type="dxa"/>
              <w:left w:w="90" w:type="dxa"/>
              <w:bottom w:w="90" w:type="dxa"/>
              <w:right w:w="90" w:type="dxa"/>
            </w:tcMar>
            <w:vAlign w:val="center"/>
          </w:tcPr>
          <w:p ns2:paraId="25A3F69D">
            <w:pPr>
              <w:spacing w:after="0" w:line="240" w:lineRule="auto"/>
              <w:jc w:val="center"/>
              <w:rPr>
                <w:rFonts w:hint="eastAsia" w:ascii="宋体" w:hAnsi="宋体" w:eastAsia="宋体" w:cs="宋体"/>
              </w:rPr>
            </w:pPr>
            <w:r>
              <w:rPr>
                <w:rFonts w:hint="eastAsia" w:ascii="宋体" w:hAnsi="宋体" w:eastAsia="宋体" w:cs="宋体"/>
                <w:b/>
                <w:color w:val="FFFFFF"/>
                <w:sz w:val="17"/>
              </w:rPr>
              <w:t>建议价格（规划值）</w:t>
            </w:r>
          </w:p>
        </w:tc>
        <w:tc>
          <w:tcPr>
            <w:tcW w:w="4706" w:type="dxa"/>
            <w:shd w:val="clear" w:color="auto" w:fill="1F4E79"/>
            <w:tcMar>
              <w:top w:w="90" w:type="dxa"/>
              <w:left w:w="90" w:type="dxa"/>
              <w:bottom w:w="90" w:type="dxa"/>
              <w:right w:w="90" w:type="dxa"/>
            </w:tcMar>
            <w:vAlign w:val="center"/>
          </w:tcPr>
          <w:p ns2:paraId="6DEC92EE">
            <w:pPr>
              <w:spacing w:after="0" w:line="240" w:lineRule="auto"/>
              <w:jc w:val="center"/>
              <w:rPr>
                <w:rFonts w:hint="eastAsia" w:ascii="宋体" w:hAnsi="宋体" w:eastAsia="宋体" w:cs="宋体"/>
              </w:rPr>
            </w:pPr>
            <w:r>
              <w:rPr>
                <w:rFonts w:hint="eastAsia" w:ascii="宋体" w:hAnsi="宋体" w:eastAsia="宋体" w:cs="宋体"/>
                <w:b/>
                <w:color w:val="FFFFFF"/>
                <w:sz w:val="17"/>
              </w:rPr>
              <w:t>交付内容</w:t>
            </w:r>
          </w:p>
        </w:tc>
      </w:tr>
      <w:tr ns2:paraId="1C5B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018D522A">
            <w:pPr>
              <w:spacing w:after="0" w:line="252" w:lineRule="auto"/>
              <w:rPr>
                <w:rFonts w:hint="eastAsia" w:ascii="宋体" w:hAnsi="宋体" w:eastAsia="宋体" w:cs="宋体"/>
              </w:rPr>
            </w:pPr>
            <w:r>
              <w:rPr>
                <w:rFonts w:hint="eastAsia" w:ascii="宋体" w:hAnsi="宋体" w:eastAsia="宋体" w:cs="宋体"/>
                <w:sz w:val="17"/>
              </w:rPr>
              <w:t>研究POC</w:t>
            </w:r>
          </w:p>
        </w:tc>
        <w:tc>
          <w:tcPr>
            <w:tcW w:w="2665" w:type="dxa"/>
            <w:tcMar>
              <w:top w:w="75" w:type="dxa"/>
              <w:left w:w="85" w:type="dxa"/>
              <w:bottom w:w="75" w:type="dxa"/>
              <w:right w:w="85" w:type="dxa"/>
            </w:tcMar>
            <w:vAlign w:val="center"/>
          </w:tcPr>
          <w:p ns2:paraId="555113B2">
            <w:pPr>
              <w:spacing w:after="0" w:line="252" w:lineRule="auto"/>
              <w:rPr>
                <w:rFonts w:hint="eastAsia" w:ascii="宋体" w:hAnsi="宋体" w:eastAsia="宋体" w:cs="宋体"/>
              </w:rPr>
            </w:pPr>
            <w:r>
              <w:rPr>
                <w:rFonts w:hint="eastAsia" w:ascii="宋体" w:hAnsi="宋体" w:eastAsia="宋体" w:cs="宋体"/>
                <w:sz w:val="17"/>
              </w:rPr>
              <w:t>8–20万元 / 4–8周</w:t>
            </w:r>
          </w:p>
        </w:tc>
        <w:tc>
          <w:tcPr>
            <w:tcW w:w="4706" w:type="dxa"/>
            <w:tcMar>
              <w:top w:w="75" w:type="dxa"/>
              <w:left w:w="85" w:type="dxa"/>
              <w:bottom w:w="75" w:type="dxa"/>
              <w:right w:w="85" w:type="dxa"/>
            </w:tcMar>
            <w:vAlign w:val="center"/>
          </w:tcPr>
          <w:p ns2:paraId="4FC2BEE9">
            <w:pPr>
              <w:spacing w:after="0" w:line="252" w:lineRule="auto"/>
              <w:rPr>
                <w:rFonts w:hint="eastAsia" w:ascii="宋体" w:hAnsi="宋体" w:eastAsia="宋体" w:cs="宋体"/>
              </w:rPr>
            </w:pPr>
            <w:r>
              <w:rPr>
                <w:rFonts w:hint="eastAsia" w:ascii="宋体" w:hAnsi="宋体" w:eastAsia="宋体" w:cs="宋体"/>
                <w:sz w:val="17"/>
              </w:rPr>
              <w:t>1个股票池、1–2个LLM、Router/Diagnosis/Aggregator、对比实验与报告</w:t>
            </w:r>
          </w:p>
        </w:tc>
      </w:tr>
      <w:tr ns2:paraId="7A56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04264680">
            <w:pPr>
              <w:spacing w:after="0" w:line="252" w:lineRule="auto"/>
              <w:rPr>
                <w:rFonts w:hint="eastAsia" w:ascii="宋体" w:hAnsi="宋体" w:eastAsia="宋体" w:cs="宋体"/>
              </w:rPr>
            </w:pPr>
            <w:r>
              <w:rPr>
                <w:rFonts w:hint="eastAsia" w:ascii="宋体" w:hAnsi="宋体" w:eastAsia="宋体" w:cs="宋体"/>
                <w:sz w:val="17"/>
              </w:rPr>
              <w:t>Research Edition</w:t>
            </w:r>
          </w:p>
        </w:tc>
        <w:tc>
          <w:tcPr>
            <w:tcW w:w="2665" w:type="dxa"/>
            <w:shd w:val="clear" w:color="auto" w:fill="F7F9FC"/>
            <w:tcMar>
              <w:top w:w="75" w:type="dxa"/>
              <w:left w:w="85" w:type="dxa"/>
              <w:bottom w:w="75" w:type="dxa"/>
              <w:right w:w="85" w:type="dxa"/>
            </w:tcMar>
            <w:vAlign w:val="center"/>
          </w:tcPr>
          <w:p ns2:paraId="009B5D8C">
            <w:pPr>
              <w:spacing w:after="0" w:line="252" w:lineRule="auto"/>
              <w:rPr>
                <w:rFonts w:hint="eastAsia" w:ascii="宋体" w:hAnsi="宋体" w:eastAsia="宋体" w:cs="宋体"/>
              </w:rPr>
            </w:pPr>
            <w:r>
              <w:rPr>
                <w:rFonts w:hint="eastAsia" w:ascii="宋体" w:hAnsi="宋体" w:eastAsia="宋体" w:cs="宋体"/>
                <w:sz w:val="17"/>
              </w:rPr>
              <w:t>30–80万元/年</w:t>
            </w:r>
          </w:p>
        </w:tc>
        <w:tc>
          <w:tcPr>
            <w:tcW w:w="4706" w:type="dxa"/>
            <w:shd w:val="clear" w:color="auto" w:fill="F7F9FC"/>
            <w:tcMar>
              <w:top w:w="75" w:type="dxa"/>
              <w:left w:w="85" w:type="dxa"/>
              <w:bottom w:w="75" w:type="dxa"/>
              <w:right w:w="85" w:type="dxa"/>
            </w:tcMar>
            <w:vAlign w:val="center"/>
          </w:tcPr>
          <w:p ns2:paraId="462FF1DB">
            <w:pPr>
              <w:spacing w:after="0" w:line="252" w:lineRule="auto"/>
              <w:rPr>
                <w:rFonts w:hint="eastAsia" w:ascii="宋体" w:hAnsi="宋体" w:eastAsia="宋体" w:cs="宋体"/>
              </w:rPr>
            </w:pPr>
            <w:r>
              <w:rPr>
                <w:rFonts w:hint="eastAsia" w:ascii="宋体" w:hAnsi="宋体" w:eastAsia="宋体" w:cs="宋体"/>
                <w:sz w:val="17"/>
              </w:rPr>
              <w:t>私有部署、多个策略/股票池、用户权限、Trace、成本看板、年度升级</w:t>
            </w:r>
          </w:p>
        </w:tc>
      </w:tr>
      <w:tr ns2:paraId="4292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75" w:type="dxa"/>
              <w:left w:w="85" w:type="dxa"/>
              <w:bottom w:w="75" w:type="dxa"/>
              <w:right w:w="85" w:type="dxa"/>
            </w:tcMar>
            <w:vAlign w:val="center"/>
          </w:tcPr>
          <w:p ns2:paraId="0E1884A3">
            <w:pPr>
              <w:spacing w:after="0" w:line="252" w:lineRule="auto"/>
              <w:rPr>
                <w:rFonts w:hint="eastAsia" w:ascii="宋体" w:hAnsi="宋体" w:eastAsia="宋体" w:cs="宋体"/>
              </w:rPr>
            </w:pPr>
            <w:r>
              <w:rPr>
                <w:rFonts w:hint="eastAsia" w:ascii="宋体" w:hAnsi="宋体" w:eastAsia="宋体" w:cs="宋体"/>
                <w:sz w:val="17"/>
              </w:rPr>
              <w:t>Enterprise Edition</w:t>
            </w:r>
          </w:p>
        </w:tc>
        <w:tc>
          <w:tcPr>
            <w:tcW w:w="2665" w:type="dxa"/>
            <w:tcMar>
              <w:top w:w="75" w:type="dxa"/>
              <w:left w:w="85" w:type="dxa"/>
              <w:bottom w:w="75" w:type="dxa"/>
              <w:right w:w="85" w:type="dxa"/>
            </w:tcMar>
            <w:vAlign w:val="center"/>
          </w:tcPr>
          <w:p ns2:paraId="716D210B">
            <w:pPr>
              <w:spacing w:after="0" w:line="252" w:lineRule="auto"/>
              <w:rPr>
                <w:rFonts w:hint="eastAsia" w:ascii="宋体" w:hAnsi="宋体" w:eastAsia="宋体" w:cs="宋体"/>
              </w:rPr>
            </w:pPr>
            <w:r>
              <w:rPr>
                <w:rFonts w:hint="eastAsia" w:ascii="宋体" w:hAnsi="宋体" w:eastAsia="宋体" w:cs="宋体"/>
                <w:sz w:val="17"/>
              </w:rPr>
              <w:t>80–200万元/年起</w:t>
            </w:r>
          </w:p>
        </w:tc>
        <w:tc>
          <w:tcPr>
            <w:tcW w:w="4706" w:type="dxa"/>
            <w:tcMar>
              <w:top w:w="75" w:type="dxa"/>
              <w:left w:w="85" w:type="dxa"/>
              <w:bottom w:w="75" w:type="dxa"/>
              <w:right w:w="85" w:type="dxa"/>
            </w:tcMar>
            <w:vAlign w:val="center"/>
          </w:tcPr>
          <w:p ns2:paraId="6C8B90FA">
            <w:pPr>
              <w:spacing w:after="0" w:line="252" w:lineRule="auto"/>
              <w:rPr>
                <w:rFonts w:hint="eastAsia" w:ascii="宋体" w:hAnsi="宋体" w:eastAsia="宋体" w:cs="宋体"/>
              </w:rPr>
            </w:pPr>
            <w:r>
              <w:rPr>
                <w:rFonts w:hint="eastAsia" w:ascii="宋体" w:hAnsi="宋体" w:eastAsia="宋体" w:cs="宋体"/>
                <w:sz w:val="17"/>
              </w:rPr>
              <w:t>高可用、模型网关、风控/回测系统集成、审计、SLA、定制Agent Registry</w:t>
            </w:r>
          </w:p>
        </w:tc>
      </w:tr>
      <w:tr ns2:paraId="2387B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9FC"/>
            <w:tcMar>
              <w:top w:w="75" w:type="dxa"/>
              <w:left w:w="85" w:type="dxa"/>
              <w:bottom w:w="75" w:type="dxa"/>
              <w:right w:w="85" w:type="dxa"/>
            </w:tcMar>
            <w:vAlign w:val="center"/>
          </w:tcPr>
          <w:p ns2:paraId="34EE9D6E">
            <w:pPr>
              <w:spacing w:after="0" w:line="252" w:lineRule="auto"/>
              <w:rPr>
                <w:rFonts w:hint="eastAsia" w:ascii="宋体" w:hAnsi="宋体" w:eastAsia="宋体" w:cs="宋体"/>
              </w:rPr>
            </w:pPr>
            <w:r>
              <w:rPr>
                <w:rFonts w:hint="eastAsia" w:ascii="宋体" w:hAnsi="宋体" w:eastAsia="宋体" w:cs="宋体"/>
                <w:sz w:val="17"/>
              </w:rPr>
              <w:t>API / Academic</w:t>
            </w:r>
          </w:p>
        </w:tc>
        <w:tc>
          <w:tcPr>
            <w:tcW w:w="2665" w:type="dxa"/>
            <w:shd w:val="clear" w:color="auto" w:fill="F7F9FC"/>
            <w:tcMar>
              <w:top w:w="75" w:type="dxa"/>
              <w:left w:w="85" w:type="dxa"/>
              <w:bottom w:w="75" w:type="dxa"/>
              <w:right w:w="85" w:type="dxa"/>
            </w:tcMar>
            <w:vAlign w:val="center"/>
          </w:tcPr>
          <w:p ns2:paraId="4DAFF905">
            <w:pPr>
              <w:spacing w:after="0" w:line="252" w:lineRule="auto"/>
              <w:rPr>
                <w:rFonts w:hint="eastAsia" w:ascii="宋体" w:hAnsi="宋体" w:eastAsia="宋体" w:cs="宋体"/>
              </w:rPr>
            </w:pPr>
            <w:r>
              <w:rPr>
                <w:rFonts w:hint="eastAsia" w:ascii="宋体" w:hAnsi="宋体" w:eastAsia="宋体" w:cs="宋体"/>
                <w:sz w:val="17"/>
              </w:rPr>
              <w:t>按席位或调用量</w:t>
            </w:r>
          </w:p>
        </w:tc>
        <w:tc>
          <w:tcPr>
            <w:tcW w:w="4706" w:type="dxa"/>
            <w:shd w:val="clear" w:color="auto" w:fill="F7F9FC"/>
            <w:tcMar>
              <w:top w:w="75" w:type="dxa"/>
              <w:left w:w="85" w:type="dxa"/>
              <w:bottom w:w="75" w:type="dxa"/>
              <w:right w:w="85" w:type="dxa"/>
            </w:tcMar>
            <w:vAlign w:val="center"/>
          </w:tcPr>
          <w:p ns2:paraId="291D739D">
            <w:pPr>
              <w:spacing w:after="0" w:line="252" w:lineRule="auto"/>
              <w:rPr>
                <w:rFonts w:hint="eastAsia" w:ascii="宋体" w:hAnsi="宋体" w:eastAsia="宋体" w:cs="宋体"/>
              </w:rPr>
            </w:pPr>
            <w:r>
              <w:rPr>
                <w:rFonts w:hint="eastAsia" w:ascii="宋体" w:hAnsi="宋体" w:eastAsia="宋体" w:cs="宋体"/>
                <w:sz w:val="17"/>
              </w:rPr>
              <w:t>适合平台方、科研机构或非敏感数据场景</w:t>
            </w:r>
          </w:p>
        </w:tc>
      </w:tr>
    </w:tbl>
    <w:p ns2:paraId="6E98F4E0">
      <w:pPr>
        <w:spacing w:after="20"/>
        <w:rPr>
          <w:rFonts w:hint="eastAsia" w:ascii="宋体" w:hAnsi="宋体" w:eastAsia="宋体" w:cs="宋体"/>
        </w:rPr>
      </w:pPr>
    </w:p>
    <w:p ns2:paraId="7F3904AA">
      <w:pPr>
        <w:spacing w:after="100" w:line="300" w:lineRule="auto"/>
        <w:rPr>
          <w:rFonts w:hint="eastAsia" w:ascii="宋体" w:hAnsi="宋体" w:eastAsia="宋体" w:cs="宋体"/>
        </w:rPr>
      </w:pPr>
      <w:r>
        <w:rPr>
          <w:rFonts w:hint="eastAsia" w:ascii="宋体" w:hAnsi="宋体" w:eastAsia="宋体" w:cs="宋体"/>
          <w:color w:val="A61B1B"/>
          <w:sz w:val="18"/>
        </w:rPr>
        <w:t>价格为参赛阶段的建议报价区间，尚未经过真实客户成交验证。提交前最好完成至少5–10次目标客户访谈，把“愿意付多少钱”与“采购流程多久”写成访谈证据。</w:t>
      </w:r>
    </w:p>
    <w:p ns2:paraId="6004AAFF">
      <w:pPr>
        <w:pStyle w:val="4"/>
        <w:keepNext/>
        <w:spacing w:before="140" w:after="120"/>
        <w:rPr>
          <w:rFonts w:hint="eastAsia" w:ascii="宋体" w:hAnsi="宋体" w:eastAsia="宋体" w:cs="宋体"/>
        </w:rPr>
      </w:pPr>
      <w:r>
        <w:rPr>
          <w:rFonts w:hint="eastAsia" w:ascii="宋体" w:hAnsi="宋体" w:eastAsia="宋体" w:cs="宋体"/>
          <w:b/>
          <w:color w:val="1F4E79"/>
          <w:sz w:val="26"/>
        </w:rPr>
        <w:t>12.2 客户ROI的计算方式</w:t>
      </w:r>
    </w:p>
    <w:p ns2:paraId="42BC1044">
      <w:pPr>
        <w:spacing w:after="100" w:line="300" w:lineRule="auto"/>
        <w:ind w:firstLine="420"/>
        <w:rPr>
          <w:rFonts w:hint="eastAsia" w:ascii="宋体" w:hAnsi="宋体" w:eastAsia="宋体" w:cs="宋体"/>
        </w:rPr>
      </w:pPr>
      <w:r>
        <w:rPr>
          <w:rFonts w:hint="eastAsia" w:ascii="宋体" w:hAnsi="宋体" w:eastAsia="宋体" w:cs="宋体"/>
          <w:sz w:val="21"/>
        </w:rPr>
        <w:t>不把ROI写成“增加多少收益”单一维度，而用三条可审计公式：①推理节省 = 基线Agent Calls/Token − 实际Calls/Token；②研究效率 = 单个可接受策略/信号所需的实验轮次与工程小时；③风险收益 = 相同或更低MDD/Turnover条件下的RankIC/Sharpe变化。对于客户而言，只要系统能在接近投资表现的前提下显著降低大模型调用、研究重复与治理成本，就有独立于“收益承诺”的付费理由。</w:t>
      </w:r>
    </w:p>
    <w:p ns2:paraId="4260D87B">
      <w:pPr>
        <w:pStyle w:val="3"/>
        <w:keepNext/>
        <w:spacing w:before="240" w:after="120"/>
        <w:rPr>
          <w:rFonts w:hint="eastAsia" w:ascii="宋体" w:hAnsi="宋体" w:eastAsia="宋体" w:cs="宋体"/>
        </w:rPr>
      </w:pPr>
      <w:r>
        <w:rPr>
          <w:rFonts w:hint="eastAsia" w:ascii="宋体" w:hAnsi="宋体" w:eastAsia="宋体" w:cs="宋体"/>
          <w:b/>
          <w:color w:val="17365D"/>
          <w:sz w:val="32"/>
        </w:rPr>
        <w:t>13. 市场进入与机构落地路径</w:t>
      </w:r>
    </w:p>
    <w:p ns2:paraId="6DAF86AA">
      <w:pPr>
        <w:pStyle w:val="4"/>
        <w:keepNext/>
        <w:spacing w:before="140" w:after="120"/>
        <w:rPr>
          <w:rFonts w:hint="eastAsia" w:ascii="宋体" w:hAnsi="宋体" w:eastAsia="宋体" w:cs="宋体"/>
        </w:rPr>
      </w:pPr>
      <w:r>
        <w:rPr>
          <w:rFonts w:hint="eastAsia" w:ascii="宋体" w:hAnsi="宋体" w:eastAsia="宋体" w:cs="宋体"/>
          <w:b/>
          <w:color w:val="1F4E79"/>
          <w:sz w:val="26"/>
        </w:rPr>
        <w:t>13.1 先从“研究工具”切入，而不是直接申请交易权限</w:t>
      </w:r>
    </w:p>
    <w:p ns2:paraId="05558E29">
      <w:pPr>
        <w:spacing w:after="100" w:line="300" w:lineRule="auto"/>
        <w:ind w:firstLine="420"/>
        <w:rPr>
          <w:rFonts w:hint="eastAsia" w:ascii="宋体" w:hAnsi="宋体" w:eastAsia="宋体" w:cs="宋体"/>
        </w:rPr>
      </w:pPr>
      <w:r>
        <w:rPr>
          <w:rFonts w:hint="eastAsia" w:ascii="宋体" w:hAnsi="宋体" w:eastAsia="宋体" w:cs="宋体"/>
          <w:sz w:val="21"/>
        </w:rPr>
        <w:t>第一阶段聚焦投研部门，提供可复现实验、Agent选择与冲突报告；第二阶段进入Shadow Mode，与现有策略并行运行；第三阶段才讨论把经过审批的Alpha Score送入客户已有Optimizer。这个顺序既降低金融风险，也让销售更容易从“科研POC”进入“生产级预算”。</w:t>
      </w:r>
    </w:p>
    <w:p ns2:paraId="11FD7489">
      <w:pPr>
        <w:pStyle w:val="4"/>
        <w:keepNext/>
        <w:spacing w:before="140" w:after="120"/>
        <w:rPr>
          <w:rFonts w:hint="eastAsia" w:ascii="宋体" w:hAnsi="宋体" w:eastAsia="宋体" w:cs="宋体"/>
        </w:rPr>
      </w:pPr>
      <w:r>
        <w:rPr>
          <w:rFonts w:hint="eastAsia" w:ascii="宋体" w:hAnsi="宋体" w:eastAsia="宋体" w:cs="宋体"/>
          <w:b/>
          <w:color w:val="1F4E79"/>
          <w:sz w:val="26"/>
        </w:rPr>
        <w:t>13.2 获客路径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819"/>
        <w:gridCol w:w="3118"/>
      </w:tblGrid>
      <w:tr ns2:paraId="43DB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701" w:type="dxa"/>
            <w:shd w:val="clear" w:color="auto" w:fill="1F4E79"/>
            <w:tcMar>
              <w:top w:w="90" w:type="dxa"/>
              <w:left w:w="90" w:type="dxa"/>
              <w:bottom w:w="90" w:type="dxa"/>
              <w:right w:w="90" w:type="dxa"/>
            </w:tcMar>
            <w:vAlign w:val="center"/>
          </w:tcPr>
          <w:p ns2:paraId="5B764D65">
            <w:pPr>
              <w:spacing w:after="0" w:line="240" w:lineRule="auto"/>
              <w:jc w:val="center"/>
              <w:rPr>
                <w:rFonts w:hint="eastAsia" w:ascii="宋体" w:hAnsi="宋体" w:eastAsia="宋体" w:cs="宋体"/>
              </w:rPr>
            </w:pPr>
            <w:r>
              <w:rPr>
                <w:rFonts w:hint="eastAsia" w:ascii="宋体" w:hAnsi="宋体" w:eastAsia="宋体" w:cs="宋体"/>
                <w:b/>
                <w:color w:val="FFFFFF"/>
                <w:sz w:val="17"/>
              </w:rPr>
              <w:t>阶段</w:t>
            </w:r>
          </w:p>
        </w:tc>
        <w:tc>
          <w:tcPr>
            <w:tcW w:w="4819" w:type="dxa"/>
            <w:shd w:val="clear" w:color="auto" w:fill="1F4E79"/>
            <w:tcMar>
              <w:top w:w="90" w:type="dxa"/>
              <w:left w:w="90" w:type="dxa"/>
              <w:bottom w:w="90" w:type="dxa"/>
              <w:right w:w="90" w:type="dxa"/>
            </w:tcMar>
            <w:vAlign w:val="center"/>
          </w:tcPr>
          <w:p ns2:paraId="7B4FE27D">
            <w:pPr>
              <w:spacing w:after="0" w:line="240" w:lineRule="auto"/>
              <w:jc w:val="center"/>
              <w:rPr>
                <w:rFonts w:hint="eastAsia" w:ascii="宋体" w:hAnsi="宋体" w:eastAsia="宋体" w:cs="宋体"/>
              </w:rPr>
            </w:pPr>
            <w:r>
              <w:rPr>
                <w:rFonts w:hint="eastAsia" w:ascii="宋体" w:hAnsi="宋体" w:eastAsia="宋体" w:cs="宋体"/>
                <w:b/>
                <w:color w:val="FFFFFF"/>
                <w:sz w:val="17"/>
              </w:rPr>
              <w:t>动作</w:t>
            </w:r>
          </w:p>
        </w:tc>
        <w:tc>
          <w:tcPr>
            <w:tcW w:w="3118" w:type="dxa"/>
            <w:shd w:val="clear" w:color="auto" w:fill="1F4E79"/>
            <w:tcMar>
              <w:top w:w="90" w:type="dxa"/>
              <w:left w:w="90" w:type="dxa"/>
              <w:bottom w:w="90" w:type="dxa"/>
              <w:right w:w="90" w:type="dxa"/>
            </w:tcMar>
            <w:vAlign w:val="center"/>
          </w:tcPr>
          <w:p ns2:paraId="7B561BCC">
            <w:pPr>
              <w:spacing w:after="0" w:line="240" w:lineRule="auto"/>
              <w:jc w:val="center"/>
              <w:rPr>
                <w:rFonts w:hint="eastAsia" w:ascii="宋体" w:hAnsi="宋体" w:eastAsia="宋体" w:cs="宋体"/>
              </w:rPr>
            </w:pPr>
            <w:r>
              <w:rPr>
                <w:rFonts w:hint="eastAsia" w:ascii="宋体" w:hAnsi="宋体" w:eastAsia="宋体" w:cs="宋体"/>
                <w:b/>
                <w:color w:val="FFFFFF"/>
                <w:sz w:val="17"/>
              </w:rPr>
              <w:t>验证指标</w:t>
            </w:r>
          </w:p>
        </w:tc>
      </w:tr>
      <w:tr ns2:paraId="4529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5" w:type="dxa"/>
              <w:left w:w="85" w:type="dxa"/>
              <w:bottom w:w="75" w:type="dxa"/>
              <w:right w:w="85" w:type="dxa"/>
            </w:tcMar>
            <w:vAlign w:val="center"/>
          </w:tcPr>
          <w:p ns2:paraId="65AE0D94">
            <w:pPr>
              <w:spacing w:after="0" w:line="252" w:lineRule="auto"/>
              <w:rPr>
                <w:rFonts w:hint="eastAsia" w:ascii="宋体" w:hAnsi="宋体" w:eastAsia="宋体" w:cs="宋体"/>
              </w:rPr>
            </w:pPr>
            <w:r>
              <w:rPr>
                <w:rFonts w:hint="eastAsia" w:ascii="宋体" w:hAnsi="宋体" w:eastAsia="宋体" w:cs="宋体"/>
                <w:sz w:val="17"/>
              </w:rPr>
              <w:t>0–3个月</w:t>
            </w:r>
          </w:p>
        </w:tc>
        <w:tc>
          <w:tcPr>
            <w:tcW w:w="4819" w:type="dxa"/>
            <w:tcMar>
              <w:top w:w="75" w:type="dxa"/>
              <w:left w:w="85" w:type="dxa"/>
              <w:bottom w:w="75" w:type="dxa"/>
              <w:right w:w="85" w:type="dxa"/>
            </w:tcMar>
            <w:vAlign w:val="center"/>
          </w:tcPr>
          <w:p ns2:paraId="33AC8FD3">
            <w:pPr>
              <w:spacing w:after="0" w:line="252" w:lineRule="auto"/>
              <w:rPr>
                <w:rFonts w:hint="eastAsia" w:ascii="宋体" w:hAnsi="宋体" w:eastAsia="宋体" w:cs="宋体"/>
              </w:rPr>
            </w:pPr>
            <w:r>
              <w:rPr>
                <w:rFonts w:hint="eastAsia" w:ascii="宋体" w:hAnsi="宋体" w:eastAsia="宋体" w:cs="宋体"/>
                <w:sz w:val="17"/>
              </w:rPr>
              <w:t>比赛/论文/开源Demo，访谈量化私募与券商团队</w:t>
            </w:r>
          </w:p>
        </w:tc>
        <w:tc>
          <w:tcPr>
            <w:tcW w:w="3118" w:type="dxa"/>
            <w:tcMar>
              <w:top w:w="75" w:type="dxa"/>
              <w:left w:w="85" w:type="dxa"/>
              <w:bottom w:w="75" w:type="dxa"/>
              <w:right w:w="85" w:type="dxa"/>
            </w:tcMar>
            <w:vAlign w:val="center"/>
          </w:tcPr>
          <w:p ns2:paraId="1CA8792A">
            <w:pPr>
              <w:spacing w:after="0" w:line="252" w:lineRule="auto"/>
              <w:rPr>
                <w:rFonts w:hint="eastAsia" w:ascii="宋体" w:hAnsi="宋体" w:eastAsia="宋体" w:cs="宋体"/>
              </w:rPr>
            </w:pPr>
            <w:r>
              <w:rPr>
                <w:rFonts w:hint="eastAsia" w:ascii="宋体" w:hAnsi="宋体" w:eastAsia="宋体" w:cs="宋体"/>
                <w:sz w:val="17"/>
              </w:rPr>
              <w:t>10–20个访谈、3个明确痛点、2个POC意向</w:t>
            </w:r>
          </w:p>
        </w:tc>
      </w:tr>
      <w:tr ns2:paraId="6BF1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9FC"/>
            <w:tcMar>
              <w:top w:w="75" w:type="dxa"/>
              <w:left w:w="85" w:type="dxa"/>
              <w:bottom w:w="75" w:type="dxa"/>
              <w:right w:w="85" w:type="dxa"/>
            </w:tcMar>
            <w:vAlign w:val="center"/>
          </w:tcPr>
          <w:p ns2:paraId="3742F19C">
            <w:pPr>
              <w:spacing w:after="0" w:line="252" w:lineRule="auto"/>
              <w:rPr>
                <w:rFonts w:hint="eastAsia" w:ascii="宋体" w:hAnsi="宋体" w:eastAsia="宋体" w:cs="宋体"/>
              </w:rPr>
            </w:pPr>
            <w:r>
              <w:rPr>
                <w:rFonts w:hint="eastAsia" w:ascii="宋体" w:hAnsi="宋体" w:eastAsia="宋体" w:cs="宋体"/>
                <w:sz w:val="17"/>
              </w:rPr>
              <w:t>3–6个月</w:t>
            </w:r>
          </w:p>
        </w:tc>
        <w:tc>
          <w:tcPr>
            <w:tcW w:w="4819" w:type="dxa"/>
            <w:shd w:val="clear" w:color="auto" w:fill="F7F9FC"/>
            <w:tcMar>
              <w:top w:w="75" w:type="dxa"/>
              <w:left w:w="85" w:type="dxa"/>
              <w:bottom w:w="75" w:type="dxa"/>
              <w:right w:w="85" w:type="dxa"/>
            </w:tcMar>
            <w:vAlign w:val="center"/>
          </w:tcPr>
          <w:p ns2:paraId="6A1E3146">
            <w:pPr>
              <w:spacing w:after="0" w:line="252" w:lineRule="auto"/>
              <w:rPr>
                <w:rFonts w:hint="eastAsia" w:ascii="宋体" w:hAnsi="宋体" w:eastAsia="宋体" w:cs="宋体"/>
              </w:rPr>
            </w:pPr>
            <w:r>
              <w:rPr>
                <w:rFonts w:hint="eastAsia" w:ascii="宋体" w:hAnsi="宋体" w:eastAsia="宋体" w:cs="宋体"/>
                <w:sz w:val="17"/>
              </w:rPr>
              <w:t>与1–3家机构做脱敏或私有数据POC</w:t>
            </w:r>
          </w:p>
        </w:tc>
        <w:tc>
          <w:tcPr>
            <w:tcW w:w="3118" w:type="dxa"/>
            <w:shd w:val="clear" w:color="auto" w:fill="F7F9FC"/>
            <w:tcMar>
              <w:top w:w="75" w:type="dxa"/>
              <w:left w:w="85" w:type="dxa"/>
              <w:bottom w:w="75" w:type="dxa"/>
              <w:right w:w="85" w:type="dxa"/>
            </w:tcMar>
            <w:vAlign w:val="center"/>
          </w:tcPr>
          <w:p ns2:paraId="290704AC">
            <w:pPr>
              <w:spacing w:after="0" w:line="252" w:lineRule="auto"/>
              <w:rPr>
                <w:rFonts w:hint="eastAsia" w:ascii="宋体" w:hAnsi="宋体" w:eastAsia="宋体" w:cs="宋体"/>
              </w:rPr>
            </w:pPr>
            <w:r>
              <w:rPr>
                <w:rFonts w:hint="eastAsia" w:ascii="宋体" w:hAnsi="宋体" w:eastAsia="宋体" w:cs="宋体"/>
                <w:sz w:val="17"/>
              </w:rPr>
              <w:t>完成基线复现、成本节省、OOS稳定性报告</w:t>
            </w:r>
          </w:p>
        </w:tc>
      </w:tr>
      <w:tr ns2:paraId="2B75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75" w:type="dxa"/>
              <w:left w:w="85" w:type="dxa"/>
              <w:bottom w:w="75" w:type="dxa"/>
              <w:right w:w="85" w:type="dxa"/>
            </w:tcMar>
            <w:vAlign w:val="center"/>
          </w:tcPr>
          <w:p ns2:paraId="7637C4D3">
            <w:pPr>
              <w:spacing w:after="0" w:line="252" w:lineRule="auto"/>
              <w:rPr>
                <w:rFonts w:hint="eastAsia" w:ascii="宋体" w:hAnsi="宋体" w:eastAsia="宋体" w:cs="宋体"/>
              </w:rPr>
            </w:pPr>
            <w:r>
              <w:rPr>
                <w:rFonts w:hint="eastAsia" w:ascii="宋体" w:hAnsi="宋体" w:eastAsia="宋体" w:cs="宋体"/>
                <w:sz w:val="17"/>
              </w:rPr>
              <w:t>6–12个月</w:t>
            </w:r>
          </w:p>
        </w:tc>
        <w:tc>
          <w:tcPr>
            <w:tcW w:w="4819" w:type="dxa"/>
            <w:tcMar>
              <w:top w:w="75" w:type="dxa"/>
              <w:left w:w="85" w:type="dxa"/>
              <w:bottom w:w="75" w:type="dxa"/>
              <w:right w:w="85" w:type="dxa"/>
            </w:tcMar>
            <w:vAlign w:val="center"/>
          </w:tcPr>
          <w:p ns2:paraId="78ED3863">
            <w:pPr>
              <w:spacing w:after="0" w:line="252" w:lineRule="auto"/>
              <w:rPr>
                <w:rFonts w:hint="eastAsia" w:ascii="宋体" w:hAnsi="宋体" w:eastAsia="宋体" w:cs="宋体"/>
              </w:rPr>
            </w:pPr>
            <w:r>
              <w:rPr>
                <w:rFonts w:hint="eastAsia" w:ascii="宋体" w:hAnsi="宋体" w:eastAsia="宋体" w:cs="宋体"/>
                <w:sz w:val="17"/>
              </w:rPr>
              <w:t>推出Research Edition与标准Tool API</w:t>
            </w:r>
          </w:p>
        </w:tc>
        <w:tc>
          <w:tcPr>
            <w:tcW w:w="3118" w:type="dxa"/>
            <w:tcMar>
              <w:top w:w="75" w:type="dxa"/>
              <w:left w:w="85" w:type="dxa"/>
              <w:bottom w:w="75" w:type="dxa"/>
              <w:right w:w="85" w:type="dxa"/>
            </w:tcMar>
            <w:vAlign w:val="center"/>
          </w:tcPr>
          <w:p ns2:paraId="584E2659">
            <w:pPr>
              <w:spacing w:after="0" w:line="252" w:lineRule="auto"/>
              <w:rPr>
                <w:rFonts w:hint="eastAsia" w:ascii="宋体" w:hAnsi="宋体" w:eastAsia="宋体" w:cs="宋体"/>
              </w:rPr>
            </w:pPr>
            <w:r>
              <w:rPr>
                <w:rFonts w:hint="eastAsia" w:ascii="宋体" w:hAnsi="宋体" w:eastAsia="宋体" w:cs="宋体"/>
                <w:sz w:val="17"/>
              </w:rPr>
              <w:t>首批年费客户、交付周期&lt;4周、续费意向</w:t>
            </w:r>
          </w:p>
        </w:tc>
      </w:tr>
      <w:tr ns2:paraId="6824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9FC"/>
            <w:tcMar>
              <w:top w:w="75" w:type="dxa"/>
              <w:left w:w="85" w:type="dxa"/>
              <w:bottom w:w="75" w:type="dxa"/>
              <w:right w:w="85" w:type="dxa"/>
            </w:tcMar>
            <w:vAlign w:val="center"/>
          </w:tcPr>
          <w:p ns2:paraId="332A007C">
            <w:pPr>
              <w:spacing w:after="0" w:line="252" w:lineRule="auto"/>
              <w:rPr>
                <w:rFonts w:hint="eastAsia" w:ascii="宋体" w:hAnsi="宋体" w:eastAsia="宋体" w:cs="宋体"/>
              </w:rPr>
            </w:pPr>
            <w:r>
              <w:rPr>
                <w:rFonts w:hint="eastAsia" w:ascii="宋体" w:hAnsi="宋体" w:eastAsia="宋体" w:cs="宋体"/>
                <w:sz w:val="17"/>
              </w:rPr>
              <w:t>12个月后</w:t>
            </w:r>
          </w:p>
        </w:tc>
        <w:tc>
          <w:tcPr>
            <w:tcW w:w="4819" w:type="dxa"/>
            <w:shd w:val="clear" w:color="auto" w:fill="F7F9FC"/>
            <w:tcMar>
              <w:top w:w="75" w:type="dxa"/>
              <w:left w:w="85" w:type="dxa"/>
              <w:bottom w:w="75" w:type="dxa"/>
              <w:right w:w="85" w:type="dxa"/>
            </w:tcMar>
            <w:vAlign w:val="center"/>
          </w:tcPr>
          <w:p ns2:paraId="7C5566BD">
            <w:pPr>
              <w:spacing w:after="0" w:line="252" w:lineRule="auto"/>
              <w:rPr>
                <w:rFonts w:hint="eastAsia" w:ascii="宋体" w:hAnsi="宋体" w:eastAsia="宋体" w:cs="宋体"/>
              </w:rPr>
            </w:pPr>
            <w:r>
              <w:rPr>
                <w:rFonts w:hint="eastAsia" w:ascii="宋体" w:hAnsi="宋体" w:eastAsia="宋体" w:cs="宋体"/>
                <w:sz w:val="17"/>
              </w:rPr>
              <w:t>扩展证券/公募/资管与多市场</w:t>
            </w:r>
          </w:p>
        </w:tc>
        <w:tc>
          <w:tcPr>
            <w:tcW w:w="3118" w:type="dxa"/>
            <w:shd w:val="clear" w:color="auto" w:fill="F7F9FC"/>
            <w:tcMar>
              <w:top w:w="75" w:type="dxa"/>
              <w:left w:w="85" w:type="dxa"/>
              <w:bottom w:w="75" w:type="dxa"/>
              <w:right w:w="85" w:type="dxa"/>
            </w:tcMar>
            <w:vAlign w:val="center"/>
          </w:tcPr>
          <w:p ns2:paraId="0C78E5B3">
            <w:pPr>
              <w:spacing w:after="0" w:line="252" w:lineRule="auto"/>
              <w:rPr>
                <w:rFonts w:hint="eastAsia" w:ascii="宋体" w:hAnsi="宋体" w:eastAsia="宋体" w:cs="宋体"/>
              </w:rPr>
            </w:pPr>
            <w:r>
              <w:rPr>
                <w:rFonts w:hint="eastAsia" w:ascii="宋体" w:hAnsi="宋体" w:eastAsia="宋体" w:cs="宋体"/>
                <w:sz w:val="17"/>
              </w:rPr>
              <w:t>多模型、多市场、合规审计与渠道合作</w:t>
            </w:r>
          </w:p>
        </w:tc>
      </w:tr>
    </w:tbl>
    <w:p ns2:paraId="29887487">
      <w:pPr>
        <w:spacing w:after="20"/>
        <w:rPr>
          <w:rFonts w:hint="eastAsia" w:ascii="宋体" w:hAnsi="宋体" w:eastAsia="宋体" w:cs="宋体"/>
        </w:rPr>
      </w:pPr>
    </w:p>
    <w:p ns2:paraId="68A069CD">
      <w:pPr>
        <w:pStyle w:val="4"/>
        <w:keepNext/>
        <w:spacing w:before="140" w:after="120"/>
        <w:rPr>
          <w:rFonts w:hint="eastAsia" w:ascii="宋体" w:hAnsi="宋体" w:eastAsia="宋体" w:cs="宋体"/>
        </w:rPr>
      </w:pPr>
      <w:r>
        <w:rPr>
          <w:rFonts w:hint="eastAsia" w:ascii="宋体" w:hAnsi="宋体" w:eastAsia="宋体" w:cs="宋体"/>
          <w:b/>
          <w:color w:val="1F4E79"/>
          <w:sz w:val="26"/>
        </w:rPr>
        <w:t>13.3 合作生态</w:t>
      </w:r>
    </w:p>
    <w:p ns2:paraId="371D6BEA">
      <w:pPr>
        <w:spacing w:after="100" w:line="300" w:lineRule="auto"/>
        <w:ind w:firstLine="420"/>
        <w:rPr>
          <w:rFonts w:hint="eastAsia" w:ascii="宋体" w:hAnsi="宋体" w:eastAsia="宋体" w:cs="宋体"/>
        </w:rPr>
      </w:pPr>
      <w:r>
        <w:rPr>
          <w:rFonts w:hint="eastAsia" w:ascii="宋体" w:hAnsi="宋体" w:eastAsia="宋体" w:cs="宋体"/>
          <w:sz w:val="21"/>
        </w:rPr>
        <w:t>平台不必自建所有能力。数据侧可接Wind/Choice/聚宽/BigQuant/客户自有库；模型侧通过统一LLM Gateway适配Qwen、DeepSeek及客户自部署模型；量化底座可与Qlib或自研Backtester/Optimizer协同；部署侧优先支持客户VPC/本地化。产品竞争力来自“编排与治理层”，而不是锁死某一家模型或数据供应商。</w:t>
      </w:r>
    </w:p>
    <w:p ns2:paraId="0773D393">
      <w:pPr>
        <w:pStyle w:val="3"/>
        <w:keepNext/>
        <w:spacing w:before="240" w:after="120"/>
        <w:rPr>
          <w:rFonts w:hint="eastAsia" w:ascii="宋体" w:hAnsi="宋体" w:eastAsia="宋体" w:cs="宋体"/>
        </w:rPr>
      </w:pPr>
      <w:r>
        <w:rPr>
          <w:rFonts w:hint="eastAsia" w:ascii="宋体" w:hAnsi="宋体" w:eastAsia="宋体" w:cs="宋体"/>
          <w:b/>
          <w:color w:val="17365D"/>
          <w:sz w:val="32"/>
        </w:rPr>
        <w:t>14. 合规、风险治理与知识产权</w:t>
      </w:r>
    </w:p>
    <w:p ns2:paraId="363EE420">
      <w:pPr>
        <w:pStyle w:val="4"/>
        <w:keepNext/>
        <w:spacing w:before="140" w:after="120"/>
        <w:rPr>
          <w:rFonts w:hint="eastAsia" w:ascii="宋体" w:hAnsi="宋体" w:eastAsia="宋体" w:cs="宋体"/>
        </w:rPr>
      </w:pPr>
      <w:r>
        <w:rPr>
          <w:rFonts w:hint="eastAsia" w:ascii="宋体" w:hAnsi="宋体" w:eastAsia="宋体" w:cs="宋体"/>
          <w:b/>
          <w:color w:val="1F4E79"/>
          <w:sz w:val="26"/>
        </w:rPr>
        <w:t>14.1 金融风险边界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803"/>
      </w:tblGrid>
      <w:tr ns2:paraId="4B68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835" w:type="dxa"/>
            <w:shd w:val="clear" w:color="auto" w:fill="1F4E79"/>
            <w:tcMar>
              <w:top w:w="90" w:type="dxa"/>
              <w:left w:w="90" w:type="dxa"/>
              <w:bottom w:w="90" w:type="dxa"/>
              <w:right w:w="90" w:type="dxa"/>
            </w:tcMar>
            <w:vAlign w:val="center"/>
          </w:tcPr>
          <w:p ns2:paraId="36807829">
            <w:pPr>
              <w:spacing w:after="0" w:line="240" w:lineRule="auto"/>
              <w:jc w:val="center"/>
              <w:rPr>
                <w:rFonts w:hint="eastAsia" w:ascii="宋体" w:hAnsi="宋体" w:eastAsia="宋体" w:cs="宋体"/>
              </w:rPr>
            </w:pPr>
            <w:r>
              <w:rPr>
                <w:rFonts w:hint="eastAsia" w:ascii="宋体" w:hAnsi="宋体" w:eastAsia="宋体" w:cs="宋体"/>
                <w:b/>
                <w:color w:val="FFFFFF"/>
                <w:sz w:val="17"/>
              </w:rPr>
              <w:t>风险</w:t>
            </w:r>
          </w:p>
        </w:tc>
        <w:tc>
          <w:tcPr>
            <w:tcW w:w="6803" w:type="dxa"/>
            <w:shd w:val="clear" w:color="auto" w:fill="1F4E79"/>
            <w:tcMar>
              <w:top w:w="90" w:type="dxa"/>
              <w:left w:w="90" w:type="dxa"/>
              <w:bottom w:w="90" w:type="dxa"/>
              <w:right w:w="90" w:type="dxa"/>
            </w:tcMar>
            <w:vAlign w:val="center"/>
          </w:tcPr>
          <w:p ns2:paraId="7705DF12">
            <w:pPr>
              <w:spacing w:after="0" w:line="240" w:lineRule="auto"/>
              <w:jc w:val="center"/>
              <w:rPr>
                <w:rFonts w:hint="eastAsia" w:ascii="宋体" w:hAnsi="宋体" w:eastAsia="宋体" w:cs="宋体"/>
              </w:rPr>
            </w:pPr>
            <w:r>
              <w:rPr>
                <w:rFonts w:hint="eastAsia" w:ascii="宋体" w:hAnsi="宋体" w:eastAsia="宋体" w:cs="宋体"/>
                <w:b/>
                <w:color w:val="FFFFFF"/>
                <w:sz w:val="17"/>
              </w:rPr>
              <w:t>控制措施</w:t>
            </w:r>
          </w:p>
        </w:tc>
      </w:tr>
      <w:tr ns2:paraId="088B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6C8C5E0F">
            <w:pPr>
              <w:spacing w:after="0" w:line="252" w:lineRule="auto"/>
              <w:rPr>
                <w:rFonts w:hint="eastAsia" w:ascii="宋体" w:hAnsi="宋体" w:eastAsia="宋体" w:cs="宋体"/>
              </w:rPr>
            </w:pPr>
            <w:r>
              <w:rPr>
                <w:rFonts w:hint="eastAsia" w:ascii="宋体" w:hAnsi="宋体" w:eastAsia="宋体" w:cs="宋体"/>
                <w:sz w:val="17"/>
              </w:rPr>
              <w:t>未经验证的策略直接交易</w:t>
            </w:r>
          </w:p>
        </w:tc>
        <w:tc>
          <w:tcPr>
            <w:tcW w:w="6803" w:type="dxa"/>
            <w:tcMar>
              <w:top w:w="75" w:type="dxa"/>
              <w:left w:w="85" w:type="dxa"/>
              <w:bottom w:w="75" w:type="dxa"/>
              <w:right w:w="85" w:type="dxa"/>
            </w:tcMar>
            <w:vAlign w:val="center"/>
          </w:tcPr>
          <w:p ns2:paraId="5C9984BA">
            <w:pPr>
              <w:spacing w:after="0" w:line="252" w:lineRule="auto"/>
              <w:rPr>
                <w:rFonts w:hint="eastAsia" w:ascii="宋体" w:hAnsi="宋体" w:eastAsia="宋体" w:cs="宋体"/>
              </w:rPr>
            </w:pPr>
            <w:r>
              <w:rPr>
                <w:rFonts w:hint="eastAsia" w:ascii="宋体" w:hAnsi="宋体" w:eastAsia="宋体" w:cs="宋体"/>
                <w:sz w:val="17"/>
              </w:rPr>
              <w:t>默认Research/Shadow Mode；Agent无直接交易权限；最终通过传统Optimizer与人工/系统审批</w:t>
            </w:r>
          </w:p>
        </w:tc>
      </w:tr>
      <w:tr ns2:paraId="30A1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9FC"/>
            <w:tcMar>
              <w:top w:w="75" w:type="dxa"/>
              <w:left w:w="85" w:type="dxa"/>
              <w:bottom w:w="75" w:type="dxa"/>
              <w:right w:w="85" w:type="dxa"/>
            </w:tcMar>
            <w:vAlign w:val="center"/>
          </w:tcPr>
          <w:p ns2:paraId="0924D4CD">
            <w:pPr>
              <w:spacing w:after="0" w:line="252" w:lineRule="auto"/>
              <w:rPr>
                <w:rFonts w:hint="eastAsia" w:ascii="宋体" w:hAnsi="宋体" w:eastAsia="宋体" w:cs="宋体"/>
              </w:rPr>
            </w:pPr>
            <w:r>
              <w:rPr>
                <w:rFonts w:hint="eastAsia" w:ascii="宋体" w:hAnsi="宋体" w:eastAsia="宋体" w:cs="宋体"/>
                <w:sz w:val="17"/>
              </w:rPr>
              <w:t>市场Regime突变/OOD</w:t>
            </w:r>
          </w:p>
        </w:tc>
        <w:tc>
          <w:tcPr>
            <w:tcW w:w="6803" w:type="dxa"/>
            <w:shd w:val="clear" w:color="auto" w:fill="F7F9FC"/>
            <w:tcMar>
              <w:top w:w="75" w:type="dxa"/>
              <w:left w:w="85" w:type="dxa"/>
              <w:bottom w:w="75" w:type="dxa"/>
              <w:right w:w="85" w:type="dxa"/>
            </w:tcMar>
            <w:vAlign w:val="center"/>
          </w:tcPr>
          <w:p ns2:paraId="3C5BBF92">
            <w:pPr>
              <w:spacing w:after="0" w:line="252" w:lineRule="auto"/>
              <w:rPr>
                <w:rFonts w:hint="eastAsia" w:ascii="宋体" w:hAnsi="宋体" w:eastAsia="宋体" w:cs="宋体"/>
              </w:rPr>
            </w:pPr>
            <w:r>
              <w:rPr>
                <w:rFonts w:hint="eastAsia" w:ascii="宋体" w:hAnsi="宋体" w:eastAsia="宋体" w:cs="宋体"/>
                <w:sz w:val="17"/>
              </w:rPr>
              <w:t>检测异常状态，提高预算或进入保守Fallback；允许Abstain</w:t>
            </w:r>
          </w:p>
        </w:tc>
      </w:tr>
      <w:tr ns2:paraId="596B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041BED54">
            <w:pPr>
              <w:spacing w:after="0" w:line="252" w:lineRule="auto"/>
              <w:rPr>
                <w:rFonts w:hint="eastAsia" w:ascii="宋体" w:hAnsi="宋体" w:eastAsia="宋体" w:cs="宋体"/>
              </w:rPr>
            </w:pPr>
            <w:r>
              <w:rPr>
                <w:rFonts w:hint="eastAsia" w:ascii="宋体" w:hAnsi="宋体" w:eastAsia="宋体" w:cs="宋体"/>
                <w:sz w:val="17"/>
              </w:rPr>
              <w:t>交易成本/流动性失真</w:t>
            </w:r>
          </w:p>
        </w:tc>
        <w:tc>
          <w:tcPr>
            <w:tcW w:w="6803" w:type="dxa"/>
            <w:tcMar>
              <w:top w:w="75" w:type="dxa"/>
              <w:left w:w="85" w:type="dxa"/>
              <w:bottom w:w="75" w:type="dxa"/>
              <w:right w:w="85" w:type="dxa"/>
            </w:tcMar>
            <w:vAlign w:val="center"/>
          </w:tcPr>
          <w:p ns2:paraId="39ADFDAE">
            <w:pPr>
              <w:spacing w:after="0" w:line="252" w:lineRule="auto"/>
              <w:rPr>
                <w:rFonts w:hint="eastAsia" w:ascii="宋体" w:hAnsi="宋体" w:eastAsia="宋体" w:cs="宋体"/>
              </w:rPr>
            </w:pPr>
            <w:r>
              <w:rPr>
                <w:rFonts w:hint="eastAsia" w:ascii="宋体" w:hAnsi="宋体" w:eastAsia="宋体" w:cs="宋体"/>
                <w:sz w:val="17"/>
              </w:rPr>
              <w:t>回测纳入Turnover、transaction cost、涨跌停与可交易性约束</w:t>
            </w:r>
          </w:p>
        </w:tc>
      </w:tr>
      <w:tr ns2:paraId="4F77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9FC"/>
            <w:tcMar>
              <w:top w:w="75" w:type="dxa"/>
              <w:left w:w="85" w:type="dxa"/>
              <w:bottom w:w="75" w:type="dxa"/>
              <w:right w:w="85" w:type="dxa"/>
            </w:tcMar>
            <w:vAlign w:val="center"/>
          </w:tcPr>
          <w:p ns2:paraId="3CB8A604">
            <w:pPr>
              <w:spacing w:after="0" w:line="252" w:lineRule="auto"/>
              <w:rPr>
                <w:rFonts w:hint="eastAsia" w:ascii="宋体" w:hAnsi="宋体" w:eastAsia="宋体" w:cs="宋体"/>
              </w:rPr>
            </w:pPr>
            <w:r>
              <w:rPr>
                <w:rFonts w:hint="eastAsia" w:ascii="宋体" w:hAnsi="宋体" w:eastAsia="宋体" w:cs="宋体"/>
                <w:sz w:val="17"/>
              </w:rPr>
              <w:t>模型幻觉</w:t>
            </w:r>
          </w:p>
        </w:tc>
        <w:tc>
          <w:tcPr>
            <w:tcW w:w="6803" w:type="dxa"/>
            <w:shd w:val="clear" w:color="auto" w:fill="F7F9FC"/>
            <w:tcMar>
              <w:top w:w="75" w:type="dxa"/>
              <w:left w:w="85" w:type="dxa"/>
              <w:bottom w:w="75" w:type="dxa"/>
              <w:right w:w="85" w:type="dxa"/>
            </w:tcMar>
            <w:vAlign w:val="center"/>
          </w:tcPr>
          <w:p ns2:paraId="000DD334">
            <w:pPr>
              <w:spacing w:after="0" w:line="252" w:lineRule="auto"/>
              <w:rPr>
                <w:rFonts w:hint="eastAsia" w:ascii="宋体" w:hAnsi="宋体" w:eastAsia="宋体" w:cs="宋体"/>
              </w:rPr>
            </w:pPr>
            <w:r>
              <w:rPr>
                <w:rFonts w:hint="eastAsia" w:ascii="宋体" w:hAnsi="宋体" w:eastAsia="宋体" w:cs="宋体"/>
                <w:sz w:val="17"/>
              </w:rPr>
              <w:t>统计与风险指标由确定性Tool计算；LLM只能解释和选择动作，不可伪造数值</w:t>
            </w:r>
          </w:p>
        </w:tc>
      </w:tr>
      <w:tr ns2:paraId="598C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75" w:type="dxa"/>
              <w:left w:w="85" w:type="dxa"/>
              <w:bottom w:w="75" w:type="dxa"/>
              <w:right w:w="85" w:type="dxa"/>
            </w:tcMar>
            <w:vAlign w:val="center"/>
          </w:tcPr>
          <w:p ns2:paraId="7D8F9FB1">
            <w:pPr>
              <w:spacing w:after="0" w:line="252" w:lineRule="auto"/>
              <w:rPr>
                <w:rFonts w:hint="eastAsia" w:ascii="宋体" w:hAnsi="宋体" w:eastAsia="宋体" w:cs="宋体"/>
              </w:rPr>
            </w:pPr>
            <w:r>
              <w:rPr>
                <w:rFonts w:hint="eastAsia" w:ascii="宋体" w:hAnsi="宋体" w:eastAsia="宋体" w:cs="宋体"/>
                <w:sz w:val="17"/>
              </w:rPr>
              <w:t>数据泄漏</w:t>
            </w:r>
          </w:p>
        </w:tc>
        <w:tc>
          <w:tcPr>
            <w:tcW w:w="6803" w:type="dxa"/>
            <w:tcMar>
              <w:top w:w="75" w:type="dxa"/>
              <w:left w:w="85" w:type="dxa"/>
              <w:bottom w:w="75" w:type="dxa"/>
              <w:right w:w="85" w:type="dxa"/>
            </w:tcMar>
            <w:vAlign w:val="center"/>
          </w:tcPr>
          <w:p ns2:paraId="1FCBB6B3">
            <w:pPr>
              <w:spacing w:after="0" w:line="252" w:lineRule="auto"/>
              <w:rPr>
                <w:rFonts w:hint="eastAsia" w:ascii="宋体" w:hAnsi="宋体" w:eastAsia="宋体" w:cs="宋体"/>
              </w:rPr>
            </w:pPr>
            <w:r>
              <w:rPr>
                <w:rFonts w:hint="eastAsia" w:ascii="宋体" w:hAnsi="宋体" w:eastAsia="宋体" w:cs="宋体"/>
                <w:sz w:val="17"/>
              </w:rPr>
              <w:t>PIT切分、未来收益延迟写回、版本化数据与严格OOS</w:t>
            </w:r>
          </w:p>
        </w:tc>
      </w:tr>
      <w:tr ns2:paraId="2115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9FC"/>
            <w:tcMar>
              <w:top w:w="75" w:type="dxa"/>
              <w:left w:w="85" w:type="dxa"/>
              <w:bottom w:w="75" w:type="dxa"/>
              <w:right w:w="85" w:type="dxa"/>
            </w:tcMar>
            <w:vAlign w:val="center"/>
          </w:tcPr>
          <w:p ns2:paraId="334E41F8">
            <w:pPr>
              <w:spacing w:after="0" w:line="252" w:lineRule="auto"/>
              <w:rPr>
                <w:rFonts w:hint="eastAsia" w:ascii="宋体" w:hAnsi="宋体" w:eastAsia="宋体" w:cs="宋体"/>
              </w:rPr>
            </w:pPr>
            <w:r>
              <w:rPr>
                <w:rFonts w:hint="eastAsia" w:ascii="宋体" w:hAnsi="宋体" w:eastAsia="宋体" w:cs="宋体"/>
                <w:sz w:val="17"/>
              </w:rPr>
              <w:t>大模型供应商不可用</w:t>
            </w:r>
          </w:p>
        </w:tc>
        <w:tc>
          <w:tcPr>
            <w:tcW w:w="6803" w:type="dxa"/>
            <w:shd w:val="clear" w:color="auto" w:fill="F7F9FC"/>
            <w:tcMar>
              <w:top w:w="75" w:type="dxa"/>
              <w:left w:w="85" w:type="dxa"/>
              <w:bottom w:w="75" w:type="dxa"/>
              <w:right w:w="85" w:type="dxa"/>
            </w:tcMar>
            <w:vAlign w:val="center"/>
          </w:tcPr>
          <w:p ns2:paraId="1DF0E5F8">
            <w:pPr>
              <w:spacing w:after="0" w:line="252" w:lineRule="auto"/>
              <w:rPr>
                <w:rFonts w:hint="eastAsia" w:ascii="宋体" w:hAnsi="宋体" w:eastAsia="宋体" w:cs="宋体"/>
              </w:rPr>
            </w:pPr>
            <w:r>
              <w:rPr>
                <w:rFonts w:hint="eastAsia" w:ascii="宋体" w:hAnsi="宋体" w:eastAsia="宋体" w:cs="宋体"/>
                <w:sz w:val="17"/>
              </w:rPr>
              <w:t>多模型Gateway、超时/预算Fallback、关键流程不依赖单一API</w:t>
            </w:r>
          </w:p>
        </w:tc>
      </w:tr>
    </w:tbl>
    <w:p ns2:paraId="7D97120E">
      <w:pPr>
        <w:spacing w:after="20"/>
        <w:rPr>
          <w:rFonts w:hint="eastAsia" w:ascii="宋体" w:hAnsi="宋体" w:eastAsia="宋体" w:cs="宋体"/>
        </w:rPr>
      </w:pPr>
    </w:p>
    <w:p ns2:paraId="0390C458">
      <w:pPr>
        <w:pStyle w:val="4"/>
        <w:keepNext/>
        <w:spacing w:before="140" w:after="120"/>
        <w:rPr>
          <w:rFonts w:hint="eastAsia" w:ascii="宋体" w:hAnsi="宋体" w:eastAsia="宋体" w:cs="宋体"/>
        </w:rPr>
      </w:pPr>
      <w:r>
        <w:rPr>
          <w:rFonts w:hint="eastAsia" w:ascii="宋体" w:hAnsi="宋体" w:eastAsia="宋体" w:cs="宋体"/>
          <w:b/>
          <w:color w:val="1F4E79"/>
          <w:sz w:val="26"/>
        </w:rPr>
        <w:t>14.2 监管与审计</w:t>
      </w:r>
    </w:p>
    <w:p ns2:paraId="2DF1101C">
      <w:pPr>
        <w:spacing w:after="100" w:line="300" w:lineRule="auto"/>
        <w:ind w:firstLine="420"/>
        <w:rPr>
          <w:rFonts w:hint="eastAsia" w:ascii="宋体" w:hAnsi="宋体" w:eastAsia="宋体" w:cs="宋体"/>
        </w:rPr>
      </w:pPr>
      <w:r>
        <w:rPr>
          <w:rFonts w:hint="eastAsia" w:ascii="宋体" w:hAnsi="宋体" w:eastAsia="宋体" w:cs="宋体"/>
          <w:sz w:val="21"/>
        </w:rPr>
        <w:t>程序化交易监管强调报告、交易监测、风险防控和信息系统管理，因此产品化时应把“权限、审计、Fallback、系统稳定性”作为一等功能，而非Demo后补。所有Agent输入、模型版本、Selection、Tool结果、Debate、最终信号和人工审批均应写入不可变更或可追踪日志；风险阈值由机构配置，LLM不能覆盖硬限制。</w:t>
      </w:r>
    </w:p>
    <w:p ns2:paraId="0EF4E5E5">
      <w:pPr>
        <w:pStyle w:val="4"/>
        <w:keepNext/>
        <w:spacing w:before="140" w:after="120"/>
        <w:rPr>
          <w:rFonts w:hint="eastAsia" w:ascii="宋体" w:hAnsi="宋体" w:eastAsia="宋体" w:cs="宋体"/>
        </w:rPr>
      </w:pPr>
      <w:r>
        <w:rPr>
          <w:rFonts w:hint="eastAsia" w:ascii="宋体" w:hAnsi="宋体" w:eastAsia="宋体" w:cs="宋体"/>
          <w:b/>
          <w:color w:val="1F4E79"/>
          <w:sz w:val="26"/>
        </w:rPr>
        <w:t>14.3 开源与知识产权边界</w:t>
      </w:r>
    </w:p>
    <w:p ns2:paraId="52AF7FC7">
      <w:pPr>
        <w:spacing w:after="100" w:line="300" w:lineRule="auto"/>
        <w:ind w:firstLine="420"/>
        <w:rPr>
          <w:rFonts w:hint="eastAsia" w:ascii="宋体" w:hAnsi="宋体" w:eastAsia="宋体" w:cs="宋体"/>
        </w:rPr>
      </w:pPr>
      <w:r>
        <w:rPr>
          <w:rFonts w:hint="eastAsia" w:ascii="宋体" w:hAnsi="宋体" w:eastAsia="宋体" w:cs="宋体"/>
          <w:sz w:val="21"/>
        </w:rPr>
        <w:t>项目核心架构与新增算法模块由团队自主设计与实现，包括Router、structured disagreement、conditional debate、cost-aware objective、dynamic budget、Evidence Trace及相关评测体系。实验过程中使用的公开论文、数据、模型或开源Benchmark将按其许可证和学术规范保留引用；第三方公开实现用于对比与结果核验，不作为AlphaOrchestra核心产品模块。比赛材料严格区分公开研究结论与团队自有创新、代码和实验结果。</w:t>
      </w:r>
    </w:p>
    <w:tbl>
      <w:tblPr>
        <w:tblStyle w:val="33"/>
        <w:tblW w:w="0" w:type="auto"/>
        <w:jc w:val="center"/>
        <w:tblLayout w:type="autofit"/>
        <w:tblCellMar>
          <w:top w:w="0" w:type="dxa"/>
          <w:left w:w="108" w:type="dxa"/>
          <w:bottom w:w="0" w:type="dxa"/>
          <w:right w:w="108" w:type="dxa"/>
        </w:tblCellMar>
      </w:tblPr>
      <w:tblGrid>
        <w:gridCol w:w="9972"/>
      </w:tblGrid>
      <w:tr ns2:paraId="05BBF34E">
        <w:tblPrEx>
          <w:tblCellMar>
            <w:top w:w="0" w:type="dxa"/>
            <w:left w:w="108" w:type="dxa"/>
            <w:bottom w:w="0" w:type="dxa"/>
            <w:right w:w="108" w:type="dxa"/>
          </w:tblCellMar>
        </w:tblPrEx>
        <w:trPr>
          <w:jc w:val="center"/>
        </w:trPr>
        <w:tc>
          <w:tcPr>
            <w:tcW w:w="9972" w:type="dxa"/>
            <w:shd w:val="clear" w:color="auto" w:fill="FFF3E8"/>
            <w:tcMar>
              <w:top w:w="160" w:type="dxa"/>
              <w:left w:w="180" w:type="dxa"/>
              <w:bottom w:w="160" w:type="dxa"/>
              <w:right w:w="180" w:type="dxa"/>
            </w:tcMar>
          </w:tcPr>
          <w:p ns2:paraId="2E28F24E">
            <w:pPr>
              <w:spacing w:after="60"/>
              <w:rPr>
                <w:rFonts w:hint="eastAsia" w:ascii="宋体" w:hAnsi="宋体" w:eastAsia="宋体" w:cs="宋体"/>
              </w:rPr>
            </w:pPr>
            <w:r>
              <w:rPr>
                <w:rFonts w:hint="eastAsia" w:ascii="宋体" w:hAnsi="宋体" w:eastAsia="宋体" w:cs="宋体"/>
                <w:b/>
                <w:color w:val="C55A11"/>
                <w:sz w:val="21"/>
              </w:rPr>
              <w:t xml:space="preserve">知识产权表达原则  </w:t>
            </w:r>
            <w:r>
              <w:rPr>
                <w:rFonts w:hint="eastAsia" w:ascii="宋体" w:hAnsi="宋体" w:eastAsia="宋体" w:cs="宋体"/>
                <w:color w:val="333333"/>
                <w:sz w:val="20"/>
              </w:rPr>
              <w:t>AlphaOrchestra的核心架构、关键算法模块与产品化控制面由团队自主设计实现；公开论文、数据和Benchmark用于相关研究、对照实验与结果核验，并按许可证和学术规范引用。商业化版本以团队自有代码与接口为核心，第三方公开实现不构成核心产品模块。</w:t>
            </w:r>
          </w:p>
        </w:tc>
      </w:tr>
    </w:tbl>
    <w:p ns2:paraId="78964698">
      <w:pPr>
        <w:pStyle w:val="3"/>
        <w:keepNext/>
        <w:spacing w:before="240" w:after="120"/>
        <w:rPr>
          <w:rFonts w:hint="eastAsia" w:ascii="宋体" w:hAnsi="宋体" w:eastAsia="宋体" w:cs="宋体"/>
        </w:rPr>
      </w:pPr>
      <w:r>
        <w:rPr>
          <w:rFonts w:hint="eastAsia" w:ascii="宋体" w:hAnsi="宋体" w:eastAsia="宋体" w:cs="宋体"/>
          <w:b/>
          <w:color w:val="17365D"/>
          <w:sz w:val="32"/>
        </w:rPr>
        <w:t>1</w:t>
      </w:r>
      <w:r>
        <w:rPr>
          <w:rFonts w:hint="eastAsia" w:ascii="宋体" w:hAnsi="宋体" w:eastAsia="宋体" w:cs="宋体"/>
          <w:b/>
          <w:color w:val="17365D"/>
          <w:sz w:val="32"/>
          <w:lang w:val="en-US" w:eastAsia="zh-CN"/>
        </w:rPr>
        <w:t>5</w:t>
      </w:r>
      <w:r>
        <w:rPr>
          <w:rFonts w:hint="eastAsia" w:ascii="宋体" w:hAnsi="宋体" w:eastAsia="宋体" w:cs="宋体"/>
          <w:b/>
          <w:color w:val="17365D"/>
          <w:sz w:val="32"/>
        </w:rPr>
        <w:t>. 里程碑与研发路线</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417"/>
        <w:gridCol w:w="4082"/>
        <w:gridCol w:w="2665"/>
      </w:tblGrid>
      <w:tr ns2:paraId="39DD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1F4E79"/>
            <w:tcMar>
              <w:top w:w="90" w:type="dxa"/>
              <w:left w:w="90" w:type="dxa"/>
              <w:bottom w:w="90" w:type="dxa"/>
              <w:right w:w="90" w:type="dxa"/>
            </w:tcMar>
            <w:vAlign w:val="center"/>
          </w:tcPr>
          <w:p ns2:paraId="3962AF5D">
            <w:pPr>
              <w:spacing w:after="0" w:line="240" w:lineRule="auto"/>
              <w:jc w:val="center"/>
              <w:rPr>
                <w:rFonts w:hint="eastAsia" w:ascii="宋体" w:hAnsi="宋体" w:eastAsia="宋体" w:cs="宋体"/>
              </w:rPr>
            </w:pPr>
            <w:r>
              <w:rPr>
                <w:rFonts w:hint="eastAsia" w:ascii="宋体" w:hAnsi="宋体" w:eastAsia="宋体" w:cs="宋体"/>
                <w:b/>
                <w:color w:val="FFFFFF"/>
                <w:sz w:val="17"/>
              </w:rPr>
              <w:t>阶段</w:t>
            </w:r>
          </w:p>
        </w:tc>
        <w:tc>
          <w:tcPr>
            <w:tcW w:w="1417" w:type="dxa"/>
            <w:shd w:val="clear" w:color="auto" w:fill="1F4E79"/>
            <w:tcMar>
              <w:top w:w="90" w:type="dxa"/>
              <w:left w:w="90" w:type="dxa"/>
              <w:bottom w:w="90" w:type="dxa"/>
              <w:right w:w="90" w:type="dxa"/>
            </w:tcMar>
            <w:vAlign w:val="center"/>
          </w:tcPr>
          <w:p ns2:paraId="62891B61">
            <w:pPr>
              <w:spacing w:after="0" w:line="240" w:lineRule="auto"/>
              <w:jc w:val="center"/>
              <w:rPr>
                <w:rFonts w:hint="eastAsia" w:ascii="宋体" w:hAnsi="宋体" w:eastAsia="宋体" w:cs="宋体"/>
              </w:rPr>
            </w:pPr>
            <w:r>
              <w:rPr>
                <w:rFonts w:hint="eastAsia" w:ascii="宋体" w:hAnsi="宋体" w:eastAsia="宋体" w:cs="宋体"/>
                <w:b/>
                <w:color w:val="FFFFFF"/>
                <w:sz w:val="17"/>
              </w:rPr>
              <w:t>时间</w:t>
            </w:r>
          </w:p>
        </w:tc>
        <w:tc>
          <w:tcPr>
            <w:tcW w:w="4082" w:type="dxa"/>
            <w:shd w:val="clear" w:color="auto" w:fill="1F4E79"/>
            <w:tcMar>
              <w:top w:w="90" w:type="dxa"/>
              <w:left w:w="90" w:type="dxa"/>
              <w:bottom w:w="90" w:type="dxa"/>
              <w:right w:w="90" w:type="dxa"/>
            </w:tcMar>
            <w:vAlign w:val="center"/>
          </w:tcPr>
          <w:p ns2:paraId="748F2F6C">
            <w:pPr>
              <w:spacing w:after="0" w:line="240" w:lineRule="auto"/>
              <w:jc w:val="center"/>
              <w:rPr>
                <w:rFonts w:hint="eastAsia" w:ascii="宋体" w:hAnsi="宋体" w:eastAsia="宋体" w:cs="宋体"/>
              </w:rPr>
            </w:pPr>
            <w:r>
              <w:rPr>
                <w:rFonts w:hint="eastAsia" w:ascii="宋体" w:hAnsi="宋体" w:eastAsia="宋体" w:cs="宋体"/>
                <w:b/>
                <w:color w:val="FFFFFF"/>
                <w:sz w:val="17"/>
              </w:rPr>
              <w:t>技术交付</w:t>
            </w:r>
          </w:p>
        </w:tc>
        <w:tc>
          <w:tcPr>
            <w:tcW w:w="2665" w:type="dxa"/>
            <w:shd w:val="clear" w:color="auto" w:fill="1F4E79"/>
            <w:tcMar>
              <w:top w:w="90" w:type="dxa"/>
              <w:left w:w="90" w:type="dxa"/>
              <w:bottom w:w="90" w:type="dxa"/>
              <w:right w:w="90" w:type="dxa"/>
            </w:tcMar>
            <w:vAlign w:val="center"/>
          </w:tcPr>
          <w:p ns2:paraId="3A27CDBD">
            <w:pPr>
              <w:spacing w:after="0" w:line="240" w:lineRule="auto"/>
              <w:jc w:val="center"/>
              <w:rPr>
                <w:rFonts w:hint="eastAsia" w:ascii="宋体" w:hAnsi="宋体" w:eastAsia="宋体" w:cs="宋体"/>
              </w:rPr>
            </w:pPr>
            <w:r>
              <w:rPr>
                <w:rFonts w:hint="eastAsia" w:ascii="宋体" w:hAnsi="宋体" w:eastAsia="宋体" w:cs="宋体"/>
                <w:b/>
                <w:color w:val="FFFFFF"/>
                <w:sz w:val="17"/>
              </w:rPr>
              <w:t>商业/比赛交付</w:t>
            </w:r>
          </w:p>
        </w:tc>
      </w:tr>
      <w:tr ns2:paraId="5E59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5" w:type="dxa"/>
              <w:left w:w="85" w:type="dxa"/>
              <w:bottom w:w="75" w:type="dxa"/>
              <w:right w:w="85" w:type="dxa"/>
            </w:tcMar>
            <w:vAlign w:val="center"/>
          </w:tcPr>
          <w:p ns2:paraId="54A3C8E9">
            <w:pPr>
              <w:spacing w:after="0" w:line="252" w:lineRule="auto"/>
              <w:rPr>
                <w:rFonts w:hint="eastAsia" w:ascii="宋体" w:hAnsi="宋体" w:eastAsia="宋体" w:cs="宋体"/>
              </w:rPr>
            </w:pPr>
            <w:r>
              <w:rPr>
                <w:rFonts w:hint="eastAsia" w:ascii="宋体" w:hAnsi="宋体" w:eastAsia="宋体" w:cs="宋体"/>
                <w:sz w:val="17"/>
              </w:rPr>
              <w:t>M0 Benchmark</w:t>
            </w:r>
          </w:p>
        </w:tc>
        <w:tc>
          <w:tcPr>
            <w:tcW w:w="1417" w:type="dxa"/>
            <w:tcMar>
              <w:top w:w="75" w:type="dxa"/>
              <w:left w:w="85" w:type="dxa"/>
              <w:bottom w:w="75" w:type="dxa"/>
              <w:right w:w="85" w:type="dxa"/>
            </w:tcMar>
            <w:vAlign w:val="center"/>
          </w:tcPr>
          <w:p ns2:paraId="2E656374">
            <w:pPr>
              <w:spacing w:after="0" w:line="252" w:lineRule="auto"/>
              <w:rPr>
                <w:rFonts w:hint="eastAsia" w:ascii="宋体" w:hAnsi="宋体" w:eastAsia="宋体" w:cs="宋体"/>
              </w:rPr>
            </w:pPr>
            <w:r>
              <w:rPr>
                <w:rFonts w:hint="eastAsia" w:ascii="宋体" w:hAnsi="宋体" w:eastAsia="宋体" w:cs="宋体"/>
                <w:sz w:val="17"/>
              </w:rPr>
              <w:t>第1–2周</w:t>
            </w:r>
          </w:p>
        </w:tc>
        <w:tc>
          <w:tcPr>
            <w:tcW w:w="4082" w:type="dxa"/>
            <w:tcMar>
              <w:top w:w="75" w:type="dxa"/>
              <w:left w:w="85" w:type="dxa"/>
              <w:bottom w:w="75" w:type="dxa"/>
              <w:right w:w="85" w:type="dxa"/>
            </w:tcMar>
            <w:vAlign w:val="center"/>
          </w:tcPr>
          <w:p ns2:paraId="2E6614D6">
            <w:pPr>
              <w:spacing w:after="0" w:line="252" w:lineRule="auto"/>
              <w:rPr>
                <w:rFonts w:hint="eastAsia" w:ascii="宋体" w:hAnsi="宋体" w:eastAsia="宋体" w:cs="宋体"/>
              </w:rPr>
            </w:pPr>
            <w:r>
              <w:rPr>
                <w:rFonts w:hint="eastAsia" w:ascii="宋体" w:hAnsi="宋体" w:eastAsia="宋体" w:cs="宋体"/>
                <w:sz w:val="17"/>
              </w:rPr>
              <w:t>跑通SSE50公开强基线（含MASS）；固定seed与指标</w:t>
            </w:r>
          </w:p>
        </w:tc>
        <w:tc>
          <w:tcPr>
            <w:tcW w:w="2665" w:type="dxa"/>
            <w:tcMar>
              <w:top w:w="75" w:type="dxa"/>
              <w:left w:w="85" w:type="dxa"/>
              <w:bottom w:w="75" w:type="dxa"/>
              <w:right w:w="85" w:type="dxa"/>
            </w:tcMar>
            <w:vAlign w:val="center"/>
          </w:tcPr>
          <w:p ns2:paraId="558994AA">
            <w:pPr>
              <w:spacing w:after="0" w:line="252" w:lineRule="auto"/>
              <w:rPr>
                <w:rFonts w:hint="eastAsia" w:ascii="宋体" w:hAnsi="宋体" w:eastAsia="宋体" w:cs="宋体"/>
              </w:rPr>
            </w:pPr>
            <w:r>
              <w:rPr>
                <w:rFonts w:hint="eastAsia" w:ascii="宋体" w:hAnsi="宋体" w:eastAsia="宋体" w:cs="宋体"/>
                <w:sz w:val="17"/>
              </w:rPr>
              <w:t>Benchmark复现报告、Demo骨架</w:t>
            </w:r>
          </w:p>
        </w:tc>
      </w:tr>
      <w:tr ns2:paraId="782D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7F9FC"/>
            <w:tcMar>
              <w:top w:w="75" w:type="dxa"/>
              <w:left w:w="85" w:type="dxa"/>
              <w:bottom w:w="75" w:type="dxa"/>
              <w:right w:w="85" w:type="dxa"/>
            </w:tcMar>
            <w:vAlign w:val="center"/>
          </w:tcPr>
          <w:p ns2:paraId="1FC0C182">
            <w:pPr>
              <w:spacing w:after="0" w:line="252" w:lineRule="auto"/>
              <w:rPr>
                <w:rFonts w:hint="eastAsia" w:ascii="宋体" w:hAnsi="宋体" w:eastAsia="宋体" w:cs="宋体"/>
              </w:rPr>
            </w:pPr>
            <w:r>
              <w:rPr>
                <w:rFonts w:hint="eastAsia" w:ascii="宋体" w:hAnsi="宋体" w:eastAsia="宋体" w:cs="宋体"/>
                <w:sz w:val="17"/>
              </w:rPr>
              <w:t>M1 Routing</w:t>
            </w:r>
          </w:p>
        </w:tc>
        <w:tc>
          <w:tcPr>
            <w:tcW w:w="1417" w:type="dxa"/>
            <w:shd w:val="clear" w:color="auto" w:fill="F7F9FC"/>
            <w:tcMar>
              <w:top w:w="75" w:type="dxa"/>
              <w:left w:w="85" w:type="dxa"/>
              <w:bottom w:w="75" w:type="dxa"/>
              <w:right w:w="85" w:type="dxa"/>
            </w:tcMar>
            <w:vAlign w:val="center"/>
          </w:tcPr>
          <w:p ns2:paraId="022F66E0">
            <w:pPr>
              <w:spacing w:after="0" w:line="252" w:lineRule="auto"/>
              <w:rPr>
                <w:rFonts w:hint="eastAsia" w:ascii="宋体" w:hAnsi="宋体" w:eastAsia="宋体" w:cs="宋体"/>
              </w:rPr>
            </w:pPr>
            <w:r>
              <w:rPr>
                <w:rFonts w:hint="eastAsia" w:ascii="宋体" w:hAnsi="宋体" w:eastAsia="宋体" w:cs="宋体"/>
                <w:sz w:val="17"/>
              </w:rPr>
              <w:t>第3–4周</w:t>
            </w:r>
          </w:p>
        </w:tc>
        <w:tc>
          <w:tcPr>
            <w:tcW w:w="4082" w:type="dxa"/>
            <w:shd w:val="clear" w:color="auto" w:fill="F7F9FC"/>
            <w:tcMar>
              <w:top w:w="75" w:type="dxa"/>
              <w:left w:w="85" w:type="dxa"/>
              <w:bottom w:w="75" w:type="dxa"/>
              <w:right w:w="85" w:type="dxa"/>
            </w:tcMar>
            <w:vAlign w:val="center"/>
          </w:tcPr>
          <w:p ns2:paraId="3C848EBF">
            <w:pPr>
              <w:spacing w:after="0" w:line="252" w:lineRule="auto"/>
              <w:rPr>
                <w:rFonts w:hint="eastAsia" w:ascii="宋体" w:hAnsi="宋体" w:eastAsia="宋体" w:cs="宋体"/>
              </w:rPr>
            </w:pPr>
            <w:r>
              <w:rPr>
                <w:rFonts w:hint="eastAsia" w:ascii="宋体" w:hAnsi="宋体" w:eastAsia="宋体" w:cs="宋体"/>
                <w:sz w:val="17"/>
              </w:rPr>
              <w:t>Market State + Router + Cost Tracker</w:t>
            </w:r>
          </w:p>
        </w:tc>
        <w:tc>
          <w:tcPr>
            <w:tcW w:w="2665" w:type="dxa"/>
            <w:shd w:val="clear" w:color="auto" w:fill="F7F9FC"/>
            <w:tcMar>
              <w:top w:w="75" w:type="dxa"/>
              <w:left w:w="85" w:type="dxa"/>
              <w:bottom w:w="75" w:type="dxa"/>
              <w:right w:w="85" w:type="dxa"/>
            </w:tcMar>
            <w:vAlign w:val="center"/>
          </w:tcPr>
          <w:p ns2:paraId="0E683B58">
            <w:pPr>
              <w:spacing w:after="0" w:line="252" w:lineRule="auto"/>
              <w:rPr>
                <w:rFonts w:hint="eastAsia" w:ascii="宋体" w:hAnsi="宋体" w:eastAsia="宋体" w:cs="宋体"/>
              </w:rPr>
            </w:pPr>
            <w:r>
              <w:rPr>
                <w:rFonts w:hint="eastAsia" w:ascii="宋体" w:hAnsi="宋体" w:eastAsia="宋体" w:cs="宋体"/>
                <w:sz w:val="17"/>
              </w:rPr>
              <w:t>Innovation 1消融、调用节省</w:t>
            </w:r>
          </w:p>
        </w:tc>
      </w:tr>
      <w:tr ns2:paraId="5A5E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5" w:type="dxa"/>
              <w:left w:w="85" w:type="dxa"/>
              <w:bottom w:w="75" w:type="dxa"/>
              <w:right w:w="85" w:type="dxa"/>
            </w:tcMar>
            <w:vAlign w:val="center"/>
          </w:tcPr>
          <w:p ns2:paraId="362F3445">
            <w:pPr>
              <w:spacing w:after="0" w:line="252" w:lineRule="auto"/>
              <w:rPr>
                <w:rFonts w:hint="eastAsia" w:ascii="宋体" w:hAnsi="宋体" w:eastAsia="宋体" w:cs="宋体"/>
              </w:rPr>
            </w:pPr>
            <w:r>
              <w:rPr>
                <w:rFonts w:hint="eastAsia" w:ascii="宋体" w:hAnsi="宋体" w:eastAsia="宋体" w:cs="宋体"/>
                <w:sz w:val="17"/>
              </w:rPr>
              <w:t>M2 Diagnosis</w:t>
            </w:r>
          </w:p>
        </w:tc>
        <w:tc>
          <w:tcPr>
            <w:tcW w:w="1417" w:type="dxa"/>
            <w:tcMar>
              <w:top w:w="75" w:type="dxa"/>
              <w:left w:w="85" w:type="dxa"/>
              <w:bottom w:w="75" w:type="dxa"/>
              <w:right w:w="85" w:type="dxa"/>
            </w:tcMar>
            <w:vAlign w:val="center"/>
          </w:tcPr>
          <w:p ns2:paraId="28FDC6AD">
            <w:pPr>
              <w:spacing w:after="0" w:line="252" w:lineRule="auto"/>
              <w:rPr>
                <w:rFonts w:hint="eastAsia" w:ascii="宋体" w:hAnsi="宋体" w:eastAsia="宋体" w:cs="宋体"/>
              </w:rPr>
            </w:pPr>
            <w:r>
              <w:rPr>
                <w:rFonts w:hint="eastAsia" w:ascii="宋体" w:hAnsi="宋体" w:eastAsia="宋体" w:cs="宋体"/>
                <w:sz w:val="17"/>
              </w:rPr>
              <w:t>第5–6周</w:t>
            </w:r>
          </w:p>
        </w:tc>
        <w:tc>
          <w:tcPr>
            <w:tcW w:w="4082" w:type="dxa"/>
            <w:tcMar>
              <w:top w:w="75" w:type="dxa"/>
              <w:left w:w="85" w:type="dxa"/>
              <w:bottom w:w="75" w:type="dxa"/>
              <w:right w:w="85" w:type="dxa"/>
            </w:tcMar>
            <w:vAlign w:val="center"/>
          </w:tcPr>
          <w:p ns2:paraId="1AB272A3">
            <w:pPr>
              <w:spacing w:after="0" w:line="252" w:lineRule="auto"/>
              <w:rPr>
                <w:rFonts w:hint="eastAsia" w:ascii="宋体" w:hAnsi="宋体" w:eastAsia="宋体" w:cs="宋体"/>
              </w:rPr>
            </w:pPr>
            <w:r>
              <w:rPr>
                <w:rFonts w:hint="eastAsia" w:ascii="宋体" w:hAnsi="宋体" w:eastAsia="宋体" w:cs="宋体"/>
                <w:sz w:val="17"/>
              </w:rPr>
              <w:t>Structured Output + Diagnosis + Targeted Debate/Abstain</w:t>
            </w:r>
          </w:p>
        </w:tc>
        <w:tc>
          <w:tcPr>
            <w:tcW w:w="2665" w:type="dxa"/>
            <w:tcMar>
              <w:top w:w="75" w:type="dxa"/>
              <w:left w:w="85" w:type="dxa"/>
              <w:bottom w:w="75" w:type="dxa"/>
              <w:right w:w="85" w:type="dxa"/>
            </w:tcMar>
            <w:vAlign w:val="center"/>
          </w:tcPr>
          <w:p ns2:paraId="3C47AEEE">
            <w:pPr>
              <w:spacing w:after="0" w:line="252" w:lineRule="auto"/>
              <w:rPr>
                <w:rFonts w:hint="eastAsia" w:ascii="宋体" w:hAnsi="宋体" w:eastAsia="宋体" w:cs="宋体"/>
              </w:rPr>
            </w:pPr>
            <w:r>
              <w:rPr>
                <w:rFonts w:hint="eastAsia" w:ascii="宋体" w:hAnsi="宋体" w:eastAsia="宋体" w:cs="宋体"/>
                <w:sz w:val="17"/>
              </w:rPr>
              <w:t>冲突案例、可解释Trace</w:t>
            </w:r>
          </w:p>
        </w:tc>
      </w:tr>
      <w:tr ns2:paraId="4F3F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7F9FC"/>
            <w:tcMar>
              <w:top w:w="75" w:type="dxa"/>
              <w:left w:w="85" w:type="dxa"/>
              <w:bottom w:w="75" w:type="dxa"/>
              <w:right w:w="85" w:type="dxa"/>
            </w:tcMar>
            <w:vAlign w:val="center"/>
          </w:tcPr>
          <w:p ns2:paraId="1B05A1C0">
            <w:pPr>
              <w:spacing w:after="0" w:line="252" w:lineRule="auto"/>
              <w:rPr>
                <w:rFonts w:hint="eastAsia" w:ascii="宋体" w:hAnsi="宋体" w:eastAsia="宋体" w:cs="宋体"/>
              </w:rPr>
            </w:pPr>
            <w:r>
              <w:rPr>
                <w:rFonts w:hint="eastAsia" w:ascii="宋体" w:hAnsi="宋体" w:eastAsia="宋体" w:cs="宋体"/>
                <w:sz w:val="17"/>
              </w:rPr>
              <w:t>M3 Aggregation</w:t>
            </w:r>
          </w:p>
        </w:tc>
        <w:tc>
          <w:tcPr>
            <w:tcW w:w="1417" w:type="dxa"/>
            <w:shd w:val="clear" w:color="auto" w:fill="F7F9FC"/>
            <w:tcMar>
              <w:top w:w="75" w:type="dxa"/>
              <w:left w:w="85" w:type="dxa"/>
              <w:bottom w:w="75" w:type="dxa"/>
              <w:right w:w="85" w:type="dxa"/>
            </w:tcMar>
            <w:vAlign w:val="center"/>
          </w:tcPr>
          <w:p ns2:paraId="79CF5056">
            <w:pPr>
              <w:spacing w:after="0" w:line="252" w:lineRule="auto"/>
              <w:rPr>
                <w:rFonts w:hint="eastAsia" w:ascii="宋体" w:hAnsi="宋体" w:eastAsia="宋体" w:cs="宋体"/>
              </w:rPr>
            </w:pPr>
            <w:r>
              <w:rPr>
                <w:rFonts w:hint="eastAsia" w:ascii="宋体" w:hAnsi="宋体" w:eastAsia="宋体" w:cs="宋体"/>
                <w:sz w:val="17"/>
              </w:rPr>
              <w:t>第7–8周</w:t>
            </w:r>
          </w:p>
        </w:tc>
        <w:tc>
          <w:tcPr>
            <w:tcW w:w="4082" w:type="dxa"/>
            <w:shd w:val="clear" w:color="auto" w:fill="F7F9FC"/>
            <w:tcMar>
              <w:top w:w="75" w:type="dxa"/>
              <w:left w:w="85" w:type="dxa"/>
              <w:bottom w:w="75" w:type="dxa"/>
              <w:right w:w="85" w:type="dxa"/>
            </w:tcMar>
            <w:vAlign w:val="center"/>
          </w:tcPr>
          <w:p ns2:paraId="15BA190B">
            <w:pPr>
              <w:spacing w:after="0" w:line="252" w:lineRule="auto"/>
              <w:rPr>
                <w:rFonts w:hint="eastAsia" w:ascii="宋体" w:hAnsi="宋体" w:eastAsia="宋体" w:cs="宋体"/>
              </w:rPr>
            </w:pPr>
            <w:r>
              <w:rPr>
                <w:rFonts w:hint="eastAsia" w:ascii="宋体" w:hAnsi="宋体" w:eastAsia="宋体" w:cs="宋体"/>
                <w:sz w:val="17"/>
              </w:rPr>
              <w:t>Adaptive Aggregator + Reputation Memory</w:t>
            </w:r>
          </w:p>
        </w:tc>
        <w:tc>
          <w:tcPr>
            <w:tcW w:w="2665" w:type="dxa"/>
            <w:shd w:val="clear" w:color="auto" w:fill="F7F9FC"/>
            <w:tcMar>
              <w:top w:w="75" w:type="dxa"/>
              <w:left w:w="85" w:type="dxa"/>
              <w:bottom w:w="75" w:type="dxa"/>
              <w:right w:w="85" w:type="dxa"/>
            </w:tcMar>
            <w:vAlign w:val="center"/>
          </w:tcPr>
          <w:p ns2:paraId="6FB177A3">
            <w:pPr>
              <w:spacing w:after="0" w:line="252" w:lineRule="auto"/>
              <w:rPr>
                <w:rFonts w:hint="eastAsia" w:ascii="宋体" w:hAnsi="宋体" w:eastAsia="宋体" w:cs="宋体"/>
              </w:rPr>
            </w:pPr>
            <w:r>
              <w:rPr>
                <w:rFonts w:hint="eastAsia" w:ascii="宋体" w:hAnsi="宋体" w:eastAsia="宋体" w:cs="宋体"/>
                <w:sz w:val="17"/>
              </w:rPr>
              <w:t>三项创新全系统对比</w:t>
            </w:r>
          </w:p>
        </w:tc>
      </w:tr>
      <w:tr ns2:paraId="4DAF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5" w:type="dxa"/>
              <w:left w:w="85" w:type="dxa"/>
              <w:bottom w:w="75" w:type="dxa"/>
              <w:right w:w="85" w:type="dxa"/>
            </w:tcMar>
            <w:vAlign w:val="center"/>
          </w:tcPr>
          <w:p ns2:paraId="5C788EA7">
            <w:pPr>
              <w:spacing w:after="0" w:line="252" w:lineRule="auto"/>
              <w:rPr>
                <w:rFonts w:hint="eastAsia" w:ascii="宋体" w:hAnsi="宋体" w:eastAsia="宋体" w:cs="宋体"/>
              </w:rPr>
            </w:pPr>
            <w:r>
              <w:rPr>
                <w:rFonts w:hint="eastAsia" w:ascii="宋体" w:hAnsi="宋体" w:eastAsia="宋体" w:cs="宋体"/>
                <w:sz w:val="17"/>
              </w:rPr>
              <w:t>M4 Robustness</w:t>
            </w:r>
          </w:p>
        </w:tc>
        <w:tc>
          <w:tcPr>
            <w:tcW w:w="1417" w:type="dxa"/>
            <w:tcMar>
              <w:top w:w="75" w:type="dxa"/>
              <w:left w:w="85" w:type="dxa"/>
              <w:bottom w:w="75" w:type="dxa"/>
              <w:right w:w="85" w:type="dxa"/>
            </w:tcMar>
            <w:vAlign w:val="center"/>
          </w:tcPr>
          <w:p ns2:paraId="6D401FE2">
            <w:pPr>
              <w:spacing w:after="0" w:line="252" w:lineRule="auto"/>
              <w:rPr>
                <w:rFonts w:hint="eastAsia" w:ascii="宋体" w:hAnsi="宋体" w:eastAsia="宋体" w:cs="宋体"/>
              </w:rPr>
            </w:pPr>
            <w:r>
              <w:rPr>
                <w:rFonts w:hint="eastAsia" w:ascii="宋体" w:hAnsi="宋体" w:eastAsia="宋体" w:cs="宋体"/>
                <w:sz w:val="17"/>
              </w:rPr>
              <w:t>第9–10周</w:t>
            </w:r>
          </w:p>
        </w:tc>
        <w:tc>
          <w:tcPr>
            <w:tcW w:w="4082" w:type="dxa"/>
            <w:tcMar>
              <w:top w:w="75" w:type="dxa"/>
              <w:left w:w="85" w:type="dxa"/>
              <w:bottom w:w="75" w:type="dxa"/>
              <w:right w:w="85" w:type="dxa"/>
            </w:tcMar>
            <w:vAlign w:val="center"/>
          </w:tcPr>
          <w:p ns2:paraId="4351E62F">
            <w:pPr>
              <w:spacing w:after="0" w:line="252" w:lineRule="auto"/>
              <w:rPr>
                <w:rFonts w:hint="eastAsia" w:ascii="宋体" w:hAnsi="宋体" w:eastAsia="宋体" w:cs="宋体"/>
              </w:rPr>
            </w:pPr>
            <w:r>
              <w:rPr>
                <w:rFonts w:hint="eastAsia" w:ascii="宋体" w:hAnsi="宋体" w:eastAsia="宋体" w:cs="宋体"/>
                <w:sz w:val="17"/>
              </w:rPr>
              <w:t>Regime/OOS/预算/LLM敏感性测试</w:t>
            </w:r>
          </w:p>
        </w:tc>
        <w:tc>
          <w:tcPr>
            <w:tcW w:w="2665" w:type="dxa"/>
            <w:tcMar>
              <w:top w:w="75" w:type="dxa"/>
              <w:left w:w="85" w:type="dxa"/>
              <w:bottom w:w="75" w:type="dxa"/>
              <w:right w:w="85" w:type="dxa"/>
            </w:tcMar>
            <w:vAlign w:val="center"/>
          </w:tcPr>
          <w:p ns2:paraId="41B46E53">
            <w:pPr>
              <w:spacing w:after="0" w:line="252" w:lineRule="auto"/>
              <w:rPr>
                <w:rFonts w:hint="eastAsia" w:ascii="宋体" w:hAnsi="宋体" w:eastAsia="宋体" w:cs="宋体"/>
              </w:rPr>
            </w:pPr>
            <w:r>
              <w:rPr>
                <w:rFonts w:hint="eastAsia" w:ascii="宋体" w:hAnsi="宋体" w:eastAsia="宋体" w:cs="宋体"/>
                <w:sz w:val="17"/>
              </w:rPr>
              <w:t>Performance–Cost Frontier</w:t>
            </w:r>
          </w:p>
        </w:tc>
      </w:tr>
      <w:tr ns2:paraId="7AF9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7F9FC"/>
            <w:tcMar>
              <w:top w:w="75" w:type="dxa"/>
              <w:left w:w="85" w:type="dxa"/>
              <w:bottom w:w="75" w:type="dxa"/>
              <w:right w:w="85" w:type="dxa"/>
            </w:tcMar>
            <w:vAlign w:val="center"/>
          </w:tcPr>
          <w:p ns2:paraId="5C13C2BD">
            <w:pPr>
              <w:spacing w:after="0" w:line="252" w:lineRule="auto"/>
              <w:rPr>
                <w:rFonts w:hint="eastAsia" w:ascii="宋体" w:hAnsi="宋体" w:eastAsia="宋体" w:cs="宋体"/>
              </w:rPr>
            </w:pPr>
            <w:r>
              <w:rPr>
                <w:rFonts w:hint="eastAsia" w:ascii="宋体" w:hAnsi="宋体" w:eastAsia="宋体" w:cs="宋体"/>
                <w:sz w:val="17"/>
              </w:rPr>
              <w:t>M5 Product</w:t>
            </w:r>
          </w:p>
        </w:tc>
        <w:tc>
          <w:tcPr>
            <w:tcW w:w="1417" w:type="dxa"/>
            <w:shd w:val="clear" w:color="auto" w:fill="F7F9FC"/>
            <w:tcMar>
              <w:top w:w="75" w:type="dxa"/>
              <w:left w:w="85" w:type="dxa"/>
              <w:bottom w:w="75" w:type="dxa"/>
              <w:right w:w="85" w:type="dxa"/>
            </w:tcMar>
            <w:vAlign w:val="center"/>
          </w:tcPr>
          <w:p ns2:paraId="480ABB5E">
            <w:pPr>
              <w:spacing w:after="0" w:line="252" w:lineRule="auto"/>
              <w:rPr>
                <w:rFonts w:hint="eastAsia" w:ascii="宋体" w:hAnsi="宋体" w:eastAsia="宋体" w:cs="宋体"/>
              </w:rPr>
            </w:pPr>
            <w:r>
              <w:rPr>
                <w:rFonts w:hint="eastAsia" w:ascii="宋体" w:hAnsi="宋体" w:eastAsia="宋体" w:cs="宋体"/>
                <w:sz w:val="17"/>
              </w:rPr>
              <w:t>第11–12周</w:t>
            </w:r>
          </w:p>
        </w:tc>
        <w:tc>
          <w:tcPr>
            <w:tcW w:w="4082" w:type="dxa"/>
            <w:shd w:val="clear" w:color="auto" w:fill="F7F9FC"/>
            <w:tcMar>
              <w:top w:w="75" w:type="dxa"/>
              <w:left w:w="85" w:type="dxa"/>
              <w:bottom w:w="75" w:type="dxa"/>
              <w:right w:w="85" w:type="dxa"/>
            </w:tcMar>
            <w:vAlign w:val="center"/>
          </w:tcPr>
          <w:p ns2:paraId="3BDF3EB1">
            <w:pPr>
              <w:spacing w:after="0" w:line="252" w:lineRule="auto"/>
              <w:rPr>
                <w:rFonts w:hint="eastAsia" w:ascii="宋体" w:hAnsi="宋体" w:eastAsia="宋体" w:cs="宋体"/>
              </w:rPr>
            </w:pPr>
            <w:r>
              <w:rPr>
                <w:rFonts w:hint="eastAsia" w:ascii="宋体" w:hAnsi="宋体" w:eastAsia="宋体" w:cs="宋体"/>
                <w:sz w:val="17"/>
              </w:rPr>
              <w:t>Dashboard、权限、Shadow Mode接口</w:t>
            </w:r>
          </w:p>
        </w:tc>
        <w:tc>
          <w:tcPr>
            <w:tcW w:w="2665" w:type="dxa"/>
            <w:shd w:val="clear" w:color="auto" w:fill="F7F9FC"/>
            <w:tcMar>
              <w:top w:w="75" w:type="dxa"/>
              <w:left w:w="85" w:type="dxa"/>
              <w:bottom w:w="75" w:type="dxa"/>
              <w:right w:w="85" w:type="dxa"/>
            </w:tcMar>
            <w:vAlign w:val="center"/>
          </w:tcPr>
          <w:p ns2:paraId="443B6F21">
            <w:pPr>
              <w:spacing w:after="0" w:line="252" w:lineRule="auto"/>
              <w:rPr>
                <w:rFonts w:hint="eastAsia" w:ascii="宋体" w:hAnsi="宋体" w:eastAsia="宋体" w:cs="宋体"/>
              </w:rPr>
            </w:pPr>
            <w:r>
              <w:rPr>
                <w:rFonts w:hint="eastAsia" w:ascii="宋体" w:hAnsi="宋体" w:eastAsia="宋体" w:cs="宋体"/>
                <w:sz w:val="17"/>
              </w:rPr>
              <w:t>比赛路演、机构POC材料</w:t>
            </w:r>
          </w:p>
        </w:tc>
      </w:tr>
      <w:tr ns2:paraId="2438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75" w:type="dxa"/>
              <w:left w:w="85" w:type="dxa"/>
              <w:bottom w:w="75" w:type="dxa"/>
              <w:right w:w="85" w:type="dxa"/>
            </w:tcMar>
            <w:vAlign w:val="center"/>
          </w:tcPr>
          <w:p ns2:paraId="3CC1D289">
            <w:pPr>
              <w:spacing w:after="0" w:line="252" w:lineRule="auto"/>
              <w:rPr>
                <w:rFonts w:hint="eastAsia" w:ascii="宋体" w:hAnsi="宋体" w:eastAsia="宋体" w:cs="宋体"/>
              </w:rPr>
            </w:pPr>
            <w:r>
              <w:rPr>
                <w:rFonts w:hint="eastAsia" w:ascii="宋体" w:hAnsi="宋体" w:eastAsia="宋体" w:cs="宋体"/>
                <w:sz w:val="17"/>
              </w:rPr>
              <w:t>M6 Pilot</w:t>
            </w:r>
          </w:p>
        </w:tc>
        <w:tc>
          <w:tcPr>
            <w:tcW w:w="1417" w:type="dxa"/>
            <w:tcMar>
              <w:top w:w="75" w:type="dxa"/>
              <w:left w:w="85" w:type="dxa"/>
              <w:bottom w:w="75" w:type="dxa"/>
              <w:right w:w="85" w:type="dxa"/>
            </w:tcMar>
            <w:vAlign w:val="center"/>
          </w:tcPr>
          <w:p ns2:paraId="75BE7864">
            <w:pPr>
              <w:spacing w:after="0" w:line="252" w:lineRule="auto"/>
              <w:rPr>
                <w:rFonts w:hint="eastAsia" w:ascii="宋体" w:hAnsi="宋体" w:eastAsia="宋体" w:cs="宋体"/>
              </w:rPr>
            </w:pPr>
            <w:r>
              <w:rPr>
                <w:rFonts w:hint="eastAsia" w:ascii="宋体" w:hAnsi="宋体" w:eastAsia="宋体" w:cs="宋体"/>
                <w:sz w:val="17"/>
              </w:rPr>
              <w:t>3–6个月</w:t>
            </w:r>
          </w:p>
        </w:tc>
        <w:tc>
          <w:tcPr>
            <w:tcW w:w="4082" w:type="dxa"/>
            <w:tcMar>
              <w:top w:w="75" w:type="dxa"/>
              <w:left w:w="85" w:type="dxa"/>
              <w:bottom w:w="75" w:type="dxa"/>
              <w:right w:w="85" w:type="dxa"/>
            </w:tcMar>
            <w:vAlign w:val="center"/>
          </w:tcPr>
          <w:p ns2:paraId="339D9754">
            <w:pPr>
              <w:spacing w:after="0" w:line="252" w:lineRule="auto"/>
              <w:rPr>
                <w:rFonts w:hint="eastAsia" w:ascii="宋体" w:hAnsi="宋体" w:eastAsia="宋体" w:cs="宋体"/>
              </w:rPr>
            </w:pPr>
            <w:r>
              <w:rPr>
                <w:rFonts w:hint="eastAsia" w:ascii="宋体" w:hAnsi="宋体" w:eastAsia="宋体" w:cs="宋体"/>
                <w:sz w:val="17"/>
              </w:rPr>
              <w:t>客户私有数据适配、风险/Optimizer接口</w:t>
            </w:r>
          </w:p>
        </w:tc>
        <w:tc>
          <w:tcPr>
            <w:tcW w:w="2665" w:type="dxa"/>
            <w:tcMar>
              <w:top w:w="75" w:type="dxa"/>
              <w:left w:w="85" w:type="dxa"/>
              <w:bottom w:w="75" w:type="dxa"/>
              <w:right w:w="85" w:type="dxa"/>
            </w:tcMar>
            <w:vAlign w:val="center"/>
          </w:tcPr>
          <w:p ns2:paraId="2E0F01D2">
            <w:pPr>
              <w:spacing w:after="0" w:line="252" w:lineRule="auto"/>
              <w:rPr>
                <w:rFonts w:hint="eastAsia" w:ascii="宋体" w:hAnsi="宋体" w:eastAsia="宋体" w:cs="宋体"/>
              </w:rPr>
            </w:pPr>
            <w:r>
              <w:rPr>
                <w:rFonts w:hint="eastAsia" w:ascii="宋体" w:hAnsi="宋体" w:eastAsia="宋体" w:cs="宋体"/>
                <w:sz w:val="17"/>
              </w:rPr>
              <w:t>1–3家POC、访谈与迭代</w:t>
            </w:r>
          </w:p>
        </w:tc>
      </w:tr>
    </w:tbl>
    <w:p ns2:paraId="07AC4A56">
      <w:pPr>
        <w:spacing w:after="20"/>
        <w:rPr>
          <w:rFonts w:hint="eastAsia" w:ascii="宋体" w:hAnsi="宋体" w:eastAsia="宋体" w:cs="宋体"/>
        </w:rPr>
      </w:pPr>
    </w:p>
    <w:p ns2:paraId="0EBC5280">
      <w:pPr>
        <w:pStyle w:val="4"/>
        <w:keepNext/>
        <w:spacing w:before="140" w:after="120"/>
        <w:rPr>
          <w:rFonts w:hint="eastAsia" w:ascii="宋体" w:hAnsi="宋体" w:eastAsia="宋体" w:cs="宋体"/>
        </w:rPr>
      </w:pPr>
      <w:r>
        <w:rPr>
          <w:rFonts w:hint="eastAsia" w:ascii="宋体" w:hAnsi="宋体" w:eastAsia="宋体" w:cs="宋体"/>
          <w:b/>
          <w:color w:val="1F4E79"/>
          <w:sz w:val="26"/>
        </w:rPr>
        <w:t>1</w:t>
      </w:r>
      <w:r>
        <w:rPr>
          <w:rFonts w:hint="eastAsia" w:ascii="宋体" w:hAnsi="宋体" w:eastAsia="宋体" w:cs="宋体"/>
          <w:b/>
          <w:color w:val="1F4E79"/>
          <w:sz w:val="26"/>
          <w:lang w:val="en-US" w:eastAsia="zh-CN"/>
        </w:rPr>
        <w:t>5</w:t>
      </w:r>
      <w:r>
        <w:rPr>
          <w:rFonts w:hint="eastAsia" w:ascii="宋体" w:hAnsi="宋体" w:eastAsia="宋体" w:cs="宋体"/>
          <w:b/>
          <w:color w:val="1F4E79"/>
          <w:sz w:val="26"/>
        </w:rPr>
        <w:t>.1 技术升级路线</w:t>
      </w:r>
    </w:p>
    <w:p ns2:paraId="69F91B5C">
      <w:pPr>
        <w:spacing w:after="100" w:line="300" w:lineRule="auto"/>
        <w:ind w:firstLine="420"/>
        <w:rPr>
          <w:rFonts w:hint="eastAsia" w:ascii="宋体" w:hAnsi="宋体" w:eastAsia="宋体" w:cs="宋体"/>
        </w:rPr>
      </w:pPr>
      <w:r>
        <w:rPr>
          <w:rFonts w:hint="eastAsia" w:ascii="宋体" w:hAnsi="宋体" w:eastAsia="宋体" w:cs="宋体"/>
          <w:sz w:val="21"/>
        </w:rPr>
        <w:t>第一版不建议直接训练复杂RL Router。先用MLP/规则把闭环、数据和评测跑通，再利用累计的“Market State → Selected Agents → Output → Conflict → Action → Portfolio Feedback”轨迹训练轻量Router；只有当离线轨迹质量和奖励函数稳定后，再考虑Contextual Bandit、DPP/Submodular Selection或RL orchestration。这样更符合工程节奏，也与当前多Agent动态编排研究的经验一致。</w:t>
      </w:r>
      <w:bookmarkStart w:id="0" w:name="_GoBack"/>
      <w:bookmarkEnd w:id="0"/>
    </w:p>
    <w:p ns2:paraId="7C9542C2">
      <w:pPr>
        <w:pStyle w:val="4"/>
        <w:keepNext/>
        <w:spacing w:before="140" w:after="120"/>
        <w:rPr>
          <w:rFonts w:hint="eastAsia" w:ascii="宋体" w:hAnsi="宋体" w:eastAsia="宋体" w:cs="宋体"/>
          <w:b/>
          <w:color w:val="1F4E79"/>
          <w:sz w:val="26"/>
        </w:rPr>
      </w:pPr>
      <w:r>
        <w:rPr>
          <w:rFonts w:hint="eastAsia" w:ascii="宋体" w:hAnsi="宋体" w:eastAsia="宋体" w:cs="宋体"/>
          <w:b/>
          <w:color w:val="1F4E79"/>
          <w:sz w:val="26"/>
        </w:rPr>
        <w:t>1</w:t>
      </w:r>
      <w:r>
        <w:rPr>
          <w:rFonts w:hint="eastAsia" w:ascii="宋体" w:hAnsi="宋体" w:eastAsia="宋体" w:cs="宋体"/>
          <w:b/>
          <w:color w:val="1F4E79"/>
          <w:sz w:val="26"/>
          <w:lang w:val="en-US" w:eastAsia="zh-CN"/>
        </w:rPr>
        <w:t>5</w:t>
      </w:r>
      <w:r>
        <w:rPr>
          <w:rFonts w:hint="eastAsia" w:ascii="宋体" w:hAnsi="宋体" w:eastAsia="宋体" w:cs="宋体"/>
          <w:b/>
          <w:color w:val="1F4E79"/>
          <w:sz w:val="26"/>
        </w:rPr>
        <w:t>.2 资源需求与资金用途</w:t>
      </w:r>
    </w:p>
    <w:p ns2:paraId="64443BF6">
      <w:pPr>
        <w:rPr>
          <w:rFonts w:hint="eastAsia" w:ascii="宋体" w:hAnsi="宋体" w:eastAsia="宋体" w:cs="宋体"/>
        </w:rPr>
      </w:pPr>
      <w:r>
        <w:rPr>
          <w:rFonts w:hint="eastAsia" w:ascii="宋体" w:hAnsi="宋体" w:eastAsia="宋体" w:cs="宋体"/>
        </w:rPr>
        <w:t>以下资源需求为完成第8.3节实验矩阵与后续产品化验证所需的测算值，不是已发生的支出；金额以人民币万元计。</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ns2:paraId="7A9E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ns2:paraId="60F4AC84">
            <w:pPr>
              <w:spacing w:after="0" w:line="240" w:lineRule="auto"/>
              <w:rPr>
                <w:rFonts w:hint="eastAsia" w:ascii="宋体" w:hAnsi="宋体" w:eastAsia="宋体" w:cs="宋体"/>
              </w:rPr>
            </w:pPr>
            <w:r>
              <w:rPr>
                <w:rFonts w:hint="eastAsia" w:ascii="宋体" w:hAnsi="宋体" w:eastAsia="宋体" w:cs="宋体"/>
                <w:b/>
              </w:rPr>
              <w:t>资源项</w:t>
            </w:r>
          </w:p>
        </w:tc>
        <w:tc>
          <w:tcPr>
            <w:tcW w:w="2493" w:type="dxa"/>
          </w:tcPr>
          <w:p ns2:paraId="365F73D7">
            <w:pPr>
              <w:spacing w:after="0" w:line="240" w:lineRule="auto"/>
              <w:rPr>
                <w:rFonts w:hint="eastAsia" w:ascii="宋体" w:hAnsi="宋体" w:eastAsia="宋体" w:cs="宋体"/>
              </w:rPr>
            </w:pPr>
            <w:r>
              <w:rPr>
                <w:rFonts w:hint="eastAsia" w:ascii="宋体" w:hAnsi="宋体" w:eastAsia="宋体" w:cs="宋体"/>
                <w:b/>
              </w:rPr>
              <w:t>主要用途</w:t>
            </w:r>
          </w:p>
        </w:tc>
        <w:tc>
          <w:tcPr>
            <w:tcW w:w="2493" w:type="dxa"/>
          </w:tcPr>
          <w:p ns2:paraId="2CBEAE8A">
            <w:pPr>
              <w:spacing w:after="0" w:line="240" w:lineRule="auto"/>
              <w:rPr>
                <w:rFonts w:hint="eastAsia" w:ascii="宋体" w:hAnsi="宋体" w:eastAsia="宋体" w:cs="宋体"/>
              </w:rPr>
            </w:pPr>
            <w:r>
              <w:rPr>
                <w:rFonts w:hint="eastAsia" w:ascii="宋体" w:hAnsi="宋体" w:eastAsia="宋体" w:cs="宋体"/>
                <w:b/>
              </w:rPr>
              <w:t>测算依据</w:t>
            </w:r>
          </w:p>
        </w:tc>
        <w:tc>
          <w:tcPr>
            <w:tcW w:w="2493" w:type="dxa"/>
          </w:tcPr>
          <w:p ns2:paraId="1C69A5B3">
            <w:pPr>
              <w:spacing w:after="0" w:line="240" w:lineRule="auto"/>
              <w:rPr>
                <w:rFonts w:hint="eastAsia" w:ascii="宋体" w:hAnsi="宋体" w:eastAsia="宋体" w:cs="宋体"/>
              </w:rPr>
            </w:pPr>
            <w:r>
              <w:rPr>
                <w:rFonts w:hint="eastAsia" w:ascii="宋体" w:hAnsi="宋体" w:eastAsia="宋体" w:cs="宋体"/>
                <w:b/>
              </w:rPr>
              <w:t>预估投入（万元）</w:t>
            </w:r>
          </w:p>
        </w:tc>
      </w:tr>
      <w:tr ns2:paraId="57B7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ns2:paraId="6A23384D">
            <w:pPr>
              <w:spacing w:after="0" w:line="240" w:lineRule="auto"/>
              <w:rPr>
                <w:rFonts w:hint="eastAsia" w:ascii="宋体" w:hAnsi="宋体" w:eastAsia="宋体" w:cs="宋体"/>
              </w:rPr>
            </w:pPr>
            <w:r>
              <w:rPr>
                <w:rFonts w:hint="eastAsia" w:ascii="宋体" w:hAnsi="宋体" w:eastAsia="宋体" w:cs="宋体"/>
                <w:b w:val="0"/>
              </w:rPr>
              <w:t>LLM API与推理费用</w:t>
            </w:r>
          </w:p>
        </w:tc>
        <w:tc>
          <w:tcPr>
            <w:tcW w:w="2493" w:type="dxa"/>
          </w:tcPr>
          <w:p ns2:paraId="535739DA">
            <w:pPr>
              <w:spacing w:after="0" w:line="240" w:lineRule="auto"/>
              <w:rPr>
                <w:rFonts w:hint="eastAsia" w:ascii="宋体" w:hAnsi="宋体" w:eastAsia="宋体" w:cs="宋体"/>
              </w:rPr>
            </w:pPr>
            <w:r>
              <w:rPr>
                <w:rFonts w:hint="eastAsia" w:ascii="宋体" w:hAnsi="宋体" w:eastAsia="宋体" w:cs="宋体"/>
                <w:b w:val="0"/>
              </w:rPr>
              <w:t>运行第8.3节核心消融矩阵、Stress/OOS与多LLM敏感性实验</w:t>
            </w:r>
          </w:p>
        </w:tc>
        <w:tc>
          <w:tcPr>
            <w:tcW w:w="2493" w:type="dxa"/>
          </w:tcPr>
          <w:p ns2:paraId="1508E427">
            <w:pPr>
              <w:spacing w:after="0" w:line="240" w:lineRule="auto"/>
              <w:rPr>
                <w:rFonts w:hint="eastAsia" w:ascii="宋体" w:hAnsi="宋体" w:eastAsia="宋体" w:cs="宋体"/>
              </w:rPr>
            </w:pPr>
            <w:r>
              <w:rPr>
                <w:rFonts w:hint="eastAsia" w:ascii="宋体" w:hAnsi="宋体" w:eastAsia="宋体" w:cs="宋体"/>
                <w:b w:val="0"/>
              </w:rPr>
              <w:t>按MASS论文公开数据，512-Agent配置下单日三股票池合计约4.1美元；全量单轮（约250个交易日）约0.1万美元；计入多组消融、缓存与低频更新折扣及调试重复运行</w:t>
            </w:r>
          </w:p>
        </w:tc>
        <w:tc>
          <w:tcPr>
            <w:tcW w:w="2493" w:type="dxa"/>
          </w:tcPr>
          <w:p ns2:paraId="136D1203">
            <w:pPr>
              <w:spacing w:after="0" w:line="240" w:lineRule="auto"/>
              <w:rPr>
                <w:rFonts w:hint="eastAsia" w:ascii="宋体" w:hAnsi="宋体" w:eastAsia="宋体" w:cs="宋体"/>
              </w:rPr>
            </w:pPr>
            <w:r>
              <w:rPr>
                <w:rFonts w:hint="eastAsia" w:ascii="宋体" w:hAnsi="宋体" w:eastAsia="宋体" w:cs="宋体"/>
                <w:b w:val="0"/>
              </w:rPr>
              <w:t>2–5</w:t>
            </w:r>
          </w:p>
        </w:tc>
      </w:tr>
      <w:tr ns2:paraId="49773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ns2:paraId="0F377F75">
            <w:pPr>
              <w:spacing w:after="0" w:line="240" w:lineRule="auto"/>
              <w:rPr>
                <w:rFonts w:hint="eastAsia" w:ascii="宋体" w:hAnsi="宋体" w:eastAsia="宋体" w:cs="宋体"/>
              </w:rPr>
            </w:pPr>
            <w:r>
              <w:rPr>
                <w:rFonts w:hint="eastAsia" w:ascii="宋体" w:hAnsi="宋体" w:eastAsia="宋体" w:cs="宋体"/>
                <w:b w:val="0"/>
              </w:rPr>
              <w:t>数据采购</w:t>
            </w:r>
          </w:p>
        </w:tc>
        <w:tc>
          <w:tcPr>
            <w:tcW w:w="2493" w:type="dxa"/>
          </w:tcPr>
          <w:p ns2:paraId="21A644A1">
            <w:pPr>
              <w:spacing w:after="0" w:line="240" w:lineRule="auto"/>
              <w:rPr>
                <w:rFonts w:hint="eastAsia" w:ascii="宋体" w:hAnsi="宋体" w:eastAsia="宋体" w:cs="宋体"/>
              </w:rPr>
            </w:pPr>
            <w:r>
              <w:rPr>
                <w:rFonts w:hint="eastAsia" w:ascii="宋体" w:hAnsi="宋体" w:eastAsia="宋体" w:cs="宋体"/>
                <w:b w:val="0"/>
              </w:rPr>
              <w:t>公开SSE50示例数据起步；扩展CSI300/CSI A500等机构级Point-in-Time数据</w:t>
            </w:r>
          </w:p>
        </w:tc>
        <w:tc>
          <w:tcPr>
            <w:tcW w:w="2493" w:type="dxa"/>
          </w:tcPr>
          <w:p ns2:paraId="423A0BBE">
            <w:pPr>
              <w:spacing w:after="0" w:line="240" w:lineRule="auto"/>
              <w:rPr>
                <w:rFonts w:hint="eastAsia" w:ascii="宋体" w:hAnsi="宋体" w:eastAsia="宋体" w:cs="宋体"/>
              </w:rPr>
            </w:pPr>
            <w:r>
              <w:rPr>
                <w:rFonts w:hint="eastAsia" w:ascii="宋体" w:hAnsi="宋体" w:eastAsia="宋体" w:cs="宋体"/>
                <w:b w:val="0"/>
              </w:rPr>
              <w:t>公开数据免费；机构级数据按行业常见年费区间预留</w:t>
            </w:r>
          </w:p>
        </w:tc>
        <w:tc>
          <w:tcPr>
            <w:tcW w:w="2493" w:type="dxa"/>
          </w:tcPr>
          <w:p ns2:paraId="603A5554">
            <w:pPr>
              <w:spacing w:after="0" w:line="240" w:lineRule="auto"/>
              <w:rPr>
                <w:rFonts w:hint="eastAsia" w:ascii="宋体" w:hAnsi="宋体" w:eastAsia="宋体" w:cs="宋体"/>
              </w:rPr>
            </w:pPr>
            <w:r>
              <w:rPr>
                <w:rFonts w:hint="eastAsia" w:ascii="宋体" w:hAnsi="宋体" w:eastAsia="宋体" w:cs="宋体"/>
                <w:b w:val="0"/>
              </w:rPr>
              <w:t>5–15（视数据权限）</w:t>
            </w:r>
          </w:p>
        </w:tc>
      </w:tr>
      <w:tr ns2:paraId="58CC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ns2:paraId="62EB7326">
            <w:pPr>
              <w:spacing w:after="0" w:line="240" w:lineRule="auto"/>
              <w:rPr>
                <w:rFonts w:hint="eastAsia" w:ascii="宋体" w:hAnsi="宋体" w:eastAsia="宋体" w:cs="宋体"/>
              </w:rPr>
            </w:pPr>
            <w:r>
              <w:rPr>
                <w:rFonts w:hint="eastAsia" w:ascii="宋体" w:hAnsi="宋体" w:eastAsia="宋体" w:cs="宋体"/>
                <w:b w:val="0"/>
              </w:rPr>
              <w:t>算力与开发环境</w:t>
            </w:r>
          </w:p>
        </w:tc>
        <w:tc>
          <w:tcPr>
            <w:tcW w:w="2493" w:type="dxa"/>
          </w:tcPr>
          <w:p ns2:paraId="19428D06">
            <w:pPr>
              <w:spacing w:after="0" w:line="240" w:lineRule="auto"/>
              <w:rPr>
                <w:rFonts w:hint="eastAsia" w:ascii="宋体" w:hAnsi="宋体" w:eastAsia="宋体" w:cs="宋体"/>
              </w:rPr>
            </w:pPr>
            <w:r>
              <w:rPr>
                <w:rFonts w:hint="eastAsia" w:ascii="宋体" w:hAnsi="宋体" w:eastAsia="宋体" w:cs="宋体"/>
                <w:b w:val="0"/>
              </w:rPr>
              <w:t>回测并发、Router/Aggregator训练与长周期实验运行</w:t>
            </w:r>
          </w:p>
        </w:tc>
        <w:tc>
          <w:tcPr>
            <w:tcW w:w="2493" w:type="dxa"/>
          </w:tcPr>
          <w:p ns2:paraId="7D8B2684">
            <w:pPr>
              <w:spacing w:after="0" w:line="240" w:lineRule="auto"/>
              <w:rPr>
                <w:rFonts w:hint="eastAsia" w:ascii="宋体" w:hAnsi="宋体" w:eastAsia="宋体" w:cs="宋体"/>
              </w:rPr>
            </w:pPr>
            <w:r>
              <w:rPr>
                <w:rFonts w:hint="eastAsia" w:ascii="宋体" w:hAnsi="宋体" w:eastAsia="宋体" w:cs="宋体"/>
                <w:b w:val="0"/>
              </w:rPr>
              <w:t>本地开发为主，云端按需弹性扩容</w:t>
            </w:r>
          </w:p>
        </w:tc>
        <w:tc>
          <w:tcPr>
            <w:tcW w:w="2493" w:type="dxa"/>
          </w:tcPr>
          <w:p ns2:paraId="2B808196">
            <w:pPr>
              <w:spacing w:after="0" w:line="240" w:lineRule="auto"/>
              <w:rPr>
                <w:rFonts w:hint="eastAsia" w:ascii="宋体" w:hAnsi="宋体" w:eastAsia="宋体" w:cs="宋体"/>
              </w:rPr>
            </w:pPr>
            <w:r>
              <w:rPr>
                <w:rFonts w:hint="eastAsia" w:ascii="宋体" w:hAnsi="宋体" w:eastAsia="宋体" w:cs="宋体"/>
                <w:b w:val="0"/>
              </w:rPr>
              <w:t>1–3</w:t>
            </w:r>
          </w:p>
        </w:tc>
      </w:tr>
      <w:tr ns2:paraId="66A5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3" w:type="dxa"/>
          </w:tcPr>
          <w:p ns2:paraId="00ED8E99">
            <w:pPr>
              <w:spacing w:after="0" w:line="240" w:lineRule="auto"/>
              <w:rPr>
                <w:rFonts w:hint="eastAsia" w:ascii="宋体" w:hAnsi="宋体" w:eastAsia="宋体" w:cs="宋体"/>
              </w:rPr>
            </w:pPr>
            <w:r>
              <w:rPr>
                <w:rFonts w:hint="eastAsia" w:ascii="宋体" w:hAnsi="宋体" w:eastAsia="宋体" w:cs="宋体"/>
                <w:b w:val="0"/>
              </w:rPr>
              <w:t>差旅与机构交流</w:t>
            </w:r>
          </w:p>
        </w:tc>
        <w:tc>
          <w:tcPr>
            <w:tcW w:w="2493" w:type="dxa"/>
          </w:tcPr>
          <w:p ns2:paraId="4CFBD251">
            <w:pPr>
              <w:spacing w:after="0" w:line="240" w:lineRule="auto"/>
              <w:rPr>
                <w:rFonts w:hint="eastAsia" w:ascii="宋体" w:hAnsi="宋体" w:eastAsia="宋体" w:cs="宋体"/>
              </w:rPr>
            </w:pPr>
            <w:r>
              <w:rPr>
                <w:rFonts w:hint="eastAsia" w:ascii="宋体" w:hAnsi="宋体" w:eastAsia="宋体" w:cs="宋体"/>
                <w:b w:val="0"/>
              </w:rPr>
              <w:t>线下集训、目标机构访谈与POC沟通</w:t>
            </w:r>
          </w:p>
        </w:tc>
        <w:tc>
          <w:tcPr>
            <w:tcW w:w="2493" w:type="dxa"/>
          </w:tcPr>
          <w:p ns2:paraId="53814388">
            <w:pPr>
              <w:spacing w:after="0" w:line="240" w:lineRule="auto"/>
              <w:rPr>
                <w:rFonts w:hint="eastAsia" w:ascii="宋体" w:hAnsi="宋体" w:eastAsia="宋体" w:cs="宋体"/>
              </w:rPr>
            </w:pPr>
            <w:r>
              <w:rPr>
                <w:rFonts w:hint="eastAsia" w:ascii="宋体" w:hAnsi="宋体" w:eastAsia="宋体" w:cs="宋体"/>
                <w:b w:val="0"/>
              </w:rPr>
              <w:t>按国内差旅标准估算</w:t>
            </w:r>
          </w:p>
        </w:tc>
        <w:tc>
          <w:tcPr>
            <w:tcW w:w="2493" w:type="dxa"/>
          </w:tcPr>
          <w:p ns2:paraId="220B56AB">
            <w:pPr>
              <w:spacing w:after="0" w:line="240" w:lineRule="auto"/>
              <w:rPr>
                <w:rFonts w:hint="eastAsia" w:ascii="宋体" w:hAnsi="宋体" w:eastAsia="宋体" w:cs="宋体"/>
              </w:rPr>
            </w:pPr>
            <w:r>
              <w:rPr>
                <w:rFonts w:hint="eastAsia" w:ascii="宋体" w:hAnsi="宋体" w:eastAsia="宋体" w:cs="宋体"/>
                <w:b w:val="0"/>
              </w:rPr>
              <w:t>1–2</w:t>
            </w:r>
          </w:p>
        </w:tc>
      </w:tr>
    </w:tbl>
    <w:p ns2:paraId="05C24154">
      <w:pPr>
        <w:rPr>
          <w:rFonts w:hint="eastAsia" w:ascii="宋体" w:hAnsi="宋体" w:eastAsia="宋体" w:cs="宋体"/>
        </w:rPr>
      </w:pPr>
      <w:r>
        <w:rPr>
          <w:rFonts w:hint="eastAsia" w:ascii="宋体" w:hAnsi="宋体" w:eastAsia="宋体" w:cs="宋体"/>
        </w:rPr>
        <w:t>资金用途分两档：比赛阶段（约3个月）优先保障实验矩阵完成与MVP演示打磨；若进入孵化阶段，投入重点转向数据权限获取、POC交付与合规审计能力建设。实际支出将根据数据获取进展与合作情况动态调整。</w:t>
      </w:r>
    </w:p>
    <w:p ns2:paraId="2BA47C5F">
      <w:pPr>
        <w:pStyle w:val="3"/>
        <w:keepNext/>
        <w:spacing w:before="240" w:after="120"/>
        <w:rPr>
          <w:rFonts w:hint="eastAsia" w:ascii="宋体" w:hAnsi="宋体" w:eastAsia="宋体" w:cs="宋体"/>
        </w:rPr>
      </w:pPr>
      <w:r>
        <w:rPr>
          <w:rFonts w:hint="eastAsia" w:ascii="宋体" w:hAnsi="宋体" w:eastAsia="宋体" w:cs="宋体"/>
          <w:b/>
          <w:color w:val="17365D"/>
          <w:sz w:val="32"/>
        </w:rPr>
        <w:t>1</w:t>
      </w:r>
      <w:r>
        <w:rPr>
          <w:rFonts w:hint="eastAsia" w:ascii="宋体" w:hAnsi="宋体" w:eastAsia="宋体" w:cs="宋体"/>
          <w:b/>
          <w:color w:val="17365D"/>
          <w:sz w:val="32"/>
          <w:lang w:val="en-US" w:eastAsia="zh-CN"/>
        </w:rPr>
        <w:t>6</w:t>
      </w:r>
      <w:r>
        <w:rPr>
          <w:rFonts w:hint="eastAsia" w:ascii="宋体" w:hAnsi="宋体" w:eastAsia="宋体" w:cs="宋体"/>
          <w:b/>
          <w:color w:val="17365D"/>
          <w:sz w:val="32"/>
        </w:rPr>
        <w:t>. 三年财务情景测算</w:t>
      </w:r>
    </w:p>
    <w:tbl>
      <w:tblPr>
        <w:tblStyle w:val="33"/>
        <w:tblW w:w="0" w:type="auto"/>
        <w:jc w:val="center"/>
        <w:tblLayout w:type="autofit"/>
        <w:tblCellMar>
          <w:top w:w="0" w:type="dxa"/>
          <w:left w:w="108" w:type="dxa"/>
          <w:bottom w:w="0" w:type="dxa"/>
          <w:right w:w="108" w:type="dxa"/>
        </w:tblCellMar>
      </w:tblPr>
      <w:tblGrid>
        <w:gridCol w:w="9972"/>
      </w:tblGrid>
      <w:tr ns2:paraId="2E2E9100">
        <w:tblPrEx>
          <w:tblCellMar>
            <w:top w:w="0" w:type="dxa"/>
            <w:left w:w="108" w:type="dxa"/>
            <w:bottom w:w="0" w:type="dxa"/>
            <w:right w:w="108" w:type="dxa"/>
          </w:tblCellMar>
        </w:tblPrEx>
        <w:trPr>
          <w:jc w:val="center"/>
        </w:trPr>
        <w:tc>
          <w:tcPr>
            <w:tcW w:w="9972" w:type="dxa"/>
            <w:shd w:val="clear" w:color="auto" w:fill="FFF3E8"/>
            <w:tcMar>
              <w:top w:w="160" w:type="dxa"/>
              <w:left w:w="180" w:type="dxa"/>
              <w:bottom w:w="160" w:type="dxa"/>
              <w:right w:w="180" w:type="dxa"/>
            </w:tcMar>
          </w:tcPr>
          <w:p ns2:paraId="15960B41">
            <w:pPr>
              <w:spacing w:after="60"/>
              <w:rPr>
                <w:rFonts w:hint="eastAsia" w:ascii="宋体" w:hAnsi="宋体" w:eastAsia="宋体" w:cs="宋体"/>
              </w:rPr>
            </w:pPr>
            <w:r>
              <w:rPr>
                <w:rFonts w:hint="eastAsia" w:ascii="宋体" w:hAnsi="宋体" w:eastAsia="宋体" w:cs="宋体"/>
                <w:b/>
                <w:color w:val="C55A11"/>
                <w:sz w:val="21"/>
              </w:rPr>
              <w:t xml:space="preserve">重要说明  </w:t>
            </w:r>
            <w:r>
              <w:rPr>
                <w:rFonts w:hint="eastAsia" w:ascii="宋体" w:hAnsi="宋体" w:eastAsia="宋体" w:cs="宋体"/>
                <w:color w:val="333333"/>
                <w:sz w:val="20"/>
              </w:rPr>
              <w:t>下表是商业模式验证用的Base-case情景，不是已实现营收，也不是融资承诺。HBS建议创业计划避免对远期数字制造虚假的精确感；因此这里只用客户数、客单价和团队成本解释“如果有客户，这门生意是否可能成立”。</w:t>
            </w:r>
          </w:p>
        </w:tc>
      </w:tr>
    </w:tbl>
    <w:p ns2:paraId="13DE36FD">
      <w:pPr>
        <w:spacing w:after="20"/>
        <w:rPr>
          <w:rFonts w:hint="eastAsia" w:ascii="宋体" w:hAnsi="宋体" w:eastAsia="宋体" w:cs="宋体"/>
        </w:rPr>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1984"/>
        <w:gridCol w:w="1984"/>
        <w:gridCol w:w="1984"/>
      </w:tblGrid>
      <w:tr ns2:paraId="0AB8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28" w:type="dxa"/>
            <w:shd w:val="clear" w:color="auto" w:fill="1F4E79"/>
            <w:tcMar>
              <w:top w:w="90" w:type="dxa"/>
              <w:left w:w="90" w:type="dxa"/>
              <w:bottom w:w="90" w:type="dxa"/>
              <w:right w:w="90" w:type="dxa"/>
            </w:tcMar>
            <w:vAlign w:val="center"/>
          </w:tcPr>
          <w:p ns2:paraId="45D5C4D1">
            <w:pPr>
              <w:spacing w:after="0" w:line="240" w:lineRule="auto"/>
              <w:jc w:val="center"/>
              <w:rPr>
                <w:rFonts w:hint="eastAsia" w:ascii="宋体" w:hAnsi="宋体" w:eastAsia="宋体" w:cs="宋体"/>
              </w:rPr>
            </w:pPr>
            <w:r>
              <w:rPr>
                <w:rFonts w:hint="eastAsia" w:ascii="宋体" w:hAnsi="宋体" w:eastAsia="宋体" w:cs="宋体"/>
                <w:b/>
                <w:color w:val="FFFFFF"/>
                <w:sz w:val="17"/>
              </w:rPr>
              <w:t>项目</w:t>
            </w:r>
          </w:p>
        </w:tc>
        <w:tc>
          <w:tcPr>
            <w:tcW w:w="1984" w:type="dxa"/>
            <w:shd w:val="clear" w:color="auto" w:fill="1F4E79"/>
            <w:tcMar>
              <w:top w:w="90" w:type="dxa"/>
              <w:left w:w="90" w:type="dxa"/>
              <w:bottom w:w="90" w:type="dxa"/>
              <w:right w:w="90" w:type="dxa"/>
            </w:tcMar>
            <w:vAlign w:val="center"/>
          </w:tcPr>
          <w:p ns2:paraId="3BDAC601">
            <w:pPr>
              <w:spacing w:after="0" w:line="240" w:lineRule="auto"/>
              <w:jc w:val="center"/>
              <w:rPr>
                <w:rFonts w:hint="eastAsia" w:ascii="宋体" w:hAnsi="宋体" w:eastAsia="宋体" w:cs="宋体"/>
              </w:rPr>
            </w:pPr>
            <w:r>
              <w:rPr>
                <w:rFonts w:hint="eastAsia" w:ascii="宋体" w:hAnsi="宋体" w:eastAsia="宋体" w:cs="宋体"/>
                <w:b/>
                <w:color w:val="FFFFFF"/>
                <w:sz w:val="17"/>
              </w:rPr>
              <w:t>第1年</w:t>
            </w:r>
          </w:p>
        </w:tc>
        <w:tc>
          <w:tcPr>
            <w:tcW w:w="1984" w:type="dxa"/>
            <w:shd w:val="clear" w:color="auto" w:fill="1F4E79"/>
            <w:tcMar>
              <w:top w:w="90" w:type="dxa"/>
              <w:left w:w="90" w:type="dxa"/>
              <w:bottom w:w="90" w:type="dxa"/>
              <w:right w:w="90" w:type="dxa"/>
            </w:tcMar>
            <w:vAlign w:val="center"/>
          </w:tcPr>
          <w:p ns2:paraId="2BD165ED">
            <w:pPr>
              <w:spacing w:after="0" w:line="240" w:lineRule="auto"/>
              <w:jc w:val="center"/>
              <w:rPr>
                <w:rFonts w:hint="eastAsia" w:ascii="宋体" w:hAnsi="宋体" w:eastAsia="宋体" w:cs="宋体"/>
              </w:rPr>
            </w:pPr>
            <w:r>
              <w:rPr>
                <w:rFonts w:hint="eastAsia" w:ascii="宋体" w:hAnsi="宋体" w:eastAsia="宋体" w:cs="宋体"/>
                <w:b/>
                <w:color w:val="FFFFFF"/>
                <w:sz w:val="17"/>
              </w:rPr>
              <w:t>第2年</w:t>
            </w:r>
          </w:p>
        </w:tc>
        <w:tc>
          <w:tcPr>
            <w:tcW w:w="1984" w:type="dxa"/>
            <w:shd w:val="clear" w:color="auto" w:fill="1F4E79"/>
            <w:tcMar>
              <w:top w:w="90" w:type="dxa"/>
              <w:left w:w="90" w:type="dxa"/>
              <w:bottom w:w="90" w:type="dxa"/>
              <w:right w:w="90" w:type="dxa"/>
            </w:tcMar>
            <w:vAlign w:val="center"/>
          </w:tcPr>
          <w:p ns2:paraId="6773B69B">
            <w:pPr>
              <w:spacing w:after="0" w:line="240" w:lineRule="auto"/>
              <w:jc w:val="center"/>
              <w:rPr>
                <w:rFonts w:hint="eastAsia" w:ascii="宋体" w:hAnsi="宋体" w:eastAsia="宋体" w:cs="宋体"/>
              </w:rPr>
            </w:pPr>
            <w:r>
              <w:rPr>
                <w:rFonts w:hint="eastAsia" w:ascii="宋体" w:hAnsi="宋体" w:eastAsia="宋体" w:cs="宋体"/>
                <w:b/>
                <w:color w:val="FFFFFF"/>
                <w:sz w:val="17"/>
              </w:rPr>
              <w:t>第3年</w:t>
            </w:r>
          </w:p>
        </w:tc>
      </w:tr>
      <w:tr ns2:paraId="1A89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Mar>
              <w:top w:w="75" w:type="dxa"/>
              <w:left w:w="85" w:type="dxa"/>
              <w:bottom w:w="75" w:type="dxa"/>
              <w:right w:w="85" w:type="dxa"/>
            </w:tcMar>
            <w:vAlign w:val="center"/>
          </w:tcPr>
          <w:p ns2:paraId="34566FBB">
            <w:pPr>
              <w:spacing w:after="0" w:line="252" w:lineRule="auto"/>
              <w:rPr>
                <w:rFonts w:hint="eastAsia" w:ascii="宋体" w:hAnsi="宋体" w:eastAsia="宋体" w:cs="宋体"/>
              </w:rPr>
            </w:pPr>
            <w:r>
              <w:rPr>
                <w:rFonts w:hint="eastAsia" w:ascii="宋体" w:hAnsi="宋体" w:eastAsia="宋体" w:cs="宋体"/>
                <w:sz w:val="17"/>
              </w:rPr>
              <w:t>付费POC（个）</w:t>
            </w:r>
          </w:p>
        </w:tc>
        <w:tc>
          <w:tcPr>
            <w:tcW w:w="1984" w:type="dxa"/>
            <w:tcMar>
              <w:top w:w="75" w:type="dxa"/>
              <w:left w:w="85" w:type="dxa"/>
              <w:bottom w:w="75" w:type="dxa"/>
              <w:right w:w="85" w:type="dxa"/>
            </w:tcMar>
            <w:vAlign w:val="center"/>
          </w:tcPr>
          <w:p ns2:paraId="324C58C7">
            <w:pPr>
              <w:spacing w:after="0" w:line="252" w:lineRule="auto"/>
              <w:rPr>
                <w:rFonts w:hint="eastAsia" w:ascii="宋体" w:hAnsi="宋体" w:eastAsia="宋体" w:cs="宋体"/>
              </w:rPr>
            </w:pPr>
            <w:r>
              <w:rPr>
                <w:rFonts w:hint="eastAsia" w:ascii="宋体" w:hAnsi="宋体" w:eastAsia="宋体" w:cs="宋体"/>
                <w:sz w:val="17"/>
              </w:rPr>
              <w:t>4</w:t>
            </w:r>
          </w:p>
        </w:tc>
        <w:tc>
          <w:tcPr>
            <w:tcW w:w="1984" w:type="dxa"/>
            <w:tcMar>
              <w:top w:w="75" w:type="dxa"/>
              <w:left w:w="85" w:type="dxa"/>
              <w:bottom w:w="75" w:type="dxa"/>
              <w:right w:w="85" w:type="dxa"/>
            </w:tcMar>
            <w:vAlign w:val="center"/>
          </w:tcPr>
          <w:p ns2:paraId="1B170259">
            <w:pPr>
              <w:spacing w:after="0" w:line="252" w:lineRule="auto"/>
              <w:rPr>
                <w:rFonts w:hint="eastAsia" w:ascii="宋体" w:hAnsi="宋体" w:eastAsia="宋体" w:cs="宋体"/>
              </w:rPr>
            </w:pPr>
            <w:r>
              <w:rPr>
                <w:rFonts w:hint="eastAsia" w:ascii="宋体" w:hAnsi="宋体" w:eastAsia="宋体" w:cs="宋体"/>
                <w:sz w:val="17"/>
              </w:rPr>
              <w:t>8</w:t>
            </w:r>
          </w:p>
        </w:tc>
        <w:tc>
          <w:tcPr>
            <w:tcW w:w="1984" w:type="dxa"/>
            <w:tcMar>
              <w:top w:w="75" w:type="dxa"/>
              <w:left w:w="85" w:type="dxa"/>
              <w:bottom w:w="75" w:type="dxa"/>
              <w:right w:w="85" w:type="dxa"/>
            </w:tcMar>
            <w:vAlign w:val="center"/>
          </w:tcPr>
          <w:p ns2:paraId="584EDDAA">
            <w:pPr>
              <w:spacing w:after="0" w:line="252" w:lineRule="auto"/>
              <w:rPr>
                <w:rFonts w:hint="eastAsia" w:ascii="宋体" w:hAnsi="宋体" w:eastAsia="宋体" w:cs="宋体"/>
              </w:rPr>
            </w:pPr>
            <w:r>
              <w:rPr>
                <w:rFonts w:hint="eastAsia" w:ascii="宋体" w:hAnsi="宋体" w:eastAsia="宋体" w:cs="宋体"/>
                <w:sz w:val="17"/>
              </w:rPr>
              <w:t>12</w:t>
            </w:r>
          </w:p>
        </w:tc>
      </w:tr>
      <w:tr ns2:paraId="129B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7F9FC"/>
            <w:tcMar>
              <w:top w:w="75" w:type="dxa"/>
              <w:left w:w="85" w:type="dxa"/>
              <w:bottom w:w="75" w:type="dxa"/>
              <w:right w:w="85" w:type="dxa"/>
            </w:tcMar>
            <w:vAlign w:val="center"/>
          </w:tcPr>
          <w:p ns2:paraId="57D1F359">
            <w:pPr>
              <w:spacing w:after="0" w:line="252" w:lineRule="auto"/>
              <w:rPr>
                <w:rFonts w:hint="eastAsia" w:ascii="宋体" w:hAnsi="宋体" w:eastAsia="宋体" w:cs="宋体"/>
              </w:rPr>
            </w:pPr>
            <w:r>
              <w:rPr>
                <w:rFonts w:hint="eastAsia" w:ascii="宋体" w:hAnsi="宋体" w:eastAsia="宋体" w:cs="宋体"/>
                <w:sz w:val="17"/>
              </w:rPr>
              <w:t>年费/企业客户（个）</w:t>
            </w:r>
          </w:p>
        </w:tc>
        <w:tc>
          <w:tcPr>
            <w:tcW w:w="1984" w:type="dxa"/>
            <w:shd w:val="clear" w:color="auto" w:fill="F7F9FC"/>
            <w:tcMar>
              <w:top w:w="75" w:type="dxa"/>
              <w:left w:w="85" w:type="dxa"/>
              <w:bottom w:w="75" w:type="dxa"/>
              <w:right w:w="85" w:type="dxa"/>
            </w:tcMar>
            <w:vAlign w:val="center"/>
          </w:tcPr>
          <w:p ns2:paraId="327E060E">
            <w:pPr>
              <w:spacing w:after="0" w:line="252" w:lineRule="auto"/>
              <w:rPr>
                <w:rFonts w:hint="eastAsia" w:ascii="宋体" w:hAnsi="宋体" w:eastAsia="宋体" w:cs="宋体"/>
              </w:rPr>
            </w:pPr>
            <w:r>
              <w:rPr>
                <w:rFonts w:hint="eastAsia" w:ascii="宋体" w:hAnsi="宋体" w:eastAsia="宋体" w:cs="宋体"/>
                <w:sz w:val="17"/>
              </w:rPr>
              <w:t>1</w:t>
            </w:r>
          </w:p>
        </w:tc>
        <w:tc>
          <w:tcPr>
            <w:tcW w:w="1984" w:type="dxa"/>
            <w:shd w:val="clear" w:color="auto" w:fill="F7F9FC"/>
            <w:tcMar>
              <w:top w:w="75" w:type="dxa"/>
              <w:left w:w="85" w:type="dxa"/>
              <w:bottom w:w="75" w:type="dxa"/>
              <w:right w:w="85" w:type="dxa"/>
            </w:tcMar>
            <w:vAlign w:val="center"/>
          </w:tcPr>
          <w:p ns2:paraId="36C3E553">
            <w:pPr>
              <w:spacing w:after="0" w:line="252" w:lineRule="auto"/>
              <w:rPr>
                <w:rFonts w:hint="eastAsia" w:ascii="宋体" w:hAnsi="宋体" w:eastAsia="宋体" w:cs="宋体"/>
              </w:rPr>
            </w:pPr>
            <w:r>
              <w:rPr>
                <w:rFonts w:hint="eastAsia" w:ascii="宋体" w:hAnsi="宋体" w:eastAsia="宋体" w:cs="宋体"/>
                <w:sz w:val="17"/>
              </w:rPr>
              <w:t>6</w:t>
            </w:r>
          </w:p>
        </w:tc>
        <w:tc>
          <w:tcPr>
            <w:tcW w:w="1984" w:type="dxa"/>
            <w:shd w:val="clear" w:color="auto" w:fill="F7F9FC"/>
            <w:tcMar>
              <w:top w:w="75" w:type="dxa"/>
              <w:left w:w="85" w:type="dxa"/>
              <w:bottom w:w="75" w:type="dxa"/>
              <w:right w:w="85" w:type="dxa"/>
            </w:tcMar>
            <w:vAlign w:val="center"/>
          </w:tcPr>
          <w:p ns2:paraId="51EEF58A">
            <w:pPr>
              <w:spacing w:after="0" w:line="252" w:lineRule="auto"/>
              <w:rPr>
                <w:rFonts w:hint="eastAsia" w:ascii="宋体" w:hAnsi="宋体" w:eastAsia="宋体" w:cs="宋体"/>
              </w:rPr>
            </w:pPr>
            <w:r>
              <w:rPr>
                <w:rFonts w:hint="eastAsia" w:ascii="宋体" w:hAnsi="宋体" w:eastAsia="宋体" w:cs="宋体"/>
                <w:sz w:val="17"/>
              </w:rPr>
              <w:t>15</w:t>
            </w:r>
          </w:p>
        </w:tc>
      </w:tr>
      <w:tr ns2:paraId="5377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Mar>
              <w:top w:w="75" w:type="dxa"/>
              <w:left w:w="85" w:type="dxa"/>
              <w:bottom w:w="75" w:type="dxa"/>
              <w:right w:w="85" w:type="dxa"/>
            </w:tcMar>
            <w:vAlign w:val="center"/>
          </w:tcPr>
          <w:p ns2:paraId="1AC3B43D">
            <w:pPr>
              <w:spacing w:after="0" w:line="252" w:lineRule="auto"/>
              <w:rPr>
                <w:rFonts w:hint="eastAsia" w:ascii="宋体" w:hAnsi="宋体" w:eastAsia="宋体" w:cs="宋体"/>
              </w:rPr>
            </w:pPr>
            <w:r>
              <w:rPr>
                <w:rFonts w:hint="eastAsia" w:ascii="宋体" w:hAnsi="宋体" w:eastAsia="宋体" w:cs="宋体"/>
                <w:sz w:val="17"/>
              </w:rPr>
              <w:t>POC平均收入（万元）</w:t>
            </w:r>
          </w:p>
        </w:tc>
        <w:tc>
          <w:tcPr>
            <w:tcW w:w="1984" w:type="dxa"/>
            <w:tcMar>
              <w:top w:w="75" w:type="dxa"/>
              <w:left w:w="85" w:type="dxa"/>
              <w:bottom w:w="75" w:type="dxa"/>
              <w:right w:w="85" w:type="dxa"/>
            </w:tcMar>
            <w:vAlign w:val="center"/>
          </w:tcPr>
          <w:p ns2:paraId="7180153D">
            <w:pPr>
              <w:spacing w:after="0" w:line="252" w:lineRule="auto"/>
              <w:rPr>
                <w:rFonts w:hint="eastAsia" w:ascii="宋体" w:hAnsi="宋体" w:eastAsia="宋体" w:cs="宋体"/>
              </w:rPr>
            </w:pPr>
            <w:r>
              <w:rPr>
                <w:rFonts w:hint="eastAsia" w:ascii="宋体" w:hAnsi="宋体" w:eastAsia="宋体" w:cs="宋体"/>
                <w:sz w:val="17"/>
              </w:rPr>
              <w:t>12</w:t>
            </w:r>
          </w:p>
        </w:tc>
        <w:tc>
          <w:tcPr>
            <w:tcW w:w="1984" w:type="dxa"/>
            <w:tcMar>
              <w:top w:w="75" w:type="dxa"/>
              <w:left w:w="85" w:type="dxa"/>
              <w:bottom w:w="75" w:type="dxa"/>
              <w:right w:w="85" w:type="dxa"/>
            </w:tcMar>
            <w:vAlign w:val="center"/>
          </w:tcPr>
          <w:p ns2:paraId="3934DB4A">
            <w:pPr>
              <w:spacing w:after="0" w:line="252" w:lineRule="auto"/>
              <w:rPr>
                <w:rFonts w:hint="eastAsia" w:ascii="宋体" w:hAnsi="宋体" w:eastAsia="宋体" w:cs="宋体"/>
              </w:rPr>
            </w:pPr>
            <w:r>
              <w:rPr>
                <w:rFonts w:hint="eastAsia" w:ascii="宋体" w:hAnsi="宋体" w:eastAsia="宋体" w:cs="宋体"/>
                <w:sz w:val="17"/>
              </w:rPr>
              <w:t>12</w:t>
            </w:r>
          </w:p>
        </w:tc>
        <w:tc>
          <w:tcPr>
            <w:tcW w:w="1984" w:type="dxa"/>
            <w:tcMar>
              <w:top w:w="75" w:type="dxa"/>
              <w:left w:w="85" w:type="dxa"/>
              <w:bottom w:w="75" w:type="dxa"/>
              <w:right w:w="85" w:type="dxa"/>
            </w:tcMar>
            <w:vAlign w:val="center"/>
          </w:tcPr>
          <w:p ns2:paraId="6025305D">
            <w:pPr>
              <w:spacing w:after="0" w:line="252" w:lineRule="auto"/>
              <w:rPr>
                <w:rFonts w:hint="eastAsia" w:ascii="宋体" w:hAnsi="宋体" w:eastAsia="宋体" w:cs="宋体"/>
              </w:rPr>
            </w:pPr>
            <w:r>
              <w:rPr>
                <w:rFonts w:hint="eastAsia" w:ascii="宋体" w:hAnsi="宋体" w:eastAsia="宋体" w:cs="宋体"/>
                <w:sz w:val="17"/>
              </w:rPr>
              <w:t>12</w:t>
            </w:r>
          </w:p>
        </w:tc>
      </w:tr>
      <w:tr ns2:paraId="4C5B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7F9FC"/>
            <w:tcMar>
              <w:top w:w="75" w:type="dxa"/>
              <w:left w:w="85" w:type="dxa"/>
              <w:bottom w:w="75" w:type="dxa"/>
              <w:right w:w="85" w:type="dxa"/>
            </w:tcMar>
            <w:vAlign w:val="center"/>
          </w:tcPr>
          <w:p ns2:paraId="4175DD50">
            <w:pPr>
              <w:spacing w:after="0" w:line="252" w:lineRule="auto"/>
              <w:rPr>
                <w:rFonts w:hint="eastAsia" w:ascii="宋体" w:hAnsi="宋体" w:eastAsia="宋体" w:cs="宋体"/>
              </w:rPr>
            </w:pPr>
            <w:r>
              <w:rPr>
                <w:rFonts w:hint="eastAsia" w:ascii="宋体" w:hAnsi="宋体" w:eastAsia="宋体" w:cs="宋体"/>
                <w:sz w:val="17"/>
              </w:rPr>
              <w:t>年费/企业平均合同（万元）</w:t>
            </w:r>
          </w:p>
        </w:tc>
        <w:tc>
          <w:tcPr>
            <w:tcW w:w="1984" w:type="dxa"/>
            <w:shd w:val="clear" w:color="auto" w:fill="F7F9FC"/>
            <w:tcMar>
              <w:top w:w="75" w:type="dxa"/>
              <w:left w:w="85" w:type="dxa"/>
              <w:bottom w:w="75" w:type="dxa"/>
              <w:right w:w="85" w:type="dxa"/>
            </w:tcMar>
            <w:vAlign w:val="center"/>
          </w:tcPr>
          <w:p ns2:paraId="2BA50CCA">
            <w:pPr>
              <w:spacing w:after="0" w:line="252" w:lineRule="auto"/>
              <w:rPr>
                <w:rFonts w:hint="eastAsia" w:ascii="宋体" w:hAnsi="宋体" w:eastAsia="宋体" w:cs="宋体"/>
              </w:rPr>
            </w:pPr>
            <w:r>
              <w:rPr>
                <w:rFonts w:hint="eastAsia" w:ascii="宋体" w:hAnsi="宋体" w:eastAsia="宋体" w:cs="宋体"/>
                <w:sz w:val="17"/>
              </w:rPr>
              <w:t>35</w:t>
            </w:r>
          </w:p>
        </w:tc>
        <w:tc>
          <w:tcPr>
            <w:tcW w:w="1984" w:type="dxa"/>
            <w:shd w:val="clear" w:color="auto" w:fill="F7F9FC"/>
            <w:tcMar>
              <w:top w:w="75" w:type="dxa"/>
              <w:left w:w="85" w:type="dxa"/>
              <w:bottom w:w="75" w:type="dxa"/>
              <w:right w:w="85" w:type="dxa"/>
            </w:tcMar>
            <w:vAlign w:val="center"/>
          </w:tcPr>
          <w:p ns2:paraId="09B6EF5A">
            <w:pPr>
              <w:spacing w:after="0" w:line="252" w:lineRule="auto"/>
              <w:rPr>
                <w:rFonts w:hint="eastAsia" w:ascii="宋体" w:hAnsi="宋体" w:eastAsia="宋体" w:cs="宋体"/>
              </w:rPr>
            </w:pPr>
            <w:r>
              <w:rPr>
                <w:rFonts w:hint="eastAsia" w:ascii="宋体" w:hAnsi="宋体" w:eastAsia="宋体" w:cs="宋体"/>
                <w:sz w:val="17"/>
              </w:rPr>
              <w:t>45</w:t>
            </w:r>
          </w:p>
        </w:tc>
        <w:tc>
          <w:tcPr>
            <w:tcW w:w="1984" w:type="dxa"/>
            <w:shd w:val="clear" w:color="auto" w:fill="F7F9FC"/>
            <w:tcMar>
              <w:top w:w="75" w:type="dxa"/>
              <w:left w:w="85" w:type="dxa"/>
              <w:bottom w:w="75" w:type="dxa"/>
              <w:right w:w="85" w:type="dxa"/>
            </w:tcMar>
            <w:vAlign w:val="center"/>
          </w:tcPr>
          <w:p ns2:paraId="12435251">
            <w:pPr>
              <w:spacing w:after="0" w:line="252" w:lineRule="auto"/>
              <w:rPr>
                <w:rFonts w:hint="eastAsia" w:ascii="宋体" w:hAnsi="宋体" w:eastAsia="宋体" w:cs="宋体"/>
              </w:rPr>
            </w:pPr>
            <w:r>
              <w:rPr>
                <w:rFonts w:hint="eastAsia" w:ascii="宋体" w:hAnsi="宋体" w:eastAsia="宋体" w:cs="宋体"/>
                <w:sz w:val="17"/>
              </w:rPr>
              <w:t>55</w:t>
            </w:r>
          </w:p>
        </w:tc>
      </w:tr>
      <w:tr ns2:paraId="482B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Mar>
              <w:top w:w="75" w:type="dxa"/>
              <w:left w:w="85" w:type="dxa"/>
              <w:bottom w:w="75" w:type="dxa"/>
              <w:right w:w="85" w:type="dxa"/>
            </w:tcMar>
            <w:vAlign w:val="center"/>
          </w:tcPr>
          <w:p ns2:paraId="007F1E97">
            <w:pPr>
              <w:spacing w:after="0" w:line="252" w:lineRule="auto"/>
              <w:rPr>
                <w:rFonts w:hint="eastAsia" w:ascii="宋体" w:hAnsi="宋体" w:eastAsia="宋体" w:cs="宋体"/>
              </w:rPr>
            </w:pPr>
            <w:r>
              <w:rPr>
                <w:rFonts w:hint="eastAsia" w:ascii="宋体" w:hAnsi="宋体" w:eastAsia="宋体" w:cs="宋体"/>
                <w:sz w:val="17"/>
              </w:rPr>
              <w:t>其他实施/增值收入（万元）</w:t>
            </w:r>
          </w:p>
        </w:tc>
        <w:tc>
          <w:tcPr>
            <w:tcW w:w="1984" w:type="dxa"/>
            <w:tcMar>
              <w:top w:w="75" w:type="dxa"/>
              <w:left w:w="85" w:type="dxa"/>
              <w:bottom w:w="75" w:type="dxa"/>
              <w:right w:w="85" w:type="dxa"/>
            </w:tcMar>
            <w:vAlign w:val="center"/>
          </w:tcPr>
          <w:p ns2:paraId="48110E13">
            <w:pPr>
              <w:spacing w:after="0" w:line="252" w:lineRule="auto"/>
              <w:rPr>
                <w:rFonts w:hint="eastAsia" w:ascii="宋体" w:hAnsi="宋体" w:eastAsia="宋体" w:cs="宋体"/>
              </w:rPr>
            </w:pPr>
            <w:r>
              <w:rPr>
                <w:rFonts w:hint="eastAsia" w:ascii="宋体" w:hAnsi="宋体" w:eastAsia="宋体" w:cs="宋体"/>
                <w:sz w:val="17"/>
              </w:rPr>
              <w:t>0</w:t>
            </w:r>
          </w:p>
        </w:tc>
        <w:tc>
          <w:tcPr>
            <w:tcW w:w="1984" w:type="dxa"/>
            <w:tcMar>
              <w:top w:w="75" w:type="dxa"/>
              <w:left w:w="85" w:type="dxa"/>
              <w:bottom w:w="75" w:type="dxa"/>
              <w:right w:w="85" w:type="dxa"/>
            </w:tcMar>
            <w:vAlign w:val="center"/>
          </w:tcPr>
          <w:p ns2:paraId="4E7636BC">
            <w:pPr>
              <w:spacing w:after="0" w:line="252" w:lineRule="auto"/>
              <w:rPr>
                <w:rFonts w:hint="eastAsia" w:ascii="宋体" w:hAnsi="宋体" w:eastAsia="宋体" w:cs="宋体"/>
              </w:rPr>
            </w:pPr>
            <w:r>
              <w:rPr>
                <w:rFonts w:hint="eastAsia" w:ascii="宋体" w:hAnsi="宋体" w:eastAsia="宋体" w:cs="宋体"/>
                <w:sz w:val="17"/>
              </w:rPr>
              <w:t>60</w:t>
            </w:r>
          </w:p>
        </w:tc>
        <w:tc>
          <w:tcPr>
            <w:tcW w:w="1984" w:type="dxa"/>
            <w:tcMar>
              <w:top w:w="75" w:type="dxa"/>
              <w:left w:w="85" w:type="dxa"/>
              <w:bottom w:w="75" w:type="dxa"/>
              <w:right w:w="85" w:type="dxa"/>
            </w:tcMar>
            <w:vAlign w:val="center"/>
          </w:tcPr>
          <w:p ns2:paraId="408BBC20">
            <w:pPr>
              <w:spacing w:after="0" w:line="252" w:lineRule="auto"/>
              <w:rPr>
                <w:rFonts w:hint="eastAsia" w:ascii="宋体" w:hAnsi="宋体" w:eastAsia="宋体" w:cs="宋体"/>
              </w:rPr>
            </w:pPr>
            <w:r>
              <w:rPr>
                <w:rFonts w:hint="eastAsia" w:ascii="宋体" w:hAnsi="宋体" w:eastAsia="宋体" w:cs="宋体"/>
                <w:sz w:val="17"/>
              </w:rPr>
              <w:t>120</w:t>
            </w:r>
          </w:p>
        </w:tc>
      </w:tr>
      <w:tr ns2:paraId="5C76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7F9FC"/>
            <w:tcMar>
              <w:top w:w="75" w:type="dxa"/>
              <w:left w:w="85" w:type="dxa"/>
              <w:bottom w:w="75" w:type="dxa"/>
              <w:right w:w="85" w:type="dxa"/>
            </w:tcMar>
            <w:vAlign w:val="center"/>
          </w:tcPr>
          <w:p ns2:paraId="29F1844D">
            <w:pPr>
              <w:spacing w:after="0" w:line="252" w:lineRule="auto"/>
              <w:rPr>
                <w:rFonts w:hint="eastAsia" w:ascii="宋体" w:hAnsi="宋体" w:eastAsia="宋体" w:cs="宋体"/>
              </w:rPr>
            </w:pPr>
            <w:r>
              <w:rPr>
                <w:rFonts w:hint="eastAsia" w:ascii="宋体" w:hAnsi="宋体" w:eastAsia="宋体" w:cs="宋体"/>
                <w:sz w:val="17"/>
              </w:rPr>
              <w:t>预计收入（万元）</w:t>
            </w:r>
          </w:p>
        </w:tc>
        <w:tc>
          <w:tcPr>
            <w:tcW w:w="1984" w:type="dxa"/>
            <w:shd w:val="clear" w:color="auto" w:fill="F7F9FC"/>
            <w:tcMar>
              <w:top w:w="75" w:type="dxa"/>
              <w:left w:w="85" w:type="dxa"/>
              <w:bottom w:w="75" w:type="dxa"/>
              <w:right w:w="85" w:type="dxa"/>
            </w:tcMar>
            <w:vAlign w:val="center"/>
          </w:tcPr>
          <w:p ns2:paraId="639977AF">
            <w:pPr>
              <w:spacing w:after="0" w:line="252" w:lineRule="auto"/>
              <w:rPr>
                <w:rFonts w:hint="eastAsia" w:ascii="宋体" w:hAnsi="宋体" w:eastAsia="宋体" w:cs="宋体"/>
              </w:rPr>
            </w:pPr>
            <w:r>
              <w:rPr>
                <w:rFonts w:hint="eastAsia" w:ascii="宋体" w:hAnsi="宋体" w:eastAsia="宋体" w:cs="宋体"/>
                <w:sz w:val="17"/>
              </w:rPr>
              <w:t>83</w:t>
            </w:r>
          </w:p>
        </w:tc>
        <w:tc>
          <w:tcPr>
            <w:tcW w:w="1984" w:type="dxa"/>
            <w:shd w:val="clear" w:color="auto" w:fill="F7F9FC"/>
            <w:tcMar>
              <w:top w:w="75" w:type="dxa"/>
              <w:left w:w="85" w:type="dxa"/>
              <w:bottom w:w="75" w:type="dxa"/>
              <w:right w:w="85" w:type="dxa"/>
            </w:tcMar>
            <w:vAlign w:val="center"/>
          </w:tcPr>
          <w:p ns2:paraId="2BCF3B86">
            <w:pPr>
              <w:spacing w:after="0" w:line="252" w:lineRule="auto"/>
              <w:rPr>
                <w:rFonts w:hint="eastAsia" w:ascii="宋体" w:hAnsi="宋体" w:eastAsia="宋体" w:cs="宋体"/>
              </w:rPr>
            </w:pPr>
            <w:r>
              <w:rPr>
                <w:rFonts w:hint="eastAsia" w:ascii="宋体" w:hAnsi="宋体" w:eastAsia="宋体" w:cs="宋体"/>
                <w:sz w:val="17"/>
              </w:rPr>
              <w:t>426</w:t>
            </w:r>
          </w:p>
        </w:tc>
        <w:tc>
          <w:tcPr>
            <w:tcW w:w="1984" w:type="dxa"/>
            <w:shd w:val="clear" w:color="auto" w:fill="F7F9FC"/>
            <w:tcMar>
              <w:top w:w="75" w:type="dxa"/>
              <w:left w:w="85" w:type="dxa"/>
              <w:bottom w:w="75" w:type="dxa"/>
              <w:right w:w="85" w:type="dxa"/>
            </w:tcMar>
            <w:vAlign w:val="center"/>
          </w:tcPr>
          <w:p ns2:paraId="47ECBDE1">
            <w:pPr>
              <w:spacing w:after="0" w:line="252" w:lineRule="auto"/>
              <w:rPr>
                <w:rFonts w:hint="eastAsia" w:ascii="宋体" w:hAnsi="宋体" w:eastAsia="宋体" w:cs="宋体"/>
              </w:rPr>
            </w:pPr>
            <w:r>
              <w:rPr>
                <w:rFonts w:hint="eastAsia" w:ascii="宋体" w:hAnsi="宋体" w:eastAsia="宋体" w:cs="宋体"/>
                <w:sz w:val="17"/>
              </w:rPr>
              <w:t>1089</w:t>
            </w:r>
          </w:p>
        </w:tc>
      </w:tr>
      <w:tr ns2:paraId="7B2D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Mar>
              <w:top w:w="75" w:type="dxa"/>
              <w:left w:w="85" w:type="dxa"/>
              <w:bottom w:w="75" w:type="dxa"/>
              <w:right w:w="85" w:type="dxa"/>
            </w:tcMar>
            <w:vAlign w:val="center"/>
          </w:tcPr>
          <w:p ns2:paraId="444508F2">
            <w:pPr>
              <w:spacing w:after="0" w:line="252" w:lineRule="auto"/>
              <w:rPr>
                <w:rFonts w:hint="eastAsia" w:ascii="宋体" w:hAnsi="宋体" w:eastAsia="宋体" w:cs="宋体"/>
              </w:rPr>
            </w:pPr>
            <w:r>
              <w:rPr>
                <w:rFonts w:hint="eastAsia" w:ascii="宋体" w:hAnsi="宋体" w:eastAsia="宋体" w:cs="宋体"/>
                <w:sz w:val="17"/>
              </w:rPr>
              <w:t>团队与研发成本（万元）</w:t>
            </w:r>
          </w:p>
        </w:tc>
        <w:tc>
          <w:tcPr>
            <w:tcW w:w="1984" w:type="dxa"/>
            <w:tcMar>
              <w:top w:w="75" w:type="dxa"/>
              <w:left w:w="85" w:type="dxa"/>
              <w:bottom w:w="75" w:type="dxa"/>
              <w:right w:w="85" w:type="dxa"/>
            </w:tcMar>
            <w:vAlign w:val="center"/>
          </w:tcPr>
          <w:p ns2:paraId="7043DE3A">
            <w:pPr>
              <w:spacing w:after="0" w:line="252" w:lineRule="auto"/>
              <w:rPr>
                <w:rFonts w:hint="eastAsia" w:ascii="宋体" w:hAnsi="宋体" w:eastAsia="宋体" w:cs="宋体"/>
              </w:rPr>
            </w:pPr>
            <w:r>
              <w:rPr>
                <w:rFonts w:hint="eastAsia" w:ascii="宋体" w:hAnsi="宋体" w:eastAsia="宋体" w:cs="宋体"/>
                <w:sz w:val="17"/>
              </w:rPr>
              <w:t>120</w:t>
            </w:r>
          </w:p>
        </w:tc>
        <w:tc>
          <w:tcPr>
            <w:tcW w:w="1984" w:type="dxa"/>
            <w:tcMar>
              <w:top w:w="75" w:type="dxa"/>
              <w:left w:w="85" w:type="dxa"/>
              <w:bottom w:w="75" w:type="dxa"/>
              <w:right w:w="85" w:type="dxa"/>
            </w:tcMar>
            <w:vAlign w:val="center"/>
          </w:tcPr>
          <w:p ns2:paraId="03BE5F63">
            <w:pPr>
              <w:spacing w:after="0" w:line="252" w:lineRule="auto"/>
              <w:rPr>
                <w:rFonts w:hint="eastAsia" w:ascii="宋体" w:hAnsi="宋体" w:eastAsia="宋体" w:cs="宋体"/>
              </w:rPr>
            </w:pPr>
            <w:r>
              <w:rPr>
                <w:rFonts w:hint="eastAsia" w:ascii="宋体" w:hAnsi="宋体" w:eastAsia="宋体" w:cs="宋体"/>
                <w:sz w:val="17"/>
              </w:rPr>
              <w:t>220</w:t>
            </w:r>
          </w:p>
        </w:tc>
        <w:tc>
          <w:tcPr>
            <w:tcW w:w="1984" w:type="dxa"/>
            <w:tcMar>
              <w:top w:w="75" w:type="dxa"/>
              <w:left w:w="85" w:type="dxa"/>
              <w:bottom w:w="75" w:type="dxa"/>
              <w:right w:w="85" w:type="dxa"/>
            </w:tcMar>
            <w:vAlign w:val="center"/>
          </w:tcPr>
          <w:p ns2:paraId="140AEBEC">
            <w:pPr>
              <w:spacing w:after="0" w:line="252" w:lineRule="auto"/>
              <w:rPr>
                <w:rFonts w:hint="eastAsia" w:ascii="宋体" w:hAnsi="宋体" w:eastAsia="宋体" w:cs="宋体"/>
              </w:rPr>
            </w:pPr>
            <w:r>
              <w:rPr>
                <w:rFonts w:hint="eastAsia" w:ascii="宋体" w:hAnsi="宋体" w:eastAsia="宋体" w:cs="宋体"/>
                <w:sz w:val="17"/>
              </w:rPr>
              <w:t>420</w:t>
            </w:r>
          </w:p>
        </w:tc>
      </w:tr>
      <w:tr ns2:paraId="6F9C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7F9FC"/>
            <w:tcMar>
              <w:top w:w="75" w:type="dxa"/>
              <w:left w:w="85" w:type="dxa"/>
              <w:bottom w:w="75" w:type="dxa"/>
              <w:right w:w="85" w:type="dxa"/>
            </w:tcMar>
            <w:vAlign w:val="center"/>
          </w:tcPr>
          <w:p ns2:paraId="518555F1">
            <w:pPr>
              <w:spacing w:after="0" w:line="252" w:lineRule="auto"/>
              <w:rPr>
                <w:rFonts w:hint="eastAsia" w:ascii="宋体" w:hAnsi="宋体" w:eastAsia="宋体" w:cs="宋体"/>
              </w:rPr>
            </w:pPr>
            <w:r>
              <w:rPr>
                <w:rFonts w:hint="eastAsia" w:ascii="宋体" w:hAnsi="宋体" w:eastAsia="宋体" w:cs="宋体"/>
                <w:sz w:val="17"/>
              </w:rPr>
              <w:t>云/LLM/数据与交付成本（万元）</w:t>
            </w:r>
          </w:p>
        </w:tc>
        <w:tc>
          <w:tcPr>
            <w:tcW w:w="1984" w:type="dxa"/>
            <w:shd w:val="clear" w:color="auto" w:fill="F7F9FC"/>
            <w:tcMar>
              <w:top w:w="75" w:type="dxa"/>
              <w:left w:w="85" w:type="dxa"/>
              <w:bottom w:w="75" w:type="dxa"/>
              <w:right w:w="85" w:type="dxa"/>
            </w:tcMar>
            <w:vAlign w:val="center"/>
          </w:tcPr>
          <w:p ns2:paraId="73F12227">
            <w:pPr>
              <w:spacing w:after="0" w:line="252" w:lineRule="auto"/>
              <w:rPr>
                <w:rFonts w:hint="eastAsia" w:ascii="宋体" w:hAnsi="宋体" w:eastAsia="宋体" w:cs="宋体"/>
              </w:rPr>
            </w:pPr>
            <w:r>
              <w:rPr>
                <w:rFonts w:hint="eastAsia" w:ascii="宋体" w:hAnsi="宋体" w:eastAsia="宋体" w:cs="宋体"/>
                <w:sz w:val="17"/>
              </w:rPr>
              <w:t>35</w:t>
            </w:r>
          </w:p>
        </w:tc>
        <w:tc>
          <w:tcPr>
            <w:tcW w:w="1984" w:type="dxa"/>
            <w:shd w:val="clear" w:color="auto" w:fill="F7F9FC"/>
            <w:tcMar>
              <w:top w:w="75" w:type="dxa"/>
              <w:left w:w="85" w:type="dxa"/>
              <w:bottom w:w="75" w:type="dxa"/>
              <w:right w:w="85" w:type="dxa"/>
            </w:tcMar>
            <w:vAlign w:val="center"/>
          </w:tcPr>
          <w:p ns2:paraId="0C36C04C">
            <w:pPr>
              <w:spacing w:after="0" w:line="252" w:lineRule="auto"/>
              <w:rPr>
                <w:rFonts w:hint="eastAsia" w:ascii="宋体" w:hAnsi="宋体" w:eastAsia="宋体" w:cs="宋体"/>
              </w:rPr>
            </w:pPr>
            <w:r>
              <w:rPr>
                <w:rFonts w:hint="eastAsia" w:ascii="宋体" w:hAnsi="宋体" w:eastAsia="宋体" w:cs="宋体"/>
                <w:sz w:val="17"/>
              </w:rPr>
              <w:t>80</w:t>
            </w:r>
          </w:p>
        </w:tc>
        <w:tc>
          <w:tcPr>
            <w:tcW w:w="1984" w:type="dxa"/>
            <w:shd w:val="clear" w:color="auto" w:fill="F7F9FC"/>
            <w:tcMar>
              <w:top w:w="75" w:type="dxa"/>
              <w:left w:w="85" w:type="dxa"/>
              <w:bottom w:w="75" w:type="dxa"/>
              <w:right w:w="85" w:type="dxa"/>
            </w:tcMar>
            <w:vAlign w:val="center"/>
          </w:tcPr>
          <w:p ns2:paraId="35F7C9D7">
            <w:pPr>
              <w:spacing w:after="0" w:line="252" w:lineRule="auto"/>
              <w:rPr>
                <w:rFonts w:hint="eastAsia" w:ascii="宋体" w:hAnsi="宋体" w:eastAsia="宋体" w:cs="宋体"/>
              </w:rPr>
            </w:pPr>
            <w:r>
              <w:rPr>
                <w:rFonts w:hint="eastAsia" w:ascii="宋体" w:hAnsi="宋体" w:eastAsia="宋体" w:cs="宋体"/>
                <w:sz w:val="17"/>
              </w:rPr>
              <w:t>160</w:t>
            </w:r>
          </w:p>
        </w:tc>
      </w:tr>
      <w:tr ns2:paraId="630A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tcMar>
              <w:top w:w="75" w:type="dxa"/>
              <w:left w:w="85" w:type="dxa"/>
              <w:bottom w:w="75" w:type="dxa"/>
              <w:right w:w="85" w:type="dxa"/>
            </w:tcMar>
            <w:vAlign w:val="center"/>
          </w:tcPr>
          <w:p ns2:paraId="0ACA6567">
            <w:pPr>
              <w:spacing w:after="0" w:line="252" w:lineRule="auto"/>
              <w:rPr>
                <w:rFonts w:hint="eastAsia" w:ascii="宋体" w:hAnsi="宋体" w:eastAsia="宋体" w:cs="宋体"/>
              </w:rPr>
            </w:pPr>
            <w:r>
              <w:rPr>
                <w:rFonts w:hint="eastAsia" w:ascii="宋体" w:hAnsi="宋体" w:eastAsia="宋体" w:cs="宋体"/>
                <w:sz w:val="17"/>
              </w:rPr>
              <w:t>销售管理及其他（万元）</w:t>
            </w:r>
          </w:p>
        </w:tc>
        <w:tc>
          <w:tcPr>
            <w:tcW w:w="1984" w:type="dxa"/>
            <w:tcMar>
              <w:top w:w="75" w:type="dxa"/>
              <w:left w:w="85" w:type="dxa"/>
              <w:bottom w:w="75" w:type="dxa"/>
              <w:right w:w="85" w:type="dxa"/>
            </w:tcMar>
            <w:vAlign w:val="center"/>
          </w:tcPr>
          <w:p ns2:paraId="128C69D4">
            <w:pPr>
              <w:spacing w:after="0" w:line="252" w:lineRule="auto"/>
              <w:rPr>
                <w:rFonts w:hint="eastAsia" w:ascii="宋体" w:hAnsi="宋体" w:eastAsia="宋体" w:cs="宋体"/>
              </w:rPr>
            </w:pPr>
            <w:r>
              <w:rPr>
                <w:rFonts w:hint="eastAsia" w:ascii="宋体" w:hAnsi="宋体" w:eastAsia="宋体" w:cs="宋体"/>
                <w:sz w:val="17"/>
              </w:rPr>
              <w:t>25</w:t>
            </w:r>
          </w:p>
        </w:tc>
        <w:tc>
          <w:tcPr>
            <w:tcW w:w="1984" w:type="dxa"/>
            <w:tcMar>
              <w:top w:w="75" w:type="dxa"/>
              <w:left w:w="85" w:type="dxa"/>
              <w:bottom w:w="75" w:type="dxa"/>
              <w:right w:w="85" w:type="dxa"/>
            </w:tcMar>
            <w:vAlign w:val="center"/>
          </w:tcPr>
          <w:p ns2:paraId="25FD733F">
            <w:pPr>
              <w:spacing w:after="0" w:line="252" w:lineRule="auto"/>
              <w:rPr>
                <w:rFonts w:hint="eastAsia" w:ascii="宋体" w:hAnsi="宋体" w:eastAsia="宋体" w:cs="宋体"/>
              </w:rPr>
            </w:pPr>
            <w:r>
              <w:rPr>
                <w:rFonts w:hint="eastAsia" w:ascii="宋体" w:hAnsi="宋体" w:eastAsia="宋体" w:cs="宋体"/>
                <w:sz w:val="17"/>
              </w:rPr>
              <w:t>70</w:t>
            </w:r>
          </w:p>
        </w:tc>
        <w:tc>
          <w:tcPr>
            <w:tcW w:w="1984" w:type="dxa"/>
            <w:tcMar>
              <w:top w:w="75" w:type="dxa"/>
              <w:left w:w="85" w:type="dxa"/>
              <w:bottom w:w="75" w:type="dxa"/>
              <w:right w:w="85" w:type="dxa"/>
            </w:tcMar>
            <w:vAlign w:val="center"/>
          </w:tcPr>
          <w:p ns2:paraId="555F4528">
            <w:pPr>
              <w:spacing w:after="0" w:line="252" w:lineRule="auto"/>
              <w:rPr>
                <w:rFonts w:hint="eastAsia" w:ascii="宋体" w:hAnsi="宋体" w:eastAsia="宋体" w:cs="宋体"/>
              </w:rPr>
            </w:pPr>
            <w:r>
              <w:rPr>
                <w:rFonts w:hint="eastAsia" w:ascii="宋体" w:hAnsi="宋体" w:eastAsia="宋体" w:cs="宋体"/>
                <w:sz w:val="17"/>
              </w:rPr>
              <w:t>150</w:t>
            </w:r>
          </w:p>
        </w:tc>
      </w:tr>
      <w:tr ns2:paraId="686C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28" w:type="dxa"/>
            <w:shd w:val="clear" w:color="auto" w:fill="F7F9FC"/>
            <w:tcMar>
              <w:top w:w="75" w:type="dxa"/>
              <w:left w:w="85" w:type="dxa"/>
              <w:bottom w:w="75" w:type="dxa"/>
              <w:right w:w="85" w:type="dxa"/>
            </w:tcMar>
            <w:vAlign w:val="center"/>
          </w:tcPr>
          <w:p ns2:paraId="3B586646">
            <w:pPr>
              <w:spacing w:after="0" w:line="252" w:lineRule="auto"/>
              <w:rPr>
                <w:rFonts w:hint="eastAsia" w:ascii="宋体" w:hAnsi="宋体" w:eastAsia="宋体" w:cs="宋体"/>
              </w:rPr>
            </w:pPr>
            <w:r>
              <w:rPr>
                <w:rFonts w:hint="eastAsia" w:ascii="宋体" w:hAnsi="宋体" w:eastAsia="宋体" w:cs="宋体"/>
                <w:sz w:val="17"/>
              </w:rPr>
              <w:t>经营结果（万元，粗略）</w:t>
            </w:r>
          </w:p>
        </w:tc>
        <w:tc>
          <w:tcPr>
            <w:tcW w:w="1984" w:type="dxa"/>
            <w:shd w:val="clear" w:color="auto" w:fill="F7F9FC"/>
            <w:tcMar>
              <w:top w:w="75" w:type="dxa"/>
              <w:left w:w="85" w:type="dxa"/>
              <w:bottom w:w="75" w:type="dxa"/>
              <w:right w:w="85" w:type="dxa"/>
            </w:tcMar>
            <w:vAlign w:val="center"/>
          </w:tcPr>
          <w:p ns2:paraId="6294D831">
            <w:pPr>
              <w:spacing w:after="0" w:line="252" w:lineRule="auto"/>
              <w:rPr>
                <w:rFonts w:hint="eastAsia" w:ascii="宋体" w:hAnsi="宋体" w:eastAsia="宋体" w:cs="宋体"/>
              </w:rPr>
            </w:pPr>
            <w:r>
              <w:rPr>
                <w:rFonts w:hint="eastAsia" w:ascii="宋体" w:hAnsi="宋体" w:eastAsia="宋体" w:cs="宋体"/>
                <w:sz w:val="17"/>
              </w:rPr>
              <w:t>-97</w:t>
            </w:r>
          </w:p>
        </w:tc>
        <w:tc>
          <w:tcPr>
            <w:tcW w:w="1984" w:type="dxa"/>
            <w:shd w:val="clear" w:color="auto" w:fill="F7F9FC"/>
            <w:tcMar>
              <w:top w:w="75" w:type="dxa"/>
              <w:left w:w="85" w:type="dxa"/>
              <w:bottom w:w="75" w:type="dxa"/>
              <w:right w:w="85" w:type="dxa"/>
            </w:tcMar>
            <w:vAlign w:val="center"/>
          </w:tcPr>
          <w:p ns2:paraId="2383A437">
            <w:pPr>
              <w:spacing w:after="0" w:line="252" w:lineRule="auto"/>
              <w:rPr>
                <w:rFonts w:hint="eastAsia" w:ascii="宋体" w:hAnsi="宋体" w:eastAsia="宋体" w:cs="宋体"/>
              </w:rPr>
            </w:pPr>
            <w:r>
              <w:rPr>
                <w:rFonts w:hint="eastAsia" w:ascii="宋体" w:hAnsi="宋体" w:eastAsia="宋体" w:cs="宋体"/>
                <w:sz w:val="17"/>
              </w:rPr>
              <w:t>56</w:t>
            </w:r>
          </w:p>
        </w:tc>
        <w:tc>
          <w:tcPr>
            <w:tcW w:w="1984" w:type="dxa"/>
            <w:shd w:val="clear" w:color="auto" w:fill="F7F9FC"/>
            <w:tcMar>
              <w:top w:w="75" w:type="dxa"/>
              <w:left w:w="85" w:type="dxa"/>
              <w:bottom w:w="75" w:type="dxa"/>
              <w:right w:w="85" w:type="dxa"/>
            </w:tcMar>
            <w:vAlign w:val="center"/>
          </w:tcPr>
          <w:p ns2:paraId="0586E525">
            <w:pPr>
              <w:spacing w:after="0" w:line="252" w:lineRule="auto"/>
              <w:rPr>
                <w:rFonts w:hint="eastAsia" w:ascii="宋体" w:hAnsi="宋体" w:eastAsia="宋体" w:cs="宋体"/>
              </w:rPr>
            </w:pPr>
            <w:r>
              <w:rPr>
                <w:rFonts w:hint="eastAsia" w:ascii="宋体" w:hAnsi="宋体" w:eastAsia="宋体" w:cs="宋体"/>
                <w:sz w:val="17"/>
              </w:rPr>
              <w:t>359</w:t>
            </w:r>
          </w:p>
        </w:tc>
      </w:tr>
    </w:tbl>
    <w:p ns2:paraId="645D3073">
      <w:pPr>
        <w:spacing w:after="20"/>
        <w:rPr>
          <w:rFonts w:hint="eastAsia" w:ascii="宋体" w:hAnsi="宋体" w:eastAsia="宋体" w:cs="宋体"/>
        </w:rPr>
      </w:pPr>
    </w:p>
    <w:p ns2:paraId="439D29F7">
      <w:pPr>
        <w:spacing w:after="100" w:line="300" w:lineRule="auto"/>
        <w:ind w:firstLine="420"/>
        <w:rPr>
          <w:rFonts w:hint="eastAsia" w:ascii="宋体" w:hAnsi="宋体" w:eastAsia="宋体" w:cs="宋体"/>
        </w:rPr>
      </w:pPr>
      <w:r>
        <w:rPr>
          <w:rFonts w:hint="eastAsia" w:ascii="宋体" w:hAnsi="宋体" w:eastAsia="宋体" w:cs="宋体"/>
          <w:sz w:val="21"/>
        </w:rPr>
        <w:t>盈亏测算的敏感变量不是“股票收益率”，而是客户转化率、年合同金额、POC转年费比例和私有化交付成本。若没有机构愿意为节省Agent成本、提升可治理性与投研效率付费，则技术再漂亮也不能成立；因此比赛后最重要的商业验证是客户访谈与POC，而不是继续拉长财务表。</w:t>
      </w:r>
    </w:p>
    <w:p ns2:paraId="1684F67D">
      <w:pPr>
        <w:pStyle w:val="3"/>
        <w:keepNext/>
        <w:spacing w:before="240" w:after="120"/>
        <w:rPr>
          <w:rFonts w:hint="eastAsia" w:ascii="宋体" w:hAnsi="宋体" w:eastAsia="宋体" w:cs="宋体"/>
        </w:rPr>
      </w:pPr>
      <w:r>
        <w:rPr>
          <w:rFonts w:hint="eastAsia" w:ascii="宋体" w:hAnsi="宋体" w:eastAsia="宋体" w:cs="宋体"/>
          <w:b/>
          <w:color w:val="17365D"/>
          <w:sz w:val="32"/>
        </w:rPr>
        <w:t>1</w:t>
      </w:r>
      <w:r>
        <w:rPr>
          <w:rFonts w:hint="eastAsia" w:ascii="宋体" w:hAnsi="宋体" w:eastAsia="宋体" w:cs="宋体"/>
          <w:b/>
          <w:color w:val="17365D"/>
          <w:sz w:val="32"/>
          <w:lang w:val="en-US" w:eastAsia="zh-CN"/>
        </w:rPr>
        <w:t>7</w:t>
      </w:r>
      <w:r>
        <w:rPr>
          <w:rFonts w:hint="eastAsia" w:ascii="宋体" w:hAnsi="宋体" w:eastAsia="宋体" w:cs="宋体"/>
          <w:b/>
          <w:color w:val="17365D"/>
          <w:sz w:val="32"/>
        </w:rPr>
        <w:t>. 项目价值、愿景与比赛呈现</w:t>
      </w:r>
    </w:p>
    <w:p ns2:paraId="68AC6544">
      <w:pPr>
        <w:pStyle w:val="4"/>
        <w:keepNext/>
        <w:spacing w:before="140" w:after="120"/>
        <w:rPr>
          <w:rFonts w:hint="eastAsia" w:ascii="宋体" w:hAnsi="宋体" w:eastAsia="宋体" w:cs="宋体"/>
        </w:rPr>
      </w:pPr>
      <w:r>
        <w:rPr>
          <w:rFonts w:hint="eastAsia" w:ascii="宋体" w:hAnsi="宋体" w:eastAsia="宋体" w:cs="宋体"/>
          <w:b/>
          <w:color w:val="1F4E79"/>
          <w:sz w:val="26"/>
        </w:rPr>
        <w:t>1</w:t>
      </w:r>
      <w:r>
        <w:rPr>
          <w:rFonts w:hint="eastAsia" w:ascii="宋体" w:hAnsi="宋体" w:eastAsia="宋体" w:cs="宋体"/>
          <w:b/>
          <w:color w:val="1F4E79"/>
          <w:sz w:val="26"/>
          <w:lang w:val="en-US" w:eastAsia="zh-CN"/>
        </w:rPr>
        <w:t>7</w:t>
      </w:r>
      <w:r>
        <w:rPr>
          <w:rFonts w:hint="eastAsia" w:ascii="宋体" w:hAnsi="宋体" w:eastAsia="宋体" w:cs="宋体"/>
          <w:b/>
          <w:color w:val="1F4E79"/>
          <w:sz w:val="26"/>
        </w:rPr>
        <w:t>.1 研究价值</w:t>
      </w:r>
    </w:p>
    <w:p ns2:paraId="4939944F">
      <w:pPr>
        <w:spacing w:after="100" w:line="300" w:lineRule="auto"/>
        <w:ind w:firstLine="420"/>
        <w:rPr>
          <w:rFonts w:hint="eastAsia" w:ascii="宋体" w:hAnsi="宋体" w:eastAsia="宋体" w:cs="宋体"/>
        </w:rPr>
      </w:pPr>
      <w:r>
        <w:rPr>
          <w:rFonts w:hint="eastAsia" w:ascii="宋体" w:hAnsi="宋体" w:eastAsia="宋体" w:cs="宋体"/>
          <w:sz w:val="21"/>
        </w:rPr>
        <w:t>项目把多智能体金融研究从“Agent越多是否越强”的Scaling问题，转向“在非平稳市场中，如何以有限预算选择最有效的独立信息通道，并把冲突本身转化为可管理的状态”。三项创新分别对应Selection、Conflict Resolution和Computation三条相互正交、可消融验证的研究问题。</w:t>
      </w:r>
    </w:p>
    <w:p ns2:paraId="1F100C54">
      <w:pPr>
        <w:pStyle w:val="4"/>
        <w:keepNext/>
        <w:spacing w:before="140" w:after="120"/>
        <w:rPr>
          <w:rFonts w:hint="eastAsia" w:ascii="宋体" w:hAnsi="宋体" w:eastAsia="宋体" w:cs="宋体"/>
        </w:rPr>
      </w:pPr>
      <w:r>
        <w:rPr>
          <w:rFonts w:hint="eastAsia" w:ascii="宋体" w:hAnsi="宋体" w:eastAsia="宋体" w:cs="宋体"/>
          <w:b/>
          <w:color w:val="1F4E79"/>
          <w:sz w:val="26"/>
        </w:rPr>
        <w:t>1</w:t>
      </w:r>
      <w:r>
        <w:rPr>
          <w:rFonts w:hint="eastAsia" w:ascii="宋体" w:hAnsi="宋体" w:eastAsia="宋体" w:cs="宋体"/>
          <w:b/>
          <w:color w:val="1F4E79"/>
          <w:sz w:val="26"/>
          <w:lang w:val="en-US" w:eastAsia="zh-CN"/>
        </w:rPr>
        <w:t>7</w:t>
      </w:r>
      <w:r>
        <w:rPr>
          <w:rFonts w:hint="eastAsia" w:ascii="宋体" w:hAnsi="宋体" w:eastAsia="宋体" w:cs="宋体"/>
          <w:b/>
          <w:color w:val="1F4E79"/>
          <w:sz w:val="26"/>
        </w:rPr>
        <w:t>.2 工程价值</w:t>
      </w:r>
    </w:p>
    <w:p ns2:paraId="25D00B64">
      <w:pPr>
        <w:spacing w:after="100" w:line="300" w:lineRule="auto"/>
        <w:ind w:firstLine="420"/>
        <w:rPr>
          <w:rFonts w:hint="eastAsia" w:ascii="宋体" w:hAnsi="宋体" w:eastAsia="宋体" w:cs="宋体"/>
        </w:rPr>
      </w:pPr>
      <w:r>
        <w:rPr>
          <w:rFonts w:hint="eastAsia" w:ascii="宋体" w:hAnsi="宋体" w:eastAsia="宋体" w:cs="宋体"/>
          <w:sz w:val="21"/>
        </w:rPr>
        <w:t>通过兼容Qlib、机构自研回测器以及公开研究Benchmark，把量化计算留给确定性工具、把跨模型选择和语义冲突交给Agent Controller，形成“模型是工具，Agent是编排层，风险系统是最终硬边界”的可落地工程结构。</w:t>
      </w:r>
    </w:p>
    <w:p ns2:paraId="003272EE">
      <w:pPr>
        <w:pStyle w:val="4"/>
        <w:keepNext/>
        <w:spacing w:before="140" w:after="120"/>
        <w:rPr>
          <w:rFonts w:hint="eastAsia" w:ascii="宋体" w:hAnsi="宋体" w:eastAsia="宋体" w:cs="宋体"/>
        </w:rPr>
      </w:pPr>
      <w:r>
        <w:rPr>
          <w:rFonts w:hint="eastAsia" w:ascii="宋体" w:hAnsi="宋体" w:eastAsia="宋体" w:cs="宋体"/>
          <w:b/>
          <w:color w:val="1F4E79"/>
          <w:sz w:val="26"/>
        </w:rPr>
        <w:t>1</w:t>
      </w:r>
      <w:r>
        <w:rPr>
          <w:rFonts w:hint="eastAsia" w:ascii="宋体" w:hAnsi="宋体" w:eastAsia="宋体" w:cs="宋体"/>
          <w:b/>
          <w:color w:val="1F4E79"/>
          <w:sz w:val="26"/>
          <w:lang w:val="en-US" w:eastAsia="zh-CN"/>
        </w:rPr>
        <w:t>7</w:t>
      </w:r>
      <w:r>
        <w:rPr>
          <w:rFonts w:hint="eastAsia" w:ascii="宋体" w:hAnsi="宋体" w:eastAsia="宋体" w:cs="宋体"/>
          <w:b/>
          <w:color w:val="1F4E79"/>
          <w:sz w:val="26"/>
        </w:rPr>
        <w:t>.3 商业价值</w:t>
      </w:r>
    </w:p>
    <w:p ns2:paraId="674EF53C">
      <w:pPr>
        <w:spacing w:after="100" w:line="300" w:lineRule="auto"/>
        <w:ind w:firstLine="420"/>
        <w:rPr>
          <w:rFonts w:hint="eastAsia" w:ascii="宋体" w:hAnsi="宋体" w:eastAsia="宋体" w:cs="宋体"/>
        </w:rPr>
      </w:pPr>
      <w:r>
        <w:rPr>
          <w:rFonts w:hint="eastAsia" w:ascii="宋体" w:hAnsi="宋体" w:eastAsia="宋体" w:cs="宋体"/>
          <w:sz w:val="21"/>
        </w:rPr>
        <w:t>商业产品不是“替客户炒股”，而是机构级AI Quant Orchestration Layer：减少冗余推理、提高研究流程自动化和可解释性，并将复杂多Agent系统从实验室Demo升级为可以被科技、投研和风险团队共同管理的基础设施。</w:t>
      </w:r>
    </w:p>
    <w:p ns2:paraId="28F9E10C">
      <w:pPr>
        <w:pStyle w:val="4"/>
        <w:keepNext/>
        <w:spacing w:before="140" w:after="120"/>
        <w:rPr>
          <w:rFonts w:hint="eastAsia" w:ascii="宋体" w:hAnsi="宋体" w:eastAsia="宋体" w:cs="宋体"/>
        </w:rPr>
      </w:pPr>
      <w:r>
        <w:rPr>
          <w:rFonts w:hint="eastAsia" w:ascii="宋体" w:hAnsi="宋体" w:eastAsia="宋体" w:cs="宋体"/>
          <w:b/>
          <w:color w:val="1F4E79"/>
          <w:sz w:val="26"/>
        </w:rPr>
        <w:t>1</w:t>
      </w:r>
      <w:r>
        <w:rPr>
          <w:rFonts w:hint="eastAsia" w:ascii="宋体" w:hAnsi="宋体" w:eastAsia="宋体" w:cs="宋体"/>
          <w:b/>
          <w:color w:val="1F4E79"/>
          <w:sz w:val="26"/>
          <w:lang w:val="en-US" w:eastAsia="zh-CN"/>
        </w:rPr>
        <w:t>7</w:t>
      </w:r>
      <w:r>
        <w:rPr>
          <w:rFonts w:hint="eastAsia" w:ascii="宋体" w:hAnsi="宋体" w:eastAsia="宋体" w:cs="宋体"/>
          <w:b/>
          <w:color w:val="1F4E79"/>
          <w:sz w:val="26"/>
        </w:rPr>
        <w:t>.4 比赛路演应重点展示的四幕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4195"/>
        <w:gridCol w:w="3855"/>
      </w:tblGrid>
      <w:tr ns2:paraId="4C8F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1F4E79"/>
            <w:tcMar>
              <w:top w:w="90" w:type="dxa"/>
              <w:left w:w="90" w:type="dxa"/>
              <w:bottom w:w="90" w:type="dxa"/>
              <w:right w:w="90" w:type="dxa"/>
            </w:tcMar>
            <w:vAlign w:val="center"/>
          </w:tcPr>
          <w:p ns2:paraId="18BA3B38">
            <w:pPr>
              <w:spacing w:after="0" w:line="240" w:lineRule="auto"/>
              <w:jc w:val="center"/>
              <w:rPr>
                <w:rFonts w:hint="eastAsia" w:ascii="宋体" w:hAnsi="宋体" w:eastAsia="宋体" w:cs="宋体"/>
              </w:rPr>
            </w:pPr>
            <w:r>
              <w:rPr>
                <w:rFonts w:hint="eastAsia" w:ascii="宋体" w:hAnsi="宋体" w:eastAsia="宋体" w:cs="宋体"/>
                <w:b/>
                <w:color w:val="FFFFFF"/>
                <w:sz w:val="17"/>
              </w:rPr>
              <w:t>幕</w:t>
            </w:r>
          </w:p>
        </w:tc>
        <w:tc>
          <w:tcPr>
            <w:tcW w:w="4195" w:type="dxa"/>
            <w:shd w:val="clear" w:color="auto" w:fill="1F4E79"/>
            <w:tcMar>
              <w:top w:w="90" w:type="dxa"/>
              <w:left w:w="90" w:type="dxa"/>
              <w:bottom w:w="90" w:type="dxa"/>
              <w:right w:w="90" w:type="dxa"/>
            </w:tcMar>
            <w:vAlign w:val="center"/>
          </w:tcPr>
          <w:p ns2:paraId="36E0A253">
            <w:pPr>
              <w:spacing w:after="0" w:line="240" w:lineRule="auto"/>
              <w:jc w:val="center"/>
              <w:rPr>
                <w:rFonts w:hint="eastAsia" w:ascii="宋体" w:hAnsi="宋体" w:eastAsia="宋体" w:cs="宋体"/>
              </w:rPr>
            </w:pPr>
            <w:r>
              <w:rPr>
                <w:rFonts w:hint="eastAsia" w:ascii="宋体" w:hAnsi="宋体" w:eastAsia="宋体" w:cs="宋体"/>
                <w:b/>
                <w:color w:val="FFFFFF"/>
                <w:sz w:val="17"/>
              </w:rPr>
              <w:t>现场画面</w:t>
            </w:r>
          </w:p>
        </w:tc>
        <w:tc>
          <w:tcPr>
            <w:tcW w:w="3855" w:type="dxa"/>
            <w:shd w:val="clear" w:color="auto" w:fill="1F4E79"/>
            <w:tcMar>
              <w:top w:w="90" w:type="dxa"/>
              <w:left w:w="90" w:type="dxa"/>
              <w:bottom w:w="90" w:type="dxa"/>
              <w:right w:w="90" w:type="dxa"/>
            </w:tcMar>
            <w:vAlign w:val="center"/>
          </w:tcPr>
          <w:p ns2:paraId="5A3CE50D">
            <w:pPr>
              <w:spacing w:after="0" w:line="240" w:lineRule="auto"/>
              <w:jc w:val="center"/>
              <w:rPr>
                <w:rFonts w:hint="eastAsia" w:ascii="宋体" w:hAnsi="宋体" w:eastAsia="宋体" w:cs="宋体"/>
              </w:rPr>
            </w:pPr>
            <w:r>
              <w:rPr>
                <w:rFonts w:hint="eastAsia" w:ascii="宋体" w:hAnsi="宋体" w:eastAsia="宋体" w:cs="宋体"/>
                <w:b/>
                <w:color w:val="FFFFFF"/>
                <w:sz w:val="17"/>
              </w:rPr>
              <w:t>一句话</w:t>
            </w:r>
          </w:p>
        </w:tc>
      </w:tr>
      <w:tr ns2:paraId="496C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5" w:type="dxa"/>
              <w:left w:w="85" w:type="dxa"/>
              <w:bottom w:w="75" w:type="dxa"/>
              <w:right w:w="85" w:type="dxa"/>
            </w:tcMar>
            <w:vAlign w:val="center"/>
          </w:tcPr>
          <w:p ns2:paraId="39EAF30A">
            <w:pPr>
              <w:spacing w:after="0" w:line="252" w:lineRule="auto"/>
              <w:rPr>
                <w:rFonts w:hint="eastAsia" w:ascii="宋体" w:hAnsi="宋体" w:eastAsia="宋体" w:cs="宋体"/>
              </w:rPr>
            </w:pPr>
            <w:r>
              <w:rPr>
                <w:rFonts w:hint="eastAsia" w:ascii="宋体" w:hAnsi="宋体" w:eastAsia="宋体" w:cs="宋体"/>
                <w:sz w:val="17"/>
              </w:rPr>
              <w:t>1 市场突变</w:t>
            </w:r>
          </w:p>
        </w:tc>
        <w:tc>
          <w:tcPr>
            <w:tcW w:w="4195" w:type="dxa"/>
            <w:tcMar>
              <w:top w:w="75" w:type="dxa"/>
              <w:left w:w="85" w:type="dxa"/>
              <w:bottom w:w="75" w:type="dxa"/>
              <w:right w:w="85" w:type="dxa"/>
            </w:tcMar>
            <w:vAlign w:val="center"/>
          </w:tcPr>
          <w:p ns2:paraId="4B0D2E2F">
            <w:pPr>
              <w:spacing w:after="0" w:line="252" w:lineRule="auto"/>
              <w:rPr>
                <w:rFonts w:hint="eastAsia" w:ascii="宋体" w:hAnsi="宋体" w:eastAsia="宋体" w:cs="宋体"/>
              </w:rPr>
            </w:pPr>
            <w:r>
              <w:rPr>
                <w:rFonts w:hint="eastAsia" w:ascii="宋体" w:hAnsi="宋体" w:eastAsia="宋体" w:cs="宋体"/>
                <w:sz w:val="17"/>
              </w:rPr>
              <w:t>Regime从正常切到高波/重大事件</w:t>
            </w:r>
          </w:p>
        </w:tc>
        <w:tc>
          <w:tcPr>
            <w:tcW w:w="3855" w:type="dxa"/>
            <w:tcMar>
              <w:top w:w="75" w:type="dxa"/>
              <w:left w:w="85" w:type="dxa"/>
              <w:bottom w:w="75" w:type="dxa"/>
              <w:right w:w="85" w:type="dxa"/>
            </w:tcMar>
            <w:vAlign w:val="center"/>
          </w:tcPr>
          <w:p ns2:paraId="7E60B881">
            <w:pPr>
              <w:spacing w:after="0" w:line="252" w:lineRule="auto"/>
              <w:rPr>
                <w:rFonts w:hint="eastAsia" w:ascii="宋体" w:hAnsi="宋体" w:eastAsia="宋体" w:cs="宋体"/>
              </w:rPr>
            </w:pPr>
            <w:r>
              <w:rPr>
                <w:rFonts w:hint="eastAsia" w:ascii="宋体" w:hAnsi="宋体" w:eastAsia="宋体" w:cs="宋体"/>
                <w:sz w:val="17"/>
              </w:rPr>
              <w:t>系统先判断“今天不应照常问所有人”</w:t>
            </w:r>
          </w:p>
        </w:tc>
      </w:tr>
      <w:tr ns2:paraId="3707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7F9FC"/>
            <w:tcMar>
              <w:top w:w="75" w:type="dxa"/>
              <w:left w:w="85" w:type="dxa"/>
              <w:bottom w:w="75" w:type="dxa"/>
              <w:right w:w="85" w:type="dxa"/>
            </w:tcMar>
            <w:vAlign w:val="center"/>
          </w:tcPr>
          <w:p ns2:paraId="77135A98">
            <w:pPr>
              <w:spacing w:after="0" w:line="252" w:lineRule="auto"/>
              <w:rPr>
                <w:rFonts w:hint="eastAsia" w:ascii="宋体" w:hAnsi="宋体" w:eastAsia="宋体" w:cs="宋体"/>
              </w:rPr>
            </w:pPr>
            <w:r>
              <w:rPr>
                <w:rFonts w:hint="eastAsia" w:ascii="宋体" w:hAnsi="宋体" w:eastAsia="宋体" w:cs="宋体"/>
                <w:sz w:val="17"/>
              </w:rPr>
              <w:t>2 动态组队</w:t>
            </w:r>
          </w:p>
        </w:tc>
        <w:tc>
          <w:tcPr>
            <w:tcW w:w="4195" w:type="dxa"/>
            <w:shd w:val="clear" w:color="auto" w:fill="F7F9FC"/>
            <w:tcMar>
              <w:top w:w="75" w:type="dxa"/>
              <w:left w:w="85" w:type="dxa"/>
              <w:bottom w:w="75" w:type="dxa"/>
              <w:right w:w="85" w:type="dxa"/>
            </w:tcMar>
            <w:vAlign w:val="center"/>
          </w:tcPr>
          <w:p ns2:paraId="3F6C8278">
            <w:pPr>
              <w:spacing w:after="0" w:line="252" w:lineRule="auto"/>
              <w:rPr>
                <w:rFonts w:hint="eastAsia" w:ascii="宋体" w:hAnsi="宋体" w:eastAsia="宋体" w:cs="宋体"/>
              </w:rPr>
            </w:pPr>
            <w:r>
              <w:rPr>
                <w:rFonts w:hint="eastAsia" w:ascii="宋体" w:hAnsi="宋体" w:eastAsia="宋体" w:cs="宋体"/>
                <w:sz w:val="17"/>
              </w:rPr>
              <w:t>Router从大量Agent中选择互补子集</w:t>
            </w:r>
          </w:p>
        </w:tc>
        <w:tc>
          <w:tcPr>
            <w:tcW w:w="3855" w:type="dxa"/>
            <w:shd w:val="clear" w:color="auto" w:fill="F7F9FC"/>
            <w:tcMar>
              <w:top w:w="75" w:type="dxa"/>
              <w:left w:w="85" w:type="dxa"/>
              <w:bottom w:w="75" w:type="dxa"/>
              <w:right w:w="85" w:type="dxa"/>
            </w:tcMar>
            <w:vAlign w:val="center"/>
          </w:tcPr>
          <w:p ns2:paraId="462A7597">
            <w:pPr>
              <w:spacing w:after="0" w:line="252" w:lineRule="auto"/>
              <w:rPr>
                <w:rFonts w:hint="eastAsia" w:ascii="宋体" w:hAnsi="宋体" w:eastAsia="宋体" w:cs="宋体"/>
              </w:rPr>
            </w:pPr>
            <w:r>
              <w:rPr>
                <w:rFonts w:hint="eastAsia" w:ascii="宋体" w:hAnsi="宋体" w:eastAsia="宋体" w:cs="宋体"/>
                <w:sz w:val="17"/>
              </w:rPr>
              <w:t>先决定问谁，同时显示省下的Token/时间</w:t>
            </w:r>
          </w:p>
        </w:tc>
      </w:tr>
      <w:tr ns2:paraId="0836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75" w:type="dxa"/>
              <w:left w:w="85" w:type="dxa"/>
              <w:bottom w:w="75" w:type="dxa"/>
              <w:right w:w="85" w:type="dxa"/>
            </w:tcMar>
            <w:vAlign w:val="center"/>
          </w:tcPr>
          <w:p ns2:paraId="53461256">
            <w:pPr>
              <w:spacing w:after="0" w:line="252" w:lineRule="auto"/>
              <w:rPr>
                <w:rFonts w:hint="eastAsia" w:ascii="宋体" w:hAnsi="宋体" w:eastAsia="宋体" w:cs="宋体"/>
              </w:rPr>
            </w:pPr>
            <w:r>
              <w:rPr>
                <w:rFonts w:hint="eastAsia" w:ascii="宋体" w:hAnsi="宋体" w:eastAsia="宋体" w:cs="宋体"/>
                <w:sz w:val="17"/>
              </w:rPr>
              <w:t>3 冲突诊断</w:t>
            </w:r>
          </w:p>
        </w:tc>
        <w:tc>
          <w:tcPr>
            <w:tcW w:w="4195" w:type="dxa"/>
            <w:tcMar>
              <w:top w:w="75" w:type="dxa"/>
              <w:left w:w="85" w:type="dxa"/>
              <w:bottom w:w="75" w:type="dxa"/>
              <w:right w:w="85" w:type="dxa"/>
            </w:tcMar>
            <w:vAlign w:val="center"/>
          </w:tcPr>
          <w:p ns2:paraId="3C9FAAE3">
            <w:pPr>
              <w:spacing w:after="0" w:line="252" w:lineRule="auto"/>
              <w:rPr>
                <w:rFonts w:hint="eastAsia" w:ascii="宋体" w:hAnsi="宋体" w:eastAsia="宋体" w:cs="宋体"/>
              </w:rPr>
            </w:pPr>
            <w:r>
              <w:rPr>
                <w:rFonts w:hint="eastAsia" w:ascii="宋体" w:hAnsi="宋体" w:eastAsia="宋体" w:cs="宋体"/>
                <w:sz w:val="17"/>
              </w:rPr>
              <w:t>Fundamental与News/Policy意见相反</w:t>
            </w:r>
          </w:p>
        </w:tc>
        <w:tc>
          <w:tcPr>
            <w:tcW w:w="3855" w:type="dxa"/>
            <w:tcMar>
              <w:top w:w="75" w:type="dxa"/>
              <w:left w:w="85" w:type="dxa"/>
              <w:bottom w:w="75" w:type="dxa"/>
              <w:right w:w="85" w:type="dxa"/>
            </w:tcMar>
            <w:vAlign w:val="center"/>
          </w:tcPr>
          <w:p ns2:paraId="266440BE">
            <w:pPr>
              <w:spacing w:after="0" w:line="252" w:lineRule="auto"/>
              <w:rPr>
                <w:rFonts w:hint="eastAsia" w:ascii="宋体" w:hAnsi="宋体" w:eastAsia="宋体" w:cs="宋体"/>
              </w:rPr>
            </w:pPr>
            <w:r>
              <w:rPr>
                <w:rFonts w:hint="eastAsia" w:ascii="宋体" w:hAnsi="宋体" w:eastAsia="宋体" w:cs="宋体"/>
                <w:sz w:val="17"/>
              </w:rPr>
              <w:t>不是简单做平均，而是解释为什么不同意并定向Debate</w:t>
            </w:r>
          </w:p>
        </w:tc>
      </w:tr>
      <w:tr ns2:paraId="639D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7F9FC"/>
            <w:tcMar>
              <w:top w:w="75" w:type="dxa"/>
              <w:left w:w="85" w:type="dxa"/>
              <w:bottom w:w="75" w:type="dxa"/>
              <w:right w:w="85" w:type="dxa"/>
            </w:tcMar>
            <w:vAlign w:val="center"/>
          </w:tcPr>
          <w:p ns2:paraId="161AC9D0">
            <w:pPr>
              <w:spacing w:after="0" w:line="252" w:lineRule="auto"/>
              <w:rPr>
                <w:rFonts w:hint="eastAsia" w:ascii="宋体" w:hAnsi="宋体" w:eastAsia="宋体" w:cs="宋体"/>
              </w:rPr>
            </w:pPr>
            <w:r>
              <w:rPr>
                <w:rFonts w:hint="eastAsia" w:ascii="宋体" w:hAnsi="宋体" w:eastAsia="宋体" w:cs="宋体"/>
                <w:sz w:val="17"/>
              </w:rPr>
              <w:t>4 动态信任与风控</w:t>
            </w:r>
          </w:p>
        </w:tc>
        <w:tc>
          <w:tcPr>
            <w:tcW w:w="4195" w:type="dxa"/>
            <w:shd w:val="clear" w:color="auto" w:fill="F7F9FC"/>
            <w:tcMar>
              <w:top w:w="75" w:type="dxa"/>
              <w:left w:w="85" w:type="dxa"/>
              <w:bottom w:w="75" w:type="dxa"/>
              <w:right w:w="85" w:type="dxa"/>
            </w:tcMar>
            <w:vAlign w:val="center"/>
          </w:tcPr>
          <w:p ns2:paraId="35399F5C">
            <w:pPr>
              <w:spacing w:after="0" w:line="252" w:lineRule="auto"/>
              <w:rPr>
                <w:rFonts w:hint="eastAsia" w:ascii="宋体" w:hAnsi="宋体" w:eastAsia="宋体" w:cs="宋体"/>
              </w:rPr>
            </w:pPr>
            <w:r>
              <w:rPr>
                <w:rFonts w:hint="eastAsia" w:ascii="宋体" w:hAnsi="宋体" w:eastAsia="宋体" w:cs="宋体"/>
                <w:sz w:val="17"/>
              </w:rPr>
              <w:t>Aggregator重算、低信心则Abstain</w:t>
            </w:r>
          </w:p>
        </w:tc>
        <w:tc>
          <w:tcPr>
            <w:tcW w:w="3855" w:type="dxa"/>
            <w:shd w:val="clear" w:color="auto" w:fill="F7F9FC"/>
            <w:tcMar>
              <w:top w:w="75" w:type="dxa"/>
              <w:left w:w="85" w:type="dxa"/>
              <w:bottom w:w="75" w:type="dxa"/>
              <w:right w:w="85" w:type="dxa"/>
            </w:tcMar>
            <w:vAlign w:val="center"/>
          </w:tcPr>
          <w:p ns2:paraId="02F605AF">
            <w:pPr>
              <w:spacing w:after="0" w:line="252" w:lineRule="auto"/>
              <w:rPr>
                <w:rFonts w:hint="eastAsia" w:ascii="宋体" w:hAnsi="宋体" w:eastAsia="宋体" w:cs="宋体"/>
              </w:rPr>
            </w:pPr>
            <w:r>
              <w:rPr>
                <w:rFonts w:hint="eastAsia" w:ascii="宋体" w:hAnsi="宋体" w:eastAsia="宋体" w:cs="宋体"/>
                <w:sz w:val="17"/>
              </w:rPr>
              <w:t>最终不是LLM拍仓位，而是可审计的Alpha/置信度交给Optimizer</w:t>
            </w:r>
          </w:p>
        </w:tc>
      </w:tr>
    </w:tbl>
    <w:p ns2:paraId="14485641">
      <w:pPr>
        <w:spacing w:after="20"/>
        <w:rPr>
          <w:rFonts w:hint="eastAsia" w:ascii="宋体" w:hAnsi="宋体" w:eastAsia="宋体" w:cs="宋体"/>
        </w:rPr>
      </w:pPr>
    </w:p>
    <w:tbl>
      <w:tblPr>
        <w:tblStyle w:val="33"/>
        <w:tblW w:w="0" w:type="auto"/>
        <w:jc w:val="center"/>
        <w:tblLayout w:type="autofit"/>
        <w:tblCellMar>
          <w:top w:w="0" w:type="dxa"/>
          <w:left w:w="108" w:type="dxa"/>
          <w:bottom w:w="0" w:type="dxa"/>
          <w:right w:w="108" w:type="dxa"/>
        </w:tblCellMar>
      </w:tblPr>
      <w:tblGrid>
        <w:gridCol w:w="9972"/>
      </w:tblGrid>
      <w:tr ns2:paraId="7734CAA9">
        <w:tblPrEx>
          <w:tblCellMar>
            <w:top w:w="0" w:type="dxa"/>
            <w:left w:w="108" w:type="dxa"/>
            <w:bottom w:w="0" w:type="dxa"/>
            <w:right w:w="108" w:type="dxa"/>
          </w:tblCellMar>
        </w:tblPrEx>
        <w:trPr>
          <w:jc w:val="center"/>
        </w:trPr>
        <w:tc>
          <w:tcPr>
            <w:tcW w:w="9972" w:type="dxa"/>
            <w:shd w:val="clear" w:color="auto" w:fill="EAF2F8"/>
            <w:tcMar>
              <w:top w:w="160" w:type="dxa"/>
              <w:left w:w="180" w:type="dxa"/>
              <w:bottom w:w="160" w:type="dxa"/>
              <w:right w:w="180" w:type="dxa"/>
            </w:tcMar>
          </w:tcPr>
          <w:p ns2:paraId="626F1EF0">
            <w:pPr>
              <w:spacing w:after="60"/>
              <w:rPr>
                <w:rFonts w:hint="eastAsia" w:ascii="宋体" w:hAnsi="宋体" w:eastAsia="宋体" w:cs="宋体"/>
              </w:rPr>
            </w:pPr>
            <w:r>
              <w:rPr>
                <w:rFonts w:hint="eastAsia" w:ascii="宋体" w:hAnsi="宋体" w:eastAsia="宋体" w:cs="宋体"/>
                <w:b/>
                <w:color w:val="1F4E79"/>
                <w:sz w:val="21"/>
              </w:rPr>
              <w:t xml:space="preserve">愿景  </w:t>
            </w:r>
            <w:r>
              <w:rPr>
                <w:rFonts w:hint="eastAsia" w:ascii="宋体" w:hAnsi="宋体" w:eastAsia="宋体" w:cs="宋体"/>
                <w:color w:val="333333"/>
                <w:sz w:val="20"/>
              </w:rPr>
              <w:t>成为金融机构“多智能体投研操作系统”的编排层：让每一次模型调用都有理由、每一次分歧都有解释、每一元推理成本都有边际价值、每一个最终信号都有可追溯证据。</w:t>
            </w:r>
          </w:p>
        </w:tc>
      </w:tr>
    </w:tbl>
    <w:p ns2:paraId="106ADCFA">
      <w:pPr>
        <w:spacing w:after="20"/>
        <w:rPr>
          <w:rFonts w:hint="eastAsia" w:ascii="宋体" w:hAnsi="宋体" w:eastAsia="宋体" w:cs="宋体"/>
        </w:rPr>
      </w:pPr>
    </w:p>
    <w:p ns2:paraId="6B9DFAC1">
      <w:pPr>
        <w:jc w:val="center"/>
      </w:pPr>
      <w:r>
        <w:rPr>
          <w:rFonts w:ascii="Noto Sans CJK SC" w:hAnsi="Noto Sans CJK SC" w:eastAsia="Noto Sans CJK SC"/>
          <w:b/>
          <w:color w:val="666666"/>
          <w:sz w:val="20"/>
        </w:rPr>
        <w:t>— END —</w:t>
      </w:r>
    </w:p>
    <w:sectPr>
      <w:headerReference ns6:id="rId5" w:type="default"/>
      <w:footerReference ns6:id="rId6" w:type="default"/>
      <w:pgSz w:w="12240" w:h="15840"/>
      <w:pgMar w:top="1020" w:right="1134" w:bottom="964" w:left="1134" w:header="454"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Noto Sans CJK SC">
    <w:altName w:val="Segoe Print"/>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CB5D9">
    <w:pPr>
      <w:pStyle w:val="24"/>
      <w:jc w:val="center"/>
    </w:pPr>
    <w:r>
      <w:rPr>
        <w:rFonts w:ascii="Noto Sans CJK SC" w:hAnsi="Noto Sans CJK SC" w:eastAsia="Noto Sans CJK SC"/>
        <w:color w:val="666666"/>
        <w:sz w:val="17"/>
      </w:rPr>
      <w:t xml:space="preserve">— </w:t>
    </w:r>
    <w:r>
      <w:fldChar w:fldCharType="begin"/>
    </w:r>
    <w:r>
      <w:instrText xml:space="preserve">PAGE</w:instrText>
    </w:r>
    <w:r>
      <w:fldChar w:fldCharType="separate"/>
    </w:r>
    <w:r>
      <w:fldChar w:fldCharType="end"/>
    </w:r>
    <w:r>
      <w:rPr>
        <w:rFonts w:ascii="Noto Sans CJK SC" w:hAnsi="Noto Sans CJK SC" w:eastAsia="Noto Sans CJK SC"/>
        <w:color w:val="666666"/>
        <w:sz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20C61">
    <w:pPr>
      <w:pStyle w:val="25"/>
      <w:jc w:val="right"/>
    </w:pPr>
    <w:r>
      <w:rPr>
        <w:rFonts w:hint="eastAsia" w:ascii="Noto Sans CJK SC" w:hAnsi="Noto Sans CJK SC" w:eastAsia="Noto Sans CJK SC"/>
        <w:color w:val="7A7A7A"/>
        <w:sz w:val="16"/>
      </w:rPr>
      <w:t>AlphaOrchestra · 北京大学金融AI智能体创新大赛 · 赛道二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1418F0"/>
    <w:rsid w:val="06AB256C"/>
    <w:rsid w:val="0E197DBB"/>
    <w:rsid w:val="0F297AC2"/>
    <w:rsid w:val="107D3EC8"/>
    <w:rsid w:val="146249FB"/>
    <w:rsid w:val="160219DB"/>
    <w:rsid w:val="1CE11B43"/>
    <w:rsid w:val="243A6885"/>
    <w:rsid w:val="274C2D9B"/>
    <w:rsid w:val="284D6B87"/>
    <w:rsid w:val="2E386037"/>
    <w:rsid w:val="2FEA5F45"/>
    <w:rsid w:val="2FF87D20"/>
    <w:rsid w:val="375943C9"/>
    <w:rsid w:val="41016309"/>
    <w:rsid w:val="49EB7B56"/>
    <w:rsid w:val="52F7756C"/>
    <w:rsid w:val="533C1422"/>
    <w:rsid w:val="53922E71"/>
    <w:rsid w:val="541859EC"/>
    <w:rsid w:val="546155E5"/>
    <w:rsid w:val="5B982CBF"/>
    <w:rsid w:val="5BF1724E"/>
    <w:rsid w:val="5DFA311E"/>
    <w:rsid w:val="60BE64EE"/>
    <w:rsid w:val="645B1622"/>
    <w:rsid w:val="65EB1570"/>
    <w:rsid w:val="6FB821B7"/>
    <w:rsid w:val="78994A9D"/>
    <w:rsid w:val="7D603DDC"/>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7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8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8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6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7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80"/>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8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8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7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6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73"/>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63"/>
    <w:unhideWhenUsed/>
    <w:uiPriority w:val="99"/>
    <w:pPr>
      <w:tabs>
        <w:tab w:val="center" w:pos="4680"/>
        <w:tab w:val="right" w:pos="9360"/>
      </w:tabs>
      <w:spacing w:after="0" w:line="240" w:lineRule="auto"/>
    </w:pPr>
  </w:style>
  <w:style w:type="paragraph" w:styleId="25">
    <w:name w:val="header"/>
    <w:basedOn w:val="1"/>
    <w:link w:val="159"/>
    <w:unhideWhenUsed/>
    <w:uiPriority w:val="99"/>
    <w:pPr>
      <w:tabs>
        <w:tab w:val="center" w:pos="4680"/>
        <w:tab w:val="right" w:pos="9360"/>
      </w:tabs>
      <w:spacing w:after="0" w:line="240" w:lineRule="auto"/>
    </w:pPr>
  </w:style>
  <w:style w:type="paragraph" w:styleId="26">
    <w:name w:val="Subtitle"/>
    <w:basedOn w:val="1"/>
    <w:next w:val="1"/>
    <w:link w:val="17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7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8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37">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38">
    <w:name w:val="Heading 5 Char"/>
    <w:basedOn w:val="133"/>
    <w:link w:val="7"/>
    <w:semiHidden/>
    <w:uiPriority w:val="9"/>
    <w:rPr>
      <w:rFonts w:asciiTheme="majorHAnsi" w:hAnsiTheme="majorHAnsi" w:eastAsiaTheme="majorEastAsia" w:cstheme="majorBidi"/>
      <w:color w:val="254061" w:themeColor="accent1" w:themeShade="80"/>
    </w:rPr>
  </w:style>
  <w:style w:type="paragraph" w:styleId="139">
    <w:name w:val="List Paragraph"/>
    <w:basedOn w:val="1"/>
    <w:qFormat/>
    <w:uiPriority w:val="34"/>
    <w:pPr>
      <w:ind w:left="720"/>
      <w:contextualSpacing/>
    </w:pPr>
  </w:style>
  <w:style w:type="character" w:customStyle="1" w:styleId="140">
    <w:name w:val="Body Text Char"/>
    <w:basedOn w:val="133"/>
    <w:link w:val="19"/>
    <w:uiPriority w:val="99"/>
  </w:style>
  <w:style w:type="character" w:customStyle="1" w:styleId="141">
    <w:name w:val="Quote Char"/>
    <w:basedOn w:val="133"/>
    <w:link w:val="142"/>
    <w:uiPriority w:val="29"/>
    <w:rPr>
      <w:i/>
      <w:iCs/>
      <w:color w:val="000000" w:themeColor="text1"/>
      <w14:textFill>
        <w14:solidFill>
          <w14:schemeClr w14:val="tx1"/>
        </w14:solidFill>
      </w14:textFill>
    </w:rPr>
  </w:style>
  <w:style w:type="paragraph" w:styleId="142">
    <w:name w:val="Quote"/>
    <w:basedOn w:val="1"/>
    <w:next w:val="1"/>
    <w:link w:val="179"/>
    <w:qFormat/>
    <w:uiPriority w:val="29"/>
    <w:rPr>
      <w:i/>
      <w:iCs/>
      <w:color w:val="000000" w:themeColor="text1"/>
      <w14:textFill>
        <w14:solidFill>
          <w14:schemeClr w14:val="tx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5">
    <w:name w:val="Intense Quote Char"/>
    <w:basedOn w:val="133"/>
    <w:link w:val="146"/>
    <w:uiPriority w:val="30"/>
    <w:rPr>
      <w:b/>
      <w:bCs/>
      <w:i/>
      <w:iCs/>
      <w:color w:val="4F81BD" w:themeColor="accent1"/>
      <w14:textFill>
        <w14:solidFill>
          <w14:schemeClr w14:val="accent1"/>
        </w14:solidFill>
      </w14:textFill>
    </w:rPr>
  </w:style>
  <w:style w:type="paragraph" w:styleId="146">
    <w:name w:val="Intense Quote"/>
    <w:basedOn w:val="1"/>
    <w:next w:val="1"/>
    <w:link w:val="17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47">
    <w:name w:val="Subtle Reference"/>
    <w:basedOn w:val="133"/>
    <w:qFormat/>
    <w:uiPriority w:val="31"/>
    <w:rPr>
      <w:smallCaps/>
      <w:color w:val="C0504D" w:themeColor="accent2"/>
      <w:u w:val="single"/>
      <w14:textFill>
        <w14:solidFill>
          <w14:schemeClr w14:val="accent2"/>
        </w14:solidFill>
      </w14:textFill>
    </w:rPr>
  </w:style>
  <w:style w:type="character" w:customStyle="1" w:styleId="148">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9">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0">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1">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52">
    <w:name w:val="TOC Heading"/>
    <w:basedOn w:val="3"/>
    <w:next w:val="1"/>
    <w:semiHidden/>
    <w:unhideWhenUsed/>
    <w:qFormat/>
    <w:uiPriority w:val="39"/>
    <w:pPr>
      <w:outlineLvl w:val="9"/>
    </w:pPr>
  </w:style>
  <w:style w:type="character" w:customStyle="1" w:styleId="153">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54">
    <w:name w:val="Intense Emphasis"/>
    <w:basedOn w:val="133"/>
    <w:qFormat/>
    <w:uiPriority w:val="21"/>
    <w:rPr>
      <w:b/>
      <w:bCs/>
      <w:i/>
      <w:iCs/>
      <w:color w:val="4F81BD" w:themeColor="accent1"/>
      <w14:textFill>
        <w14:solidFill>
          <w14:schemeClr w14:val="accent1"/>
        </w14:solidFill>
      </w14:textFill>
    </w:rPr>
  </w:style>
  <w:style w:type="character" w:customStyle="1" w:styleId="155">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56">
    <w:name w:val="Body Text 3 Char"/>
    <w:basedOn w:val="133"/>
    <w:link w:val="17"/>
    <w:uiPriority w:val="99"/>
    <w:rPr>
      <w:sz w:val="16"/>
      <w:szCs w:val="16"/>
    </w:rPr>
  </w:style>
  <w:style w:type="character" w:customStyle="1" w:styleId="157">
    <w:name w:val="Book Title"/>
    <w:basedOn w:val="133"/>
    <w:qFormat/>
    <w:uiPriority w:val="33"/>
    <w:rPr>
      <w:b/>
      <w:bCs/>
      <w:smallCaps/>
      <w:spacing w:val="5"/>
    </w:rPr>
  </w:style>
  <w:style w:type="character" w:customStyle="1" w:styleId="158">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59">
    <w:name w:val="Header Char"/>
    <w:basedOn w:val="133"/>
    <w:link w:val="25"/>
    <w:uiPriority w:val="99"/>
  </w:style>
  <w:style w:type="character" w:customStyle="1" w:styleId="160">
    <w:name w:val="Body Text 2 Char"/>
    <w:basedOn w:val="133"/>
    <w:link w:val="28"/>
    <w:uiPriority w:val="99"/>
  </w:style>
  <w:style w:type="paragraph" w:styleId="16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2">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63">
    <w:name w:val="Footer Char"/>
    <w:basedOn w:val="133"/>
    <w:link w:val="24"/>
    <w:uiPriority w:val="99"/>
  </w:style>
  <w:style w:type="character" w:customStyle="1" w:styleId="164">
    <w:name w:val="Macro Text Char"/>
    <w:basedOn w:val="133"/>
    <w:link w:val="2"/>
    <w:uiPriority w:val="99"/>
    <w:rPr>
      <w:rFonts w:ascii="Courier" w:hAnsi="Courier"/>
      <w:sz w:val="20"/>
      <w:szCs w:val="20"/>
    </w:rPr>
  </w:style>
  <w:style w:type="character" w:customStyle="1" w:styleId="165">
    <w:name w:val="Subtle Emphasis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Heading 9 Char1"/>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7">
    <w:name w:val="Book Title1"/>
    <w:basedOn w:val="133"/>
    <w:qFormat/>
    <w:uiPriority w:val="33"/>
    <w:rPr>
      <w:b/>
      <w:bCs/>
      <w:smallCaps/>
      <w:spacing w:val="5"/>
    </w:rPr>
  </w:style>
  <w:style w:type="character" w:customStyle="1" w:styleId="168">
    <w:name w:val="Heading 4 Char1"/>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9">
    <w:name w:val="Body Text 3 Char1"/>
    <w:basedOn w:val="133"/>
    <w:link w:val="17"/>
    <w:uiPriority w:val="99"/>
    <w:rPr>
      <w:sz w:val="16"/>
      <w:szCs w:val="16"/>
    </w:rPr>
  </w:style>
  <w:style w:type="character" w:customStyle="1" w:styleId="170">
    <w:name w:val="Heading 1 Char1"/>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71">
    <w:name w:val="Intense Quote Char1"/>
    <w:basedOn w:val="133"/>
    <w:link w:val="146"/>
    <w:uiPriority w:val="30"/>
    <w:rPr>
      <w:b/>
      <w:bCs/>
      <w:i/>
      <w:iCs/>
      <w:color w:val="4F81BD" w:themeColor="accent1"/>
      <w14:textFill>
        <w14:solidFill>
          <w14:schemeClr w14:val="accent1"/>
        </w14:solidFill>
      </w14:textFill>
    </w:rPr>
  </w:style>
  <w:style w:type="character" w:customStyle="1" w:styleId="172">
    <w:name w:val="Subtle Reference1"/>
    <w:basedOn w:val="133"/>
    <w:qFormat/>
    <w:uiPriority w:val="31"/>
    <w:rPr>
      <w:smallCaps/>
      <w:color w:val="C0504D" w:themeColor="accent2"/>
      <w:u w:val="single"/>
      <w14:textFill>
        <w14:solidFill>
          <w14:schemeClr w14:val="accent2"/>
        </w14:solidFill>
      </w14:textFill>
    </w:rPr>
  </w:style>
  <w:style w:type="character" w:customStyle="1" w:styleId="173">
    <w:name w:val="Body Text Char1"/>
    <w:basedOn w:val="133"/>
    <w:link w:val="19"/>
    <w:uiPriority w:val="99"/>
  </w:style>
  <w:style w:type="character" w:customStyle="1" w:styleId="174">
    <w:name w:val="Subtitle Char1"/>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75">
    <w:name w:val="Heading 5 Char1"/>
    <w:basedOn w:val="133"/>
    <w:link w:val="7"/>
    <w:semiHidden/>
    <w:uiPriority w:val="9"/>
    <w:rPr>
      <w:rFonts w:asciiTheme="majorHAnsi" w:hAnsiTheme="majorHAnsi" w:eastAsiaTheme="majorEastAsia" w:cstheme="majorBidi"/>
      <w:color w:val="254061" w:themeColor="accent1" w:themeShade="80"/>
    </w:rPr>
  </w:style>
  <w:style w:type="character" w:customStyle="1" w:styleId="176">
    <w:name w:val="Body Text 2 Char1"/>
    <w:basedOn w:val="133"/>
    <w:link w:val="28"/>
    <w:uiPriority w:val="99"/>
  </w:style>
  <w:style w:type="character" w:customStyle="1" w:styleId="177">
    <w:name w:val="Macro Text Char1"/>
    <w:basedOn w:val="133"/>
    <w:link w:val="2"/>
    <w:uiPriority w:val="99"/>
    <w:rPr>
      <w:rFonts w:ascii="Courier" w:hAnsi="Courier"/>
      <w:sz w:val="20"/>
      <w:szCs w:val="20"/>
    </w:rPr>
  </w:style>
  <w:style w:type="paragraph" w:customStyle="1" w:styleId="178">
    <w:name w:val="TOC Heading1"/>
    <w:basedOn w:val="3"/>
    <w:next w:val="1"/>
    <w:semiHidden/>
    <w:unhideWhenUsed/>
    <w:qFormat/>
    <w:uiPriority w:val="39"/>
    <w:pPr>
      <w:outlineLvl w:val="9"/>
    </w:pPr>
  </w:style>
  <w:style w:type="character" w:customStyle="1" w:styleId="179">
    <w:name w:val="Quote Char1"/>
    <w:basedOn w:val="133"/>
    <w:link w:val="142"/>
    <w:uiPriority w:val="29"/>
    <w:rPr>
      <w:i/>
      <w:iCs/>
      <w:color w:val="000000" w:themeColor="text1"/>
      <w14:textFill>
        <w14:solidFill>
          <w14:schemeClr w14:val="tx1"/>
        </w14:solidFill>
      </w14:textFill>
    </w:rPr>
  </w:style>
  <w:style w:type="character" w:customStyle="1" w:styleId="180">
    <w:name w:val="Heading 6 Char1"/>
    <w:basedOn w:val="133"/>
    <w:link w:val="8"/>
    <w:semiHidden/>
    <w:uiPriority w:val="9"/>
    <w:rPr>
      <w:rFonts w:asciiTheme="majorHAnsi" w:hAnsiTheme="majorHAnsi" w:eastAsiaTheme="majorEastAsia" w:cstheme="majorBidi"/>
      <w:i/>
      <w:iCs/>
      <w:color w:val="254061" w:themeColor="accent1" w:themeShade="80"/>
    </w:rPr>
  </w:style>
  <w:style w:type="character" w:customStyle="1" w:styleId="181">
    <w:name w:val="Heading 2 Char1"/>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82">
    <w:name w:val="Heading 3 Char1"/>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83">
    <w:name w:val="Heading 8 Char1"/>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84">
    <w:name w:val="Title Char1"/>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85">
    <w:name w:val="Intense Emphasis1"/>
    <w:basedOn w:val="133"/>
    <w:qFormat/>
    <w:uiPriority w:val="21"/>
    <w:rPr>
      <w:b/>
      <w:bCs/>
      <w:i/>
      <w:iCs/>
      <w:color w:val="4F81BD" w:themeColor="accent1"/>
      <w14:textFill>
        <w14:solidFill>
          <w14:schemeClr w14:val="accent1"/>
        </w14:solidFill>
      </w14:textFill>
    </w:rPr>
  </w:style>
  <w:style w:type="character" w:customStyle="1" w:styleId="186">
    <w:name w:val="Heading 7 Char1"/>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87">
    <w:name w:val="Intense Reference1"/>
    <w:basedOn w:val="133"/>
    <w:qFormat/>
    <w:uiPriority w:val="32"/>
    <w:rPr>
      <w:b/>
      <w:bCs/>
      <w:smallCaps/>
      <w:color w:val="C0504D" w:themeColor="accent2"/>
      <w:spacing w:val="5"/>
      <w:u w:val="single"/>
      <w14:textFill>
        <w14:solidFill>
          <w14:schemeClr w14:val="accent2"/>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796</Words>
  <Characters>981</Characters>
  <TotalTime>8</TotalTime>
  <ScaleCrop>false</ScaleCrop>
  <LinksUpToDate>false</LinksUpToDate>
  <CharactersWithSpaces>1017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2026-09-07T16:17:00Z</dcterms:created>
  <dc:creator>lenovo</dc:creator>
  <cp:lastModifiedBy>Annie</cp:lastModifiedBy>
  <dcterms:modified xsi:type="dcterms:W3CDTF">2026-09-08T13:33:40Z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eyJoZGlkIjoiNzdjZTcyOGQ1MzNjZThkNTZiMmY2MjM1M2FkMGMyZTUiLCJ1c2VySWQiOiI5MjY2MjM0ODMifQ==</vt:lpwstr>
  </property>
  <property fmtid="{D5CDD505-2E9C-101B-9397-08002B2CF9AE}" pid="3" name="KSOProductBuildVer">
    <vt:lpwstr>2052-12.1.0.28043</vt:lpwstr>
  </property>
  <property fmtid="{D5CDD505-2E9C-101B-9397-08002B2CF9AE}" pid="4" name="ICV">
    <vt:lpwstr>1DDD650F769A444DBEB3159810CAC8E6_12</vt:lpwstr>
  </property>
</Properties>
</file>