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380EE" w14:textId="77777777" w:rsidR="00233AC2" w:rsidRDefault="00000000">
      <w:pPr>
        <w:spacing w:after="60"/>
      </w:pPr>
      <w:r>
        <w:rPr>
          <w:b/>
          <w:bCs/>
          <w:color w:val="94070A"/>
          <w:sz w:val="38"/>
          <w:szCs w:val="38"/>
        </w:rPr>
        <w:t>复赛统一信息表</w:t>
      </w:r>
    </w:p>
    <w:p w14:paraId="2775FA43" w14:textId="77777777" w:rsidR="00233AC2" w:rsidRDefault="00000000">
      <w:pPr>
        <w:pBdr>
          <w:bottom w:val="single" w:sz="8" w:space="6" w:color="94070A"/>
        </w:pBdr>
        <w:spacing w:after="220"/>
      </w:pPr>
      <w:r>
        <w:rPr>
          <w:color w:val="6B6B6B"/>
          <w:sz w:val="20"/>
          <w:szCs w:val="20"/>
        </w:rPr>
        <w:t>北京大学金融AI智能体创新大赛 · 附件一</w:t>
      </w:r>
    </w:p>
    <w:p w14:paraId="435AF110" w14:textId="77777777" w:rsidR="00C4075C" w:rsidRDefault="00000000">
      <w:pPr>
        <w:keepNext/>
        <w:spacing w:before="240" w:after="140" w:line="276" w:lineRule="auto"/>
      </w:pPr>
      <w:r>
        <w:rPr>
          <w:b/>
          <w:color w:val="94070A"/>
          <w:sz w:val="26"/>
        </w:rPr>
        <w:t>基本信息</w:t>
      </w:r>
    </w:p>
    <w:tbl>
      <w:tblPr>
        <w:tblW w:w="9306" w:type="dxa"/>
        <w:tblBorders>
          <w:top w:val="single" w:sz="4" w:space="0" w:color="D9D2D2"/>
          <w:left w:val="single" w:sz="4" w:space="0" w:color="D9D2D2"/>
          <w:bottom w:val="single" w:sz="4" w:space="0" w:color="D9D2D2"/>
          <w:right w:val="single" w:sz="4" w:space="0" w:color="D9D2D2"/>
          <w:insideH w:val="single" w:sz="4" w:space="0" w:color="D9D2D2"/>
          <w:insideV w:val="single" w:sz="4" w:space="0" w:color="D9D2D2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06"/>
      </w:tblGrid>
      <w:tr w:rsidR="00233AC2" w14:paraId="3D2AEE99" w14:textId="77777777">
        <w:trPr>
          <w:cantSplit/>
          <w:trHeight w:val="460"/>
        </w:trPr>
        <w:tc>
          <w:tcPr>
            <w:tcW w:w="2600" w:type="dxa"/>
            <w:shd w:val="clear" w:color="auto" w:fill="F7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EC097" w14:textId="77777777" w:rsidR="00233AC2" w:rsidRDefault="00000000">
            <w:pPr>
              <w:spacing w:line="280" w:lineRule="auto"/>
            </w:pPr>
            <w:r>
              <w:rPr>
                <w:b/>
                <w:bCs/>
                <w:color w:val="1F1F1F"/>
                <w:sz w:val="18"/>
                <w:szCs w:val="18"/>
              </w:rPr>
              <w:t>团队名称</w:t>
            </w:r>
          </w:p>
        </w:tc>
        <w:tc>
          <w:tcPr>
            <w:tcW w:w="6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1"/>
              </w:rPr>
              <w:t>聪明人做投资从不用自己的钱</w:t>
            </w:r>
          </w:p>
        </w:tc>
      </w:tr>
      <w:tr w:rsidR="00233AC2" w14:paraId="6C1BFBAC" w14:textId="77777777">
        <w:trPr>
          <w:cantSplit/>
          <w:trHeight w:val="460"/>
        </w:trPr>
        <w:tc>
          <w:tcPr>
            <w:tcW w:w="2600" w:type="dxa"/>
            <w:shd w:val="clear" w:color="auto" w:fill="F7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04238" w14:textId="77777777" w:rsidR="00233AC2" w:rsidRDefault="00000000">
            <w:pPr>
              <w:spacing w:line="280" w:lineRule="auto"/>
            </w:pPr>
            <w:r>
              <w:rPr>
                <w:b/>
                <w:bCs/>
                <w:color w:val="1F1F1F"/>
                <w:sz w:val="18"/>
                <w:szCs w:val="18"/>
              </w:rPr>
              <w:t>项目名称</w:t>
            </w:r>
          </w:p>
        </w:tc>
        <w:tc>
          <w:tcPr>
            <w:tcW w:w="6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1"/>
              </w:rPr>
              <w:t>AlphaOrchestra（群智阿尔法）</w:t>
            </w:r>
          </w:p>
        </w:tc>
      </w:tr>
      <w:tr w:rsidR="00233AC2" w14:paraId="44D9F868" w14:textId="77777777">
        <w:trPr>
          <w:cantSplit/>
          <w:trHeight w:val="460"/>
        </w:trPr>
        <w:tc>
          <w:tcPr>
            <w:tcW w:w="2600" w:type="dxa"/>
            <w:shd w:val="clear" w:color="auto" w:fill="F7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CD1AE" w14:textId="77777777" w:rsidR="00233AC2" w:rsidRDefault="00000000">
            <w:pPr>
              <w:spacing w:line="280" w:lineRule="auto"/>
            </w:pPr>
            <w:r>
              <w:rPr>
                <w:b/>
                <w:bCs/>
                <w:color w:val="1F1F1F"/>
                <w:sz w:val="18"/>
                <w:szCs w:val="18"/>
              </w:rPr>
              <w:t>团队成员</w:t>
            </w:r>
          </w:p>
        </w:tc>
        <w:tc>
          <w:tcPr>
            <w:tcW w:w="6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1"/>
              </w:rPr>
              <w:t>孙浩霖：【单位/年级、分工待填写】</w:t>
              <w:br/>
              <w:t>潘昊辰：【单位/年级、分工待填写】</w:t>
              <w:br/>
              <w:t>谢永仪：【单位/年级、分工待填写】</w:t>
            </w:r>
          </w:p>
        </w:tc>
      </w:tr>
      <w:tr w:rsidR="00233AC2" w14:paraId="06084C58" w14:textId="77777777">
        <w:trPr>
          <w:cantSplit/>
          <w:trHeight w:val="460"/>
        </w:trPr>
        <w:tc>
          <w:tcPr>
            <w:tcW w:w="2600" w:type="dxa"/>
            <w:shd w:val="clear" w:color="auto" w:fill="F7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B90D5" w14:textId="77777777" w:rsidR="00233AC2" w:rsidRDefault="00000000">
            <w:pPr>
              <w:spacing w:line="280" w:lineRule="auto"/>
            </w:pPr>
            <w:r>
              <w:rPr>
                <w:b/>
                <w:bCs/>
                <w:color w:val="1F1F1F"/>
                <w:sz w:val="18"/>
                <w:szCs w:val="18"/>
              </w:rPr>
              <w:t>联系人 / 电话 / 邮箱</w:t>
            </w:r>
          </w:p>
        </w:tc>
        <w:tc>
          <w:tcPr>
            <w:tcW w:w="670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1"/>
              </w:rPr>
              <w:t>【联系人 / 电话 / 邮箱待填写】</w:t>
            </w:r>
          </w:p>
        </w:tc>
      </w:tr>
    </w:tbl>
    <w:p w14:paraId="07658285" w14:textId="12B67757" w:rsidR="00C4075C" w:rsidRDefault="00000000">
      <w:pPr>
        <w:keepNext/>
        <w:spacing w:before="240" w:after="140" w:line="276" w:lineRule="auto"/>
      </w:pPr>
      <w:r>
        <w:rPr>
          <w:b/>
          <w:color w:val="94070A"/>
          <w:sz w:val="26"/>
        </w:rPr>
        <w:t>项目介绍</w:t>
      </w:r>
      <w:r w:rsidR="00643BF4">
        <w:rPr>
          <w:rFonts w:hint="eastAsia"/>
          <w:b/>
          <w:color w:val="94070A"/>
          <w:sz w:val="26"/>
        </w:rPr>
        <w:t>（</w:t>
      </w:r>
      <w:r>
        <w:rPr>
          <w:b/>
          <w:color w:val="94070A"/>
          <w:sz w:val="26"/>
        </w:rPr>
        <w:t>不超过300字</w:t>
      </w:r>
      <w:r w:rsidR="00643BF4">
        <w:rPr>
          <w:rFonts w:hint="eastAsia"/>
          <w:b/>
          <w:color w:val="94070A"/>
          <w:sz w:val="26"/>
        </w:rPr>
        <w:t>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306"/>
      </w:tblGrid>
      <w:tr w:rsidR="00C4075C" w14:paraId="30E8A124" w14:textId="77777777">
        <w:trPr>
          <w:trHeight w:val="1600"/>
          <w:jc w:val="center"/>
        </w:trPr>
        <w:tc>
          <w:tcPr>
            <w:tcW w:w="9306" w:type="dxa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0"/>
              </w:rPr>
              <w:t>AlphaOrchestra面向量化研究员与投研团队，解决多智能体研究中“全量调用成本高、观点冲突难解释、输出难核查”的痛点。系统构建64个异质候选智能体，以市场状态驱动的稀疏路由每日动态选择少量代表，结合结构化分歧分析、条件辩论、置信度弃权和情境聚合，生成1/5/10日可追溯信号。系统支持免费沪深300数据、缓存续跑、预算约束、时序一致性检验及本地一键部署，定位为机构投研的辅助决策与研究编排工具，而非未经验证的自动盈利系统。</w:t>
            </w:r>
          </w:p>
        </w:tc>
      </w:tr>
    </w:tbl>
    <w:p w14:paraId="677AB6E5" w14:textId="18DAA29B" w:rsidR="00C4075C" w:rsidRDefault="00000000">
      <w:pPr>
        <w:keepNext/>
        <w:spacing w:before="240" w:after="140" w:line="276" w:lineRule="auto"/>
      </w:pPr>
      <w:r>
        <w:rPr>
          <w:b/>
          <w:color w:val="94070A"/>
          <w:sz w:val="26"/>
        </w:rPr>
        <w:t>初赛后的主要变化</w:t>
      </w:r>
      <w:r w:rsidR="00643BF4">
        <w:rPr>
          <w:rFonts w:hint="eastAsia"/>
          <w:b/>
          <w:color w:val="94070A"/>
          <w:sz w:val="26"/>
        </w:rPr>
        <w:t>（</w:t>
      </w:r>
      <w:r>
        <w:rPr>
          <w:b/>
          <w:color w:val="94070A"/>
          <w:sz w:val="26"/>
        </w:rPr>
        <w:t>不超过</w:t>
      </w:r>
      <w:r w:rsidR="00BE1211">
        <w:rPr>
          <w:rFonts w:hint="eastAsia"/>
          <w:b/>
          <w:color w:val="94070A"/>
          <w:sz w:val="26"/>
        </w:rPr>
        <w:t>2</w:t>
      </w:r>
      <w:r>
        <w:rPr>
          <w:b/>
          <w:color w:val="94070A"/>
          <w:sz w:val="26"/>
        </w:rPr>
        <w:t>00字</w:t>
      </w:r>
      <w:r w:rsidR="00643BF4">
        <w:rPr>
          <w:rFonts w:hint="eastAsia"/>
          <w:b/>
          <w:color w:val="94070A"/>
          <w:sz w:val="26"/>
        </w:rPr>
        <w:t>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306"/>
      </w:tblGrid>
      <w:tr w:rsidR="00C4075C" w14:paraId="481A819B" w14:textId="77777777">
        <w:trPr>
          <w:trHeight w:val="1240"/>
          <w:jc w:val="center"/>
        </w:trPr>
        <w:tc>
          <w:tcPr>
            <w:tcW w:w="9306" w:type="dxa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0"/>
              </w:rPr>
              <w:t>由固定少量智能体升级为“64候选池+动态稀疏选择”，新增16类投资者角色、多样性约束、分歧程度分析、条件辩论、弃权机制与情境聚合；补齐沪深300免费数据和基准、断点缓存、预算记录、历史前缀一致性测试及组合回测；完成同期间增强版/原始式对照，并在参数预先确定后进行2026年扩展检验，同时保留表现不佳的案例与局限。</w:t>
            </w:r>
          </w:p>
        </w:tc>
      </w:tr>
    </w:tbl>
    <w:p w14:paraId="3BEAE8D5" w14:textId="2A7E597B" w:rsidR="00C4075C" w:rsidRDefault="00000000">
      <w:pPr>
        <w:keepNext/>
        <w:pageBreakBefore/>
        <w:spacing w:before="240" w:after="140" w:line="276" w:lineRule="auto"/>
      </w:pPr>
      <w:r>
        <w:rPr>
          <w:b/>
          <w:color w:val="94070A"/>
          <w:sz w:val="26"/>
        </w:rPr>
        <w:lastRenderedPageBreak/>
        <w:t>第一部分  问题与创新</w:t>
      </w:r>
      <w:r w:rsidR="00643BF4">
        <w:rPr>
          <w:rFonts w:hint="eastAsia"/>
          <w:b/>
          <w:color w:val="94070A"/>
          <w:sz w:val="26"/>
        </w:rPr>
        <w:t>（</w:t>
      </w:r>
      <w:r>
        <w:rPr>
          <w:b/>
          <w:color w:val="94070A"/>
          <w:sz w:val="26"/>
        </w:rPr>
        <w:t>不超过800字</w:t>
      </w:r>
      <w:r w:rsidR="00643BF4">
        <w:rPr>
          <w:rFonts w:hint="eastAsia"/>
          <w:b/>
          <w:color w:val="94070A"/>
          <w:sz w:val="26"/>
        </w:rPr>
        <w:t>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306"/>
      </w:tblGrid>
      <w:tr w:rsidR="00C4075C" w14:paraId="2A64DAD6" w14:textId="77777777">
        <w:trPr>
          <w:trHeight w:val="4000"/>
          <w:jc w:val="center"/>
        </w:trPr>
        <w:tc>
          <w:tcPr>
            <w:tcW w:w="9306" w:type="dxa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0"/>
              </w:rPr>
              <w:t>实际痛点有三类：一是模拟市场分歧若全量调用数十至数百个大模型智能体，延迟和费用难以落地；二是简单投票会掩盖“信息差异、模型能力差异和真实立场冲突”，错误共识难被发现；三是回测若混入未来信息或缺少可追溯记录，结果难进入机构流程。AlphaOrchestra形成“候选市场—稀疏编排—分歧分析—可信聚合—结果检验”的完整流程。自研创新包括：①以16类投资者角色×4个副本构成64候选智能体，通过状态、历史表现、探索奖励、成本和角色多样性联合选择，配置为每日启用8–24个，2024Q2实测12–16个；②将观点冲突分解为可直接汇总的分歧与需进一步讨论的分歧，只对冲突程度较高的股票触发定向辩论，并允许低置信度弃权；③情境聚合器综合表现、置信度、证据、共识和成本，输出多周期信号及分析记录；④引入请求缓存、断点恢复、调用/令牌预算和历史前缀一致性检查，保证结果可重复并避免未来信息影响。大模型负责文本推理，BaoStock等免费数据源提供行情；路由、诊断、辩论触发、聚合和检验均由本项目实现。与仓库原始式4智能体控制组相比，该方法不仅减少候选池全量调用，也在相同2024Q2窗口提升中期排序效果。未声称复现或超过论文512智能体实验。</w:t>
            </w:r>
          </w:p>
        </w:tc>
      </w:tr>
    </w:tbl>
    <w:p w14:paraId="7A2C16C2" w14:textId="3980D1A5" w:rsidR="00C4075C" w:rsidRDefault="00000000">
      <w:pPr>
        <w:keepNext/>
        <w:spacing w:before="240" w:after="140" w:line="276" w:lineRule="auto"/>
      </w:pPr>
      <w:r>
        <w:rPr>
          <w:b/>
          <w:color w:val="94070A"/>
          <w:sz w:val="26"/>
        </w:rPr>
        <w:t>第二部分  效果与效率</w:t>
      </w:r>
      <w:r w:rsidR="00643BF4">
        <w:rPr>
          <w:rFonts w:hint="eastAsia"/>
          <w:b/>
          <w:color w:val="94070A"/>
          <w:sz w:val="26"/>
        </w:rPr>
        <w:t>（</w:t>
      </w:r>
      <w:r>
        <w:rPr>
          <w:b/>
          <w:color w:val="94070A"/>
          <w:sz w:val="26"/>
        </w:rPr>
        <w:t>不超过700字</w:t>
      </w:r>
      <w:r w:rsidR="00643BF4">
        <w:rPr>
          <w:rFonts w:hint="eastAsia"/>
          <w:b/>
          <w:color w:val="94070A"/>
          <w:sz w:val="26"/>
        </w:rPr>
        <w:t>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306"/>
      </w:tblGrid>
      <w:tr w:rsidR="00C4075C" w14:paraId="61D794ED" w14:textId="77777777">
        <w:trPr>
          <w:trHeight w:val="3640"/>
          <w:jc w:val="center"/>
        </w:trPr>
        <w:tc>
          <w:tcPr>
            <w:tcW w:w="9306" w:type="dxa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0"/>
              </w:rPr>
              <w:t>采用时间外划分和同期间控制。2024Q2（59个有效交易日）增强系统相对仓库原始式4智能体控制组：10日RankIC由0.00959升至0.01867（+94.6%），RankICIR由0.1223升至0.1885（+54.1%）；5日RankIC由0.00977升至0.02064（+111.3%）。同一组合口径下主动收益由+0.295%升至+0.671%，信息比率由0.169升至0.297，平均换手和交易成本略降。在参数和流程预先确定后，2026年扩展期通过历史前缀一致性检验，10日RankIC为0.01112、RankICIR为0.13118（171日），5日RankIC为0.00722、RankICIR为0.08465（176日），说明中期排序能力在更长时期仍保持正值；2026Q3防御阶段主动收益为+4.01%、IR为0.839。效率方面，增强系统2024Q2日均选择14.14/64个候选，较全量调用减少77.9%；1,090条智能体记录成功率98.17%，236条辩论记录覆盖118个股票日，分歧程度平均下降约11.3%。目前排序信号尚未在所有时期稳定转化为组合超额收益，相关结果及后续改进方向在项目说明的“局限与下一步”中单独列示。</w:t>
            </w:r>
          </w:p>
        </w:tc>
      </w:tr>
    </w:tbl>
    <w:p w14:paraId="267943A8" w14:textId="23E9ACA2" w:rsidR="00C4075C" w:rsidRDefault="00000000">
      <w:pPr>
        <w:keepNext/>
        <w:pageBreakBefore/>
        <w:spacing w:before="240" w:after="140" w:line="276" w:lineRule="auto"/>
      </w:pPr>
      <w:r>
        <w:rPr>
          <w:b/>
          <w:color w:val="94070A"/>
          <w:sz w:val="26"/>
        </w:rPr>
        <w:lastRenderedPageBreak/>
        <w:t>第三部分  适用性与呈现</w:t>
      </w:r>
      <w:r w:rsidR="00643BF4">
        <w:rPr>
          <w:rFonts w:hint="eastAsia"/>
          <w:b/>
          <w:color w:val="94070A"/>
          <w:sz w:val="26"/>
        </w:rPr>
        <w:t>（</w:t>
      </w:r>
      <w:r>
        <w:rPr>
          <w:b/>
          <w:color w:val="94070A"/>
          <w:sz w:val="26"/>
        </w:rPr>
        <w:t>不超过500字</w:t>
      </w:r>
      <w:r w:rsidR="00643BF4">
        <w:rPr>
          <w:rFonts w:hint="eastAsia"/>
          <w:b/>
          <w:color w:val="94070A"/>
          <w:sz w:val="26"/>
        </w:rPr>
        <w:t>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306"/>
      </w:tblGrid>
      <w:tr w:rsidR="00C4075C" w14:paraId="3E036088" w14:textId="77777777">
        <w:trPr>
          <w:trHeight w:val="3400"/>
          <w:jc w:val="center"/>
        </w:trPr>
        <w:tc>
          <w:tcPr>
            <w:tcW w:w="9306" w:type="dxa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0"/>
              </w:rPr>
              <w:t>适用于量化研究、策略会审、投委会前置筛查和多模型研究编排。用户可在本地选择股票池、日期、候选规模和预算，运行后查看智能体选择、观点、分歧分析、辩论记录、多周期信号、IC/RankIC和组合回测；缓存支持网络中断后以同一命令续跑，非法股票、数据缺失和低置信度均有降级或弃权记录。提交包提供一键启动脚本、配置说明、典型输入输出、关键日志、指标表和表现不佳案例索引。适用范围方面，免费数据在复权、成分股历史和基本面覆盖上有限；64候选池并非论文512智能体复现；策略尚未达到无人值守实盘标准，建议先用于辅助研究、小额仿真并由研究人员核查。架构可迁移至其他指数、其他大模型和研究任务。</w:t>
            </w:r>
          </w:p>
        </w:tc>
      </w:tr>
    </w:tbl>
    <w:p w14:paraId="229B27AF" w14:textId="77777777" w:rsidR="00C4075C" w:rsidRDefault="00000000">
      <w:pPr>
        <w:keepNext/>
        <w:spacing w:before="240" w:after="140" w:line="276" w:lineRule="auto"/>
      </w:pPr>
      <w:r>
        <w:rPr>
          <w:b/>
          <w:color w:val="94070A"/>
          <w:sz w:val="26"/>
        </w:rPr>
        <w:t>作品访问方式  必填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306"/>
      </w:tblGrid>
      <w:tr w:rsidR="00C4075C" w14:paraId="3CE6FD7E" w14:textId="77777777">
        <w:trPr>
          <w:trHeight w:val="1500"/>
          <w:jc w:val="center"/>
        </w:trPr>
        <w:tc>
          <w:tcPr>
            <w:tcW w:w="9306" w:type="dxa"/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20"/>
              </w:rPr>
              <w:t>本地部署包见 `06_本地部署/`。按其中《部署说明》配置Python环境、数据目录与模型API密钥后，运行一键启动脚本；评审可先使用随包示例结果完成无API复核，再选择联网复现实验。</w:t>
            </w:r>
          </w:p>
        </w:tc>
      </w:tr>
    </w:tbl>
    <w:p w14:paraId="04978D63" w14:textId="77777777" w:rsidR="00C4075C" w:rsidRDefault="00000000">
      <w:pPr>
        <w:spacing w:before="240" w:after="200" w:line="276" w:lineRule="auto"/>
      </w:pPr>
      <w:r>
        <w:rPr>
          <w:color w:val="000000"/>
        </w:rPr>
        <w:t>本表所填内容属实，与提交的项目说明、展示稿、视频及所提供的技术证据一致。</w:t>
      </w:r>
    </w:p>
    <w:p w14:paraId="4517D4CC" w14:textId="77777777" w:rsidR="00C4075C" w:rsidRDefault="00000000">
      <w:pPr>
        <w:spacing w:line="276" w:lineRule="auto"/>
      </w:pPr>
      <w:r>
        <w:rPr>
          <w:color w:val="000000"/>
        </w:rPr>
        <w:t>团队负责人签名：______________　　日期：______________</w:t>
      </w:r>
    </w:p>
    <w:sectPr w:rsidR="00C4075C">
      <w:headerReference w:type="default" r:id="rId7"/>
      <w:footerReference w:type="default" r:id="rId8"/>
      <w:pgSz w:w="11906" w:h="16838"/>
      <w:pgMar w:top="1250" w:right="1300" w:bottom="1200" w:left="1300" w:header="60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E28FF" w14:textId="77777777" w:rsidR="00590D02" w:rsidRDefault="00590D02">
      <w:r>
        <w:separator/>
      </w:r>
    </w:p>
  </w:endnote>
  <w:endnote w:type="continuationSeparator" w:id="0">
    <w:p w14:paraId="22042150" w14:textId="77777777" w:rsidR="00590D02" w:rsidRDefault="0059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44E33" w14:textId="77777777" w:rsidR="00233AC2" w:rsidRDefault="00000000">
    <w:pPr>
      <w:jc w:val="center"/>
    </w:pPr>
    <w:r>
      <w:rPr>
        <w:color w:val="6B6B6B"/>
        <w:sz w:val="16"/>
        <w:szCs w:val="16"/>
      </w:rPr>
      <w:t xml:space="preserve">复赛统一信息表　　第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7158AE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页 / 共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7158AE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07DD57" w14:textId="77777777" w:rsidR="00590D02" w:rsidRDefault="00590D02">
      <w:r>
        <w:separator/>
      </w:r>
    </w:p>
  </w:footnote>
  <w:footnote w:type="continuationSeparator" w:id="0">
    <w:p w14:paraId="569E4DD2" w14:textId="77777777" w:rsidR="00590D02" w:rsidRDefault="00590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1A182D" w14:textId="77777777" w:rsidR="00233AC2" w:rsidRDefault="00000000">
    <w:pPr>
      <w:pBdr>
        <w:bottom w:val="single" w:sz="4" w:space="4" w:color="D9D2D2"/>
      </w:pBdr>
    </w:pPr>
    <w:r>
      <w:rPr>
        <w:color w:val="6B6B6B"/>
        <w:sz w:val="16"/>
        <w:szCs w:val="16"/>
      </w:rPr>
      <w:t>北京大学金融AI智能体创新大赛 · 复赛统一信息表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996027"/>
    <w:multiLevelType w:val="hybridMultilevel"/>
    <w:tmpl w:val="FF588172"/>
    <w:lvl w:ilvl="0" w:tplc="8E68B330">
      <w:start w:val="1"/>
      <w:numFmt w:val="bullet"/>
      <w:lvlText w:val="●"/>
      <w:lvlJc w:val="left"/>
      <w:pPr>
        <w:ind w:left="720" w:hanging="360"/>
      </w:pPr>
    </w:lvl>
    <w:lvl w:ilvl="1" w:tplc="D652AEA8">
      <w:start w:val="1"/>
      <w:numFmt w:val="bullet"/>
      <w:lvlText w:val="○"/>
      <w:lvlJc w:val="left"/>
      <w:pPr>
        <w:ind w:left="1440" w:hanging="360"/>
      </w:pPr>
    </w:lvl>
    <w:lvl w:ilvl="2" w:tplc="CF28EE58">
      <w:start w:val="1"/>
      <w:numFmt w:val="bullet"/>
      <w:lvlText w:val="■"/>
      <w:lvlJc w:val="left"/>
      <w:pPr>
        <w:ind w:left="2160" w:hanging="360"/>
      </w:pPr>
    </w:lvl>
    <w:lvl w:ilvl="3" w:tplc="680E7732">
      <w:start w:val="1"/>
      <w:numFmt w:val="bullet"/>
      <w:lvlText w:val="●"/>
      <w:lvlJc w:val="left"/>
      <w:pPr>
        <w:ind w:left="2880" w:hanging="360"/>
      </w:pPr>
    </w:lvl>
    <w:lvl w:ilvl="4" w:tplc="54781BB6">
      <w:start w:val="1"/>
      <w:numFmt w:val="bullet"/>
      <w:lvlText w:val="○"/>
      <w:lvlJc w:val="left"/>
      <w:pPr>
        <w:ind w:left="3600" w:hanging="360"/>
      </w:pPr>
    </w:lvl>
    <w:lvl w:ilvl="5" w:tplc="56B25EBC">
      <w:start w:val="1"/>
      <w:numFmt w:val="bullet"/>
      <w:lvlText w:val="■"/>
      <w:lvlJc w:val="left"/>
      <w:pPr>
        <w:ind w:left="4320" w:hanging="360"/>
      </w:pPr>
    </w:lvl>
    <w:lvl w:ilvl="6" w:tplc="CA1E5392">
      <w:start w:val="1"/>
      <w:numFmt w:val="bullet"/>
      <w:lvlText w:val="●"/>
      <w:lvlJc w:val="left"/>
      <w:pPr>
        <w:ind w:left="5040" w:hanging="360"/>
      </w:pPr>
    </w:lvl>
    <w:lvl w:ilvl="7" w:tplc="8EE44F82">
      <w:start w:val="1"/>
      <w:numFmt w:val="bullet"/>
      <w:lvlText w:val="●"/>
      <w:lvlJc w:val="left"/>
      <w:pPr>
        <w:ind w:left="5760" w:hanging="360"/>
      </w:pPr>
    </w:lvl>
    <w:lvl w:ilvl="8" w:tplc="7FC2D7CE">
      <w:start w:val="1"/>
      <w:numFmt w:val="bullet"/>
      <w:lvlText w:val="●"/>
      <w:lvlJc w:val="left"/>
      <w:pPr>
        <w:ind w:left="6480" w:hanging="360"/>
      </w:pPr>
    </w:lvl>
  </w:abstractNum>
  <w:num w:numId="1" w16cid:durableId="1597712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C2"/>
    <w:rsid w:val="00233AC2"/>
    <w:rsid w:val="00590D02"/>
    <w:rsid w:val="00643BF4"/>
    <w:rsid w:val="00657882"/>
    <w:rsid w:val="0069648D"/>
    <w:rsid w:val="006C2FC8"/>
    <w:rsid w:val="007158AE"/>
    <w:rsid w:val="00946F52"/>
    <w:rsid w:val="00BB5420"/>
    <w:rsid w:val="00BE1211"/>
    <w:rsid w:val="00C4075C"/>
    <w:rsid w:val="00D10122"/>
    <w:rsid w:val="00D224F1"/>
    <w:rsid w:val="00D8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F3C6B"/>
  <w15:docId w15:val="{9D9CC57F-B262-0E48-9455-8EF183CF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50"/>
      <w:outlineLvl w:val="0"/>
    </w:pPr>
    <w:rPr>
      <w:b/>
      <w:bCs/>
      <w:color w:val="94070A"/>
      <w:sz w:val="27"/>
      <w:szCs w:val="27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94070A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复赛统一信息表</dc:title>
  <dc:creator>北京大学金融工程实验室</dc:creator>
  <cp:lastModifiedBy>舒 温</cp:lastModifiedBy>
  <cp:revision>8</cp:revision>
  <dcterms:created xsi:type="dcterms:W3CDTF">2026-09-29T00:46:00Z</dcterms:created>
  <dcterms:modified xsi:type="dcterms:W3CDTF">2026-09-29T09:27:00Z</dcterms:modified>
</cp:coreProperties>
</file>