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Spam Mail Detection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Overview: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primary objective of this project is to classify whether the email is spam or not. The dataset comprises one feature and one target variable, containing 5,727 rows and 2 columns.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Impact: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Through extensive exploratory data analysis, we have unearthed significant insights. The email text lengths range from a minimum of 13  to a maximum of 43,952 </w:t>
      </w:r>
      <w:bookmarkStart w:id="0" w:name="_GoBack"/>
      <w:bookmarkEnd w:id="0"/>
      <w:r>
        <w:rPr>
          <w:rFonts w:hint="default"/>
          <w:lang w:val="en-US"/>
        </w:rPr>
        <w:t>. A comparison between spam and non-spam messages revealed 1,368 instances of spam messages and 4,360 non-spam messages. Additionally, unique characteristics within each message were identified.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classification modeling,  employed the Naive Bayes Classifier, which yielded an impressive accuracy rate of 99%. This project provides valuable insights to email users, empowering them to make informed decisions based on email types.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B0629"/>
    <w:rsid w:val="475B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2023-11-06T19:22:00Z</dcterms:created>
  <dc:creator>anish</dc:creator>
  <cp:lastModifiedBy>Anisha Pantha</cp:lastModifiedBy>
  <dcterms:modified xsi:type="dcterms:W3CDTF">2023-11-06T19:56:48Z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C962CAB5D0194315AE9EBBEEA2C216B6_11</vt:lpwstr>
  </property>
</Properties>
</file>