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D3556" w14:textId="663341B4" w:rsidR="003C1E3C" w:rsidRPr="003C1E3C" w:rsidRDefault="003C1E3C" w:rsidP="003C1E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C1E3C">
        <w:rPr>
          <w:rFonts w:ascii="Arial" w:hAnsi="Arial" w:cs="Arial"/>
          <w:b/>
          <w:bCs/>
          <w:sz w:val="24"/>
          <w:szCs w:val="24"/>
        </w:rPr>
        <w:t xml:space="preserve">CASE EXAMPLE: </w:t>
      </w:r>
    </w:p>
    <w:p w14:paraId="1FEDD5F6" w14:textId="6C206E1D" w:rsidR="00BE7089" w:rsidRPr="00FD052D" w:rsidRDefault="00C66BC9" w:rsidP="003C1E3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052D">
        <w:rPr>
          <w:rFonts w:ascii="Arial" w:hAnsi="Arial" w:cs="Arial"/>
          <w:sz w:val="24"/>
          <w:szCs w:val="24"/>
        </w:rPr>
        <w:t>Bayawan</w:t>
      </w:r>
      <w:proofErr w:type="spellEnd"/>
      <w:r w:rsidR="00BE7089" w:rsidRPr="00FD052D">
        <w:rPr>
          <w:rFonts w:ascii="Arial" w:hAnsi="Arial" w:cs="Arial"/>
          <w:sz w:val="24"/>
          <w:szCs w:val="24"/>
        </w:rPr>
        <w:t xml:space="preserve"> City is host to several barangays (10 barangays) with high incidence of infant</w:t>
      </w:r>
      <w:r w:rsidR="003C1E3C">
        <w:rPr>
          <w:rFonts w:ascii="Arial" w:hAnsi="Arial" w:cs="Arial"/>
          <w:sz w:val="24"/>
          <w:szCs w:val="24"/>
        </w:rPr>
        <w:t xml:space="preserve"> </w:t>
      </w:r>
      <w:r w:rsidR="00BE7089" w:rsidRPr="00FD052D">
        <w:rPr>
          <w:rFonts w:ascii="Arial" w:hAnsi="Arial" w:cs="Arial"/>
          <w:sz w:val="24"/>
          <w:szCs w:val="24"/>
        </w:rPr>
        <w:t>mortality (IMR) and maternal mortality rate (MMR). These barangays are adjacent to each other.</w:t>
      </w:r>
    </w:p>
    <w:p w14:paraId="4EF6F501" w14:textId="427B1E29" w:rsidR="003C1E3C" w:rsidRDefault="00BE7089" w:rsidP="003C1E3C">
      <w:pPr>
        <w:jc w:val="both"/>
        <w:rPr>
          <w:rFonts w:ascii="Arial" w:hAnsi="Arial" w:cs="Arial"/>
          <w:sz w:val="24"/>
          <w:szCs w:val="24"/>
        </w:rPr>
      </w:pPr>
      <w:r w:rsidRPr="00FD052D">
        <w:rPr>
          <w:rFonts w:ascii="Arial" w:hAnsi="Arial" w:cs="Arial"/>
          <w:sz w:val="24"/>
          <w:szCs w:val="24"/>
        </w:rPr>
        <w:t>Some have health centers while others</w:t>
      </w:r>
      <w:r w:rsidR="00C66BC9" w:rsidRPr="00FD052D">
        <w:rPr>
          <w:rFonts w:ascii="Arial" w:hAnsi="Arial" w:cs="Arial"/>
          <w:sz w:val="24"/>
          <w:szCs w:val="24"/>
        </w:rPr>
        <w:t xml:space="preserve"> are sharing one health center. The </w:t>
      </w:r>
      <w:r w:rsidRPr="00FD052D">
        <w:rPr>
          <w:rFonts w:ascii="Arial" w:hAnsi="Arial" w:cs="Arial"/>
          <w:sz w:val="24"/>
          <w:szCs w:val="24"/>
        </w:rPr>
        <w:t>health ser</w:t>
      </w:r>
      <w:r w:rsidR="00C66BC9" w:rsidRPr="00FD052D">
        <w:rPr>
          <w:rFonts w:ascii="Arial" w:hAnsi="Arial" w:cs="Arial"/>
          <w:sz w:val="24"/>
          <w:szCs w:val="24"/>
        </w:rPr>
        <w:t xml:space="preserve">vices are inadequate and health </w:t>
      </w:r>
      <w:r w:rsidRPr="00FD052D">
        <w:rPr>
          <w:rFonts w:ascii="Arial" w:hAnsi="Arial" w:cs="Arial"/>
          <w:sz w:val="24"/>
          <w:szCs w:val="24"/>
        </w:rPr>
        <w:t>personnel are lacking. Moreover, the populace has limited knowledge a</w:t>
      </w:r>
      <w:r w:rsidR="00C66BC9" w:rsidRPr="00FD052D">
        <w:rPr>
          <w:rFonts w:ascii="Arial" w:hAnsi="Arial" w:cs="Arial"/>
          <w:sz w:val="24"/>
          <w:szCs w:val="24"/>
        </w:rPr>
        <w:t xml:space="preserve">nd practice on basic </w:t>
      </w:r>
      <w:r w:rsidRPr="00FD052D">
        <w:rPr>
          <w:rFonts w:ascii="Arial" w:hAnsi="Arial" w:cs="Arial"/>
          <w:sz w:val="24"/>
          <w:szCs w:val="24"/>
        </w:rPr>
        <w:t xml:space="preserve">health management. </w:t>
      </w:r>
      <w:r w:rsidR="00C66BC9" w:rsidRPr="00FD052D">
        <w:rPr>
          <w:rFonts w:ascii="Arial" w:hAnsi="Arial" w:cs="Arial"/>
          <w:sz w:val="24"/>
          <w:szCs w:val="24"/>
        </w:rPr>
        <w:t xml:space="preserve">The </w:t>
      </w:r>
      <w:r w:rsidRPr="00FD052D">
        <w:rPr>
          <w:rFonts w:ascii="Arial" w:hAnsi="Arial" w:cs="Arial"/>
          <w:sz w:val="24"/>
          <w:szCs w:val="24"/>
        </w:rPr>
        <w:t>children are malnourished, mothers</w:t>
      </w:r>
      <w:r w:rsidR="003C1E3C">
        <w:rPr>
          <w:rFonts w:ascii="Arial" w:hAnsi="Arial" w:cs="Arial"/>
          <w:sz w:val="24"/>
          <w:szCs w:val="24"/>
        </w:rPr>
        <w:t xml:space="preserve"> </w:t>
      </w:r>
      <w:r w:rsidRPr="00FD052D">
        <w:rPr>
          <w:rFonts w:ascii="Arial" w:hAnsi="Arial" w:cs="Arial"/>
          <w:sz w:val="24"/>
          <w:szCs w:val="24"/>
        </w:rPr>
        <w:t>are anemic, and there is a high incidence of water-borne diseases. The source of income of</w:t>
      </w:r>
      <w:r w:rsidR="003C1E3C">
        <w:rPr>
          <w:rFonts w:ascii="Arial" w:hAnsi="Arial" w:cs="Arial"/>
          <w:sz w:val="24"/>
          <w:szCs w:val="24"/>
        </w:rPr>
        <w:t xml:space="preserve"> </w:t>
      </w:r>
      <w:r w:rsidRPr="00FD052D">
        <w:rPr>
          <w:rFonts w:ascii="Arial" w:hAnsi="Arial" w:cs="Arial"/>
          <w:sz w:val="24"/>
          <w:szCs w:val="24"/>
        </w:rPr>
        <w:t>majority of families comes from farm labor (</w:t>
      </w:r>
      <w:proofErr w:type="spellStart"/>
      <w:r w:rsidRPr="00FD052D">
        <w:rPr>
          <w:rFonts w:ascii="Arial" w:hAnsi="Arial" w:cs="Arial"/>
          <w:sz w:val="24"/>
          <w:szCs w:val="24"/>
        </w:rPr>
        <w:t>hurnal</w:t>
      </w:r>
      <w:proofErr w:type="spellEnd"/>
      <w:r w:rsidRPr="00FD052D">
        <w:rPr>
          <w:rFonts w:ascii="Arial" w:hAnsi="Arial" w:cs="Arial"/>
          <w:sz w:val="24"/>
          <w:szCs w:val="24"/>
        </w:rPr>
        <w:t xml:space="preserve">) and gathering tuba. </w:t>
      </w:r>
      <w:r w:rsidR="003C1E3C">
        <w:rPr>
          <w:rFonts w:ascii="Arial" w:hAnsi="Arial" w:cs="Arial"/>
          <w:sz w:val="24"/>
          <w:szCs w:val="24"/>
        </w:rPr>
        <w:t xml:space="preserve"> </w:t>
      </w:r>
    </w:p>
    <w:p w14:paraId="7B73731C" w14:textId="7321F549" w:rsidR="00E45237" w:rsidRPr="00FD052D" w:rsidRDefault="00BE7089" w:rsidP="003C1E3C">
      <w:pPr>
        <w:jc w:val="both"/>
        <w:rPr>
          <w:rFonts w:ascii="Arial" w:hAnsi="Arial" w:cs="Arial"/>
          <w:sz w:val="24"/>
          <w:szCs w:val="24"/>
        </w:rPr>
      </w:pPr>
      <w:r w:rsidRPr="00FD052D">
        <w:rPr>
          <w:rFonts w:ascii="Arial" w:hAnsi="Arial" w:cs="Arial"/>
          <w:sz w:val="24"/>
          <w:szCs w:val="24"/>
        </w:rPr>
        <w:t>The barangays are rich in natural</w:t>
      </w:r>
      <w:r w:rsidR="003C1E3C">
        <w:rPr>
          <w:rFonts w:ascii="Arial" w:hAnsi="Arial" w:cs="Arial"/>
          <w:sz w:val="24"/>
          <w:szCs w:val="24"/>
        </w:rPr>
        <w:t xml:space="preserve"> </w:t>
      </w:r>
      <w:r w:rsidRPr="00FD052D">
        <w:rPr>
          <w:rFonts w:ascii="Arial" w:hAnsi="Arial" w:cs="Arial"/>
          <w:sz w:val="24"/>
          <w:szCs w:val="24"/>
        </w:rPr>
        <w:t>resources like geothermal energy, water, fauna, and flora.</w:t>
      </w:r>
    </w:p>
    <w:p w14:paraId="1713E273" w14:textId="77777777" w:rsidR="00C66BC9" w:rsidRDefault="00C66BC9" w:rsidP="00BE7089">
      <w:pPr>
        <w:rPr>
          <w:rFonts w:ascii="Arial Narrow" w:hAnsi="Arial Narrow" w:cs="Arial"/>
          <w:sz w:val="24"/>
          <w:szCs w:val="24"/>
        </w:rPr>
      </w:pPr>
    </w:p>
    <w:p w14:paraId="70E31131" w14:textId="2B1A95C8" w:rsidR="00C66BC9" w:rsidRPr="003C1E3C" w:rsidRDefault="00C66BC9" w:rsidP="00BE7089">
      <w:pPr>
        <w:rPr>
          <w:rFonts w:ascii="Arial Narrow" w:hAnsi="Arial Narrow" w:cs="Arial"/>
          <w:i/>
          <w:iCs/>
          <w:color w:val="FF0000"/>
          <w:sz w:val="24"/>
          <w:szCs w:val="24"/>
        </w:rPr>
      </w:pPr>
      <w:r w:rsidRPr="003C1E3C">
        <w:rPr>
          <w:rFonts w:ascii="Arial Narrow" w:hAnsi="Arial Narrow" w:cs="Arial"/>
          <w:i/>
          <w:iCs/>
          <w:color w:val="FF0000"/>
          <w:sz w:val="24"/>
          <w:szCs w:val="24"/>
        </w:rPr>
        <w:t xml:space="preserve">Make a 5-year plan </w:t>
      </w:r>
    </w:p>
    <w:p w14:paraId="35F0DCA5" w14:textId="744D6840" w:rsidR="00FD052D" w:rsidRDefault="00FD052D" w:rsidP="00BE7089">
      <w:pPr>
        <w:rPr>
          <w:rFonts w:ascii="Arial Narrow" w:hAnsi="Arial Narrow" w:cs="Arial"/>
          <w:color w:val="FF0000"/>
          <w:sz w:val="24"/>
          <w:szCs w:val="24"/>
        </w:rPr>
      </w:pPr>
    </w:p>
    <w:p w14:paraId="58A555EF" w14:textId="3C5DDB00" w:rsidR="00FD052D" w:rsidRDefault="00FD052D" w:rsidP="00BE7089">
      <w:pPr>
        <w:rPr>
          <w:rFonts w:ascii="Arial" w:hAnsi="Arial" w:cs="Arial"/>
          <w:sz w:val="24"/>
          <w:szCs w:val="24"/>
        </w:rPr>
      </w:pPr>
      <w:r w:rsidRPr="000E5EB0">
        <w:rPr>
          <w:rFonts w:ascii="Arial" w:hAnsi="Arial" w:cs="Arial"/>
          <w:b/>
          <w:bCs/>
          <w:sz w:val="24"/>
          <w:szCs w:val="24"/>
        </w:rPr>
        <w:t>General Objective:</w:t>
      </w:r>
      <w:r w:rsidRPr="00FD052D">
        <w:rPr>
          <w:rFonts w:ascii="Arial" w:hAnsi="Arial" w:cs="Arial"/>
          <w:sz w:val="24"/>
          <w:szCs w:val="24"/>
        </w:rPr>
        <w:t xml:space="preserve"> </w:t>
      </w:r>
      <w:r w:rsidR="003C1E3C">
        <w:rPr>
          <w:rFonts w:ascii="Arial" w:hAnsi="Arial" w:cs="Arial"/>
          <w:sz w:val="24"/>
          <w:szCs w:val="24"/>
        </w:rPr>
        <w:t>To e</w:t>
      </w:r>
      <w:r>
        <w:rPr>
          <w:rFonts w:ascii="Arial" w:hAnsi="Arial" w:cs="Arial"/>
          <w:sz w:val="24"/>
          <w:szCs w:val="24"/>
        </w:rPr>
        <w:t>nhance</w:t>
      </w:r>
      <w:r w:rsidR="003C1E3C">
        <w:rPr>
          <w:rFonts w:ascii="Arial" w:hAnsi="Arial" w:cs="Arial"/>
          <w:sz w:val="24"/>
          <w:szCs w:val="24"/>
        </w:rPr>
        <w:t xml:space="preserve"> and improve </w:t>
      </w:r>
      <w:r w:rsidR="005622D7">
        <w:rPr>
          <w:rFonts w:ascii="Arial" w:hAnsi="Arial" w:cs="Arial"/>
          <w:sz w:val="24"/>
          <w:szCs w:val="24"/>
        </w:rPr>
        <w:t xml:space="preserve">the health services </w:t>
      </w:r>
      <w:r w:rsidR="005622D7">
        <w:rPr>
          <w:rFonts w:ascii="Arial" w:hAnsi="Arial" w:cs="Arial"/>
          <w:sz w:val="24"/>
          <w:szCs w:val="24"/>
        </w:rPr>
        <w:t xml:space="preserve">in the ten (10) barangays of </w:t>
      </w:r>
      <w:proofErr w:type="spellStart"/>
      <w:r w:rsidR="005622D7">
        <w:rPr>
          <w:rFonts w:ascii="Arial" w:hAnsi="Arial" w:cs="Arial"/>
          <w:sz w:val="24"/>
          <w:szCs w:val="24"/>
        </w:rPr>
        <w:t>Bayawan</w:t>
      </w:r>
      <w:proofErr w:type="spellEnd"/>
      <w:r w:rsidR="005622D7">
        <w:rPr>
          <w:rFonts w:ascii="Arial" w:hAnsi="Arial" w:cs="Arial"/>
          <w:sz w:val="24"/>
          <w:szCs w:val="24"/>
        </w:rPr>
        <w:t xml:space="preserve"> City</w:t>
      </w:r>
      <w:r w:rsidR="005622D7">
        <w:rPr>
          <w:rFonts w:ascii="Arial" w:hAnsi="Arial" w:cs="Arial"/>
          <w:sz w:val="24"/>
          <w:szCs w:val="24"/>
        </w:rPr>
        <w:t xml:space="preserve"> and thereby improving </w:t>
      </w:r>
      <w:r w:rsidR="003C1E3C">
        <w:rPr>
          <w:rFonts w:ascii="Arial" w:hAnsi="Arial" w:cs="Arial"/>
          <w:sz w:val="24"/>
          <w:szCs w:val="24"/>
        </w:rPr>
        <w:t xml:space="preserve">health condition and water sanitation of people </w:t>
      </w:r>
      <w:r w:rsidR="005622D7">
        <w:rPr>
          <w:rFonts w:ascii="Arial" w:hAnsi="Arial" w:cs="Arial"/>
          <w:sz w:val="24"/>
          <w:szCs w:val="24"/>
        </w:rPr>
        <w:t xml:space="preserve">in these barangays </w:t>
      </w:r>
      <w:r w:rsidR="003C1E3C">
        <w:rPr>
          <w:rFonts w:ascii="Arial" w:hAnsi="Arial" w:cs="Arial"/>
          <w:sz w:val="24"/>
          <w:szCs w:val="24"/>
        </w:rPr>
        <w:t xml:space="preserve">within a period of 5 years. </w:t>
      </w:r>
    </w:p>
    <w:p w14:paraId="545468BC" w14:textId="77777777" w:rsidR="003C1E3C" w:rsidRDefault="003C1E3C" w:rsidP="00BE708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2377"/>
        <w:gridCol w:w="1897"/>
        <w:gridCol w:w="1643"/>
        <w:gridCol w:w="1444"/>
        <w:gridCol w:w="1173"/>
        <w:gridCol w:w="985"/>
        <w:gridCol w:w="1281"/>
      </w:tblGrid>
      <w:tr w:rsidR="003C1E3C" w:rsidRPr="005622D7" w14:paraId="30D3C82E" w14:textId="77777777" w:rsidTr="003C1E3C">
        <w:tc>
          <w:tcPr>
            <w:tcW w:w="2062" w:type="dxa"/>
          </w:tcPr>
          <w:p w14:paraId="348277D6" w14:textId="780E564A" w:rsidR="003C1E3C" w:rsidRPr="005622D7" w:rsidRDefault="003C1E3C" w:rsidP="003C1E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2D7">
              <w:rPr>
                <w:rFonts w:ascii="Arial" w:hAnsi="Arial" w:cs="Arial"/>
                <w:b/>
                <w:bCs/>
                <w:sz w:val="24"/>
                <w:szCs w:val="24"/>
              </w:rPr>
              <w:t>Specific Objectives</w:t>
            </w:r>
          </w:p>
        </w:tc>
        <w:tc>
          <w:tcPr>
            <w:tcW w:w="1750" w:type="dxa"/>
          </w:tcPr>
          <w:p w14:paraId="0C3C2024" w14:textId="32809950" w:rsidR="003C1E3C" w:rsidRPr="005622D7" w:rsidRDefault="003C1E3C" w:rsidP="003C1E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2D7">
              <w:rPr>
                <w:rFonts w:ascii="Arial" w:hAnsi="Arial" w:cs="Arial"/>
                <w:b/>
                <w:bCs/>
                <w:sz w:val="24"/>
                <w:szCs w:val="24"/>
              </w:rPr>
              <w:t>Task/Activities</w:t>
            </w:r>
          </w:p>
        </w:tc>
        <w:tc>
          <w:tcPr>
            <w:tcW w:w="1537" w:type="dxa"/>
          </w:tcPr>
          <w:p w14:paraId="79A9BEEB" w14:textId="360676D5" w:rsidR="003C1E3C" w:rsidRPr="005622D7" w:rsidRDefault="003C1E3C" w:rsidP="003C1E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2D7">
              <w:rPr>
                <w:rFonts w:ascii="Arial" w:hAnsi="Arial" w:cs="Arial"/>
                <w:b/>
                <w:bCs/>
                <w:sz w:val="24"/>
                <w:szCs w:val="24"/>
              </w:rPr>
              <w:t>Persons Responsible</w:t>
            </w:r>
          </w:p>
        </w:tc>
        <w:tc>
          <w:tcPr>
            <w:tcW w:w="1364" w:type="dxa"/>
          </w:tcPr>
          <w:p w14:paraId="000E4645" w14:textId="4C6E6902" w:rsidR="003C1E3C" w:rsidRPr="005622D7" w:rsidRDefault="003C1E3C" w:rsidP="003C1E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2D7">
              <w:rPr>
                <w:rFonts w:ascii="Arial" w:hAnsi="Arial" w:cs="Arial"/>
                <w:b/>
                <w:bCs/>
                <w:sz w:val="24"/>
                <w:szCs w:val="24"/>
              </w:rPr>
              <w:t>Resources Needed</w:t>
            </w:r>
          </w:p>
        </w:tc>
        <w:tc>
          <w:tcPr>
            <w:tcW w:w="1191" w:type="dxa"/>
          </w:tcPr>
          <w:p w14:paraId="3EAA7326" w14:textId="6C4A73DC" w:rsidR="003C1E3C" w:rsidRPr="005622D7" w:rsidRDefault="003C1E3C" w:rsidP="003C1E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2D7">
              <w:rPr>
                <w:rFonts w:ascii="Arial" w:hAnsi="Arial" w:cs="Arial"/>
                <w:b/>
                <w:bCs/>
                <w:sz w:val="24"/>
                <w:szCs w:val="24"/>
              </w:rPr>
              <w:t>Sources</w:t>
            </w:r>
          </w:p>
        </w:tc>
        <w:tc>
          <w:tcPr>
            <w:tcW w:w="1077" w:type="dxa"/>
          </w:tcPr>
          <w:p w14:paraId="2C10477B" w14:textId="0C19EE95" w:rsidR="003C1E3C" w:rsidRPr="005622D7" w:rsidRDefault="003C1E3C" w:rsidP="003C1E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2D7">
              <w:rPr>
                <w:rFonts w:ascii="Arial" w:hAnsi="Arial" w:cs="Arial"/>
                <w:b/>
                <w:bCs/>
                <w:sz w:val="24"/>
                <w:szCs w:val="24"/>
              </w:rPr>
              <w:t>Time Frame</w:t>
            </w:r>
          </w:p>
        </w:tc>
        <w:tc>
          <w:tcPr>
            <w:tcW w:w="1819" w:type="dxa"/>
          </w:tcPr>
          <w:p w14:paraId="07931686" w14:textId="59115289" w:rsidR="003C1E3C" w:rsidRPr="005622D7" w:rsidRDefault="003C1E3C" w:rsidP="003C1E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2D7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3C1E3C" w14:paraId="0E66CA04" w14:textId="77777777" w:rsidTr="003C1E3C">
        <w:tc>
          <w:tcPr>
            <w:tcW w:w="2062" w:type="dxa"/>
          </w:tcPr>
          <w:p w14:paraId="47B35AB6" w14:textId="191513C3" w:rsidR="003C1E3C" w:rsidRPr="003C1E3C" w:rsidRDefault="003C1E3C" w:rsidP="005622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enlist the cooperation, expertise &amp; support of all welfare agencies relevant to problems</w:t>
            </w:r>
            <w:r w:rsidR="005622D7">
              <w:rPr>
                <w:rFonts w:ascii="Arial" w:hAnsi="Arial" w:cs="Arial"/>
                <w:sz w:val="24"/>
                <w:szCs w:val="24"/>
              </w:rPr>
              <w:t xml:space="preserve"> of health services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</w:t>
            </w:r>
            <w:r w:rsidR="00A27F06">
              <w:rPr>
                <w:rFonts w:ascii="Arial" w:hAnsi="Arial" w:cs="Arial"/>
                <w:sz w:val="24"/>
                <w:szCs w:val="24"/>
              </w:rPr>
              <w:t xml:space="preserve">10 barangays of </w:t>
            </w:r>
            <w:proofErr w:type="spellStart"/>
            <w:r w:rsidR="00A27F06">
              <w:rPr>
                <w:rFonts w:ascii="Arial" w:hAnsi="Arial" w:cs="Arial"/>
                <w:sz w:val="24"/>
                <w:szCs w:val="24"/>
              </w:rPr>
              <w:t>Bayawan</w:t>
            </w:r>
            <w:proofErr w:type="spellEnd"/>
            <w:r w:rsidR="00A27F06">
              <w:rPr>
                <w:rFonts w:ascii="Arial" w:hAnsi="Arial" w:cs="Arial"/>
                <w:sz w:val="24"/>
                <w:szCs w:val="24"/>
              </w:rPr>
              <w:t xml:space="preserve"> City.</w:t>
            </w:r>
          </w:p>
        </w:tc>
        <w:tc>
          <w:tcPr>
            <w:tcW w:w="1750" w:type="dxa"/>
          </w:tcPr>
          <w:p w14:paraId="46ABD554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4923CFDB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7DE9E450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</w:tcPr>
          <w:p w14:paraId="10E8D683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</w:tcPr>
          <w:p w14:paraId="4F7A2665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14:paraId="1C1FE37C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1E3C" w14:paraId="50A8D344" w14:textId="77777777" w:rsidTr="003C1E3C">
        <w:tc>
          <w:tcPr>
            <w:tcW w:w="2062" w:type="dxa"/>
          </w:tcPr>
          <w:p w14:paraId="1860B740" w14:textId="17EE410B" w:rsidR="003C1E3C" w:rsidRPr="00A27F06" w:rsidRDefault="00A27F06" w:rsidP="005622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increase the nutritional level of 50% malnourished children</w:t>
            </w:r>
            <w:r w:rsidR="000E5E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within 7 months.</w:t>
            </w:r>
          </w:p>
        </w:tc>
        <w:tc>
          <w:tcPr>
            <w:tcW w:w="1750" w:type="dxa"/>
          </w:tcPr>
          <w:p w14:paraId="5162C3C7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54FD859B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1CFB5CC2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</w:tcPr>
          <w:p w14:paraId="722242F5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</w:tcPr>
          <w:p w14:paraId="276FB1F5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14:paraId="030ACEB6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1E3C" w14:paraId="374C012E" w14:textId="77777777" w:rsidTr="003C1E3C">
        <w:tc>
          <w:tcPr>
            <w:tcW w:w="2062" w:type="dxa"/>
          </w:tcPr>
          <w:p w14:paraId="77BDA58E" w14:textId="2472339D" w:rsidR="003C1E3C" w:rsidRPr="00A27F06" w:rsidRDefault="00A27F06" w:rsidP="005622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="005622D7">
              <w:rPr>
                <w:rFonts w:ascii="Arial" w:hAnsi="Arial" w:cs="Arial"/>
                <w:sz w:val="24"/>
                <w:szCs w:val="24"/>
              </w:rPr>
              <w:t>augment the awareness of families of the community problems in order for them to take action.</w:t>
            </w:r>
          </w:p>
        </w:tc>
        <w:tc>
          <w:tcPr>
            <w:tcW w:w="1750" w:type="dxa"/>
          </w:tcPr>
          <w:p w14:paraId="41851EDD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2AFDDBE1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67E9072D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</w:tcPr>
          <w:p w14:paraId="71C52B47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</w:tcPr>
          <w:p w14:paraId="341A2C25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14:paraId="6B1C49E7" w14:textId="77777777" w:rsidR="003C1E3C" w:rsidRDefault="003C1E3C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22D7" w14:paraId="2B01815E" w14:textId="77777777" w:rsidTr="003C1E3C">
        <w:tc>
          <w:tcPr>
            <w:tcW w:w="2062" w:type="dxa"/>
          </w:tcPr>
          <w:p w14:paraId="0C772109" w14:textId="3E6EF1C1" w:rsidR="005622D7" w:rsidRPr="005622D7" w:rsidRDefault="005622D7" w:rsidP="005622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0" w:type="dxa"/>
          </w:tcPr>
          <w:p w14:paraId="513B1429" w14:textId="77777777" w:rsidR="005622D7" w:rsidRDefault="005622D7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2814415" w14:textId="77777777" w:rsidR="005622D7" w:rsidRDefault="005622D7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141DB5A5" w14:textId="77777777" w:rsidR="005622D7" w:rsidRDefault="005622D7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</w:tcPr>
          <w:p w14:paraId="52CE3084" w14:textId="77777777" w:rsidR="005622D7" w:rsidRDefault="005622D7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7" w:type="dxa"/>
          </w:tcPr>
          <w:p w14:paraId="4B280CEC" w14:textId="77777777" w:rsidR="005622D7" w:rsidRDefault="005622D7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9" w:type="dxa"/>
          </w:tcPr>
          <w:p w14:paraId="5A8492D3" w14:textId="77777777" w:rsidR="005622D7" w:rsidRDefault="005622D7" w:rsidP="00BE70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50790A" w14:textId="2C40742A" w:rsidR="005622D7" w:rsidRDefault="005622D7" w:rsidP="00BE7089">
      <w:pPr>
        <w:rPr>
          <w:rFonts w:ascii="Arial" w:hAnsi="Arial" w:cs="Arial"/>
          <w:sz w:val="24"/>
          <w:szCs w:val="24"/>
        </w:rPr>
      </w:pPr>
    </w:p>
    <w:p w14:paraId="3FB52894" w14:textId="77777777" w:rsidR="005622D7" w:rsidRPr="00FD052D" w:rsidRDefault="005622D7" w:rsidP="00BE7089">
      <w:pPr>
        <w:rPr>
          <w:rFonts w:ascii="Arial" w:hAnsi="Arial" w:cs="Arial"/>
          <w:sz w:val="24"/>
          <w:szCs w:val="24"/>
        </w:rPr>
      </w:pPr>
    </w:p>
    <w:sectPr w:rsidR="005622D7" w:rsidRPr="00FD0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0169"/>
    <w:multiLevelType w:val="hybridMultilevel"/>
    <w:tmpl w:val="057A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89"/>
    <w:rsid w:val="000E5EB0"/>
    <w:rsid w:val="003C1E3C"/>
    <w:rsid w:val="005622D7"/>
    <w:rsid w:val="007F7FB2"/>
    <w:rsid w:val="00A27F06"/>
    <w:rsid w:val="00BE7089"/>
    <w:rsid w:val="00C66BC9"/>
    <w:rsid w:val="00E45237"/>
    <w:rsid w:val="00FD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A651"/>
  <w15:chartTrackingRefBased/>
  <w15:docId w15:val="{351B09D5-042B-4494-9471-CB801EE6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Joan Vencito</cp:lastModifiedBy>
  <cp:revision>2</cp:revision>
  <dcterms:created xsi:type="dcterms:W3CDTF">2023-11-14T01:16:00Z</dcterms:created>
  <dcterms:modified xsi:type="dcterms:W3CDTF">2023-11-18T12:39:00Z</dcterms:modified>
</cp:coreProperties>
</file>