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a="http://schemas.openxmlformats.org/drawingml/2006/main" xmlns:pic="http://schemas.openxmlformats.org/drawingml/2006/picture">
  <w:body>
    <w:p>
      <w:pPr>
        <w:spacing w:before="0" w:after="0" w:line="210" w:lineRule="auto"/>
        <w:jc w:val="center"/>
        <w:rPr>
          <w:rFonts w:ascii="TH SarabunPSK" w:hAnsi="TH SarabunPSK" w:cs="TH SarabunPSK"/>
          <w:b/>
          <w:bCs/>
          <w:sz w:val="34"/>
          <w:szCs w:val="34"/>
        </w:rPr>
      </w:pPr>
      <w:r>
        <w:rPr>
          <w:rFonts w:ascii="TH SarabunPSK" w:hAnsi="TH SarabunPSK" w:cs="TH SarabunPSK"/>
          <w:b/>
          <w:bCs/>
          <w:sz w:val="34"/>
          <w:szCs w:val="34"/>
          <w:lang w:val="en-US" w:bidi="th-TH"/>
          <w:cs/>
        </w:rPr>
        <w:t xml:space="preserve">ข้อตกลงในการพัฒนางานที่เสนอเป็นประเด็นท้าทาย (Challenge Issue)</w:t>
      </w:r>
    </w:p>
    <w:p>
      <w:pPr>
        <w:spacing w:before="0" w:after="0" w:line="210" w:lineRule="auto"/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lang w:val="en-US" w:bidi="th-TH"/>
          <w:cs/>
        </w:rPr>
        <w:t xml:space="preserve">ในการพัฒนาผลลัพธ์การเรียนรู้ของผู้เรียน  ปีงบประมาณ พ.ศ. 2569 (1 ตุลาคม 2568 – 30 กันยายน 2569)</w:t>
      </w:r>
    </w:p>
    <w:p>
      <w:pPr>
        <w:spacing w:before="0" w:after="60" w:line="210" w:lineRule="auto"/>
        <w:jc w:val="center"/>
        <w:rPr>
          <w:rFonts w:ascii="TH SarabunPSK" w:hAnsi="TH SarabunPSK" w:cs="TH SarabunPSK"/>
          <w:sz w:val="27"/>
          <w:szCs w:val="27"/>
        </w:rPr>
      </w:pPr>
      <w:r>
        <w:rPr>
          <w:rFonts w:ascii="TH SarabunPSK" w:hAnsi="TH SarabunPSK" w:cs="TH SarabunPSK"/>
          <w:sz w:val="27"/>
          <w:szCs w:val="27"/>
          <w:lang w:val="en-US" w:bidi="th-TH"/>
          <w:cs/>
        </w:rPr>
        <w:t xml:space="preserve">นายภัทรพงษ์  มาตณาคุณ  ตำแหน่ง ครู  กลุ่มสาระการเรียนรู้วิทยาศาสตร์และเทคโนโลยี  โรงเรียนโคกคอนวิทยาคม  สพม.หนองคาย</w:t>
      </w:r>
    </w:p>
    <w:tbl>
      <w:tblPr>
        <w:tblStyle w:val="TableGrid"/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70" w:type="dxa"/>
          <w:bottom w:w="20" w:type="dxa"/>
          <w:right w:w="70" w:type="dxa"/>
        </w:tblCellMar>
      </w:tblPr>
      <w:tblGrid>
        <w:gridCol w:w="9354"/>
      </w:tblGrid>
      <w:tr>
        <w:tc>
          <w:tcPr>
            <w:tcW w:w="9354" w:type="dxa"/>
            <w:shd w:val="clear" w:color="auto" w:fill="FFF2CC"/>
            <w:vAlign w:val="center"/>
          </w:tcPr>
          <w:p>
            <w:pPr>
              <w:spacing w:before="10" w:after="10" w:line="200" w:lineRule="auto"/>
              <w:jc w:val="center"/>
              <w:rPr>
                <w:rFonts w:ascii="TH SarabunPSK" w:hAnsi="TH SarabunPSK" w:cs="TH SarabunPSK"/>
                <w:b/>
                <w:bCs/>
                <w:sz w:val="29"/>
                <w:szCs w:val="29"/>
              </w:rPr>
            </w:pPr>
            <w:r>
              <w:rPr>
                <w:rFonts w:ascii="TH SarabunPSK" w:hAnsi="TH SarabunPSK" w:cs="TH SarabunPSK"/>
                <w:b/>
                <w:bCs/>
                <w:sz w:val="29"/>
                <w:szCs w:val="29"/>
                <w:lang w:val="en-US" w:bidi="th-TH"/>
                <w:cs/>
              </w:rPr>
              <w:t xml:space="preserve">การพัฒนาผลสัมฤทธิ์ทางการเรียนและทักษะปฏิบัติการเคมี เรื่อง กรด – เบส ของนักเรียนชั้นมัธยมศึกษาปีที่ 5</w:t>
            </w:r>
          </w:p>
          <w:p>
            <w:pPr>
              <w:spacing w:before="10" w:after="10" w:line="200" w:lineRule="auto"/>
              <w:jc w:val="center"/>
              <w:rPr>
                <w:rFonts w:ascii="TH SarabunPSK" w:hAnsi="TH SarabunPSK" w:cs="TH SarabunPSK"/>
                <w:b/>
                <w:bCs/>
                <w:sz w:val="29"/>
                <w:szCs w:val="29"/>
              </w:rPr>
            </w:pPr>
            <w:r>
              <w:rPr>
                <w:rFonts w:ascii="TH SarabunPSK" w:hAnsi="TH SarabunPSK" w:cs="TH SarabunPSK"/>
                <w:b/>
                <w:bCs/>
                <w:sz w:val="29"/>
                <w:szCs w:val="29"/>
                <w:lang w:val="en-US" w:bidi="th-TH"/>
                <w:cs/>
              </w:rPr>
              <w:t xml:space="preserve">โดยใช้รูปแบบการสอนเชิงรุกผ่านสถานการณ์จำลองบน Roblox ร่วมกับปฏิบัติการเคมีแบบย่อส่วน (Microscale Chemistry)</w:t>
            </w:r>
          </w:p>
        </w:tc>
      </w:tr>
    </w:tbl>
    <w:p>
      <w:pPr>
        <w:spacing w:before="0" w:after="0" w:line="200" w:lineRule="auto"/>
        <w:rPr>
          <w:rFonts w:ascii="TH SarabunPSK" w:hAnsi="TH SarabunPSK" w:cs="TH SarabunPSK"/>
          <w:sz w:val="8"/>
          <w:szCs w:val="8"/>
        </w:rPr>
      </w:pPr>
    </w:p>
    <w:p>
      <w:pPr>
        <w:spacing w:before="0" w:after="40" w:line="210" w:lineRule="auto"/>
        <w:jc w:val="center"/>
        <w:rPr>
          <w:rFonts w:ascii="TH SarabunPSK" w:hAnsi="TH SarabunPSK" w:cs="TH SarabunPSK"/>
          <w:sz w:val="26"/>
          <w:szCs w:val="26"/>
        </w:rPr>
      </w:pPr>
      <w:r>
        <w:rPr>
          <w:rFonts w:ascii="TH SarabunPSK" w:hAnsi="TH SarabunPSK" w:cs="TH SarabunPSK"/>
          <w:i/>
          <w:iCs/>
          <w:sz w:val="26"/>
          <w:szCs w:val="26"/>
          <w:lang w:val="en-US" w:bidi="th-TH"/>
          <w:cs/>
        </w:rPr>
        <w:t xml:space="preserve">ระดับการปฏิบัติที่คาดหวัง : ปรับประยุกต์ (Apply &amp; Adapt) — ดำเนินการในระดับ ริเริ่ม พัฒนา (Originate &amp; Improve)</w:t>
      </w:r>
    </w:p>
    <w:p>
      <w:pPr>
        <w:shd w:val="clear" w:color="auto" w:fill="DEEAF6"/>
        <w:spacing w:before="60" w:after="10" w:line="210" w:lineRule="auto"/>
        <w:keepNext/>
        <w:rPr>
          <w:rFonts w:ascii="TH SarabunPSK" w:hAnsi="TH SarabunPSK" w:cs="TH SarabunPSK"/>
          <w:b/>
          <w:bCs/>
          <w:sz w:val="29"/>
          <w:szCs w:val="29"/>
        </w:rPr>
      </w:pPr>
      <w:r>
        <w:rPr>
          <w:rFonts w:ascii="TH SarabunPSK" w:hAnsi="TH SarabunPSK" w:cs="TH SarabunPSK"/>
          <w:b/>
          <w:bCs/>
          <w:sz w:val="29"/>
          <w:szCs w:val="29"/>
          <w:lang w:val="en-US" w:bidi="th-TH"/>
          <w:cs/>
        </w:rPr>
        <w:t xml:space="preserve">1. สภาพปัญหาการจัดการเรียนรู้และคุณภาพการเรียนรู้ของผู้เรียน</w:t>
      </w:r>
    </w:p>
    <w:p>
      <w:pPr>
        <w:spacing w:before="0" w:after="20" w:line="210" w:lineRule="auto"/>
        <w:ind w:firstLine="560"/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lang w:val="en-US" w:bidi="th-TH"/>
          <w:cs/>
        </w:rPr>
        <w:t xml:space="preserve">เรื่องกรด – เบส เป็นเนื้อหานามธรรมสูง ต้องคำนวณ pH ด้วยลอการิทึม ผู้เรียน ม.5 จึงเกิด "ช่องว่างระหว่างทฤษฎีกับการปฏิบัติ" และขาดแรงจูงใจ ขณะที่การทดลองแบบดั้งเดิม (Macroscale) มีสารเคมีและอุปกรณ์ไม่เพียงพอให้ทุกคนได้ลงมือทำ ผู้เรียนกังวลเรื่องความปลอดภัย และเกิดของเสียมาก ข้าพเจ้าจึงบูรณาการเทคโนโลยีโลกเสมือน (Roblox Gamification) เข้ากับปฏิบัติการเคมีแบบย่อส่วน เพื่อสร้างการเรียนรู้เชิงรุกที่สนุก ปลอดภัย และเข้าถึงผู้เรียนทุกคนแบบ 1 : 1</w:t>
      </w:r>
    </w:p>
    <w:p>
      <w:pPr>
        <w:shd w:val="clear" w:color="auto" w:fill="DEEAF6"/>
        <w:spacing w:before="60" w:after="10" w:line="210" w:lineRule="auto"/>
        <w:keepNext/>
        <w:rPr>
          <w:rFonts w:ascii="TH SarabunPSK" w:hAnsi="TH SarabunPSK" w:cs="TH SarabunPSK"/>
          <w:b/>
          <w:bCs/>
          <w:sz w:val="29"/>
          <w:szCs w:val="29"/>
        </w:rPr>
      </w:pPr>
      <w:r>
        <w:rPr>
          <w:rFonts w:ascii="TH SarabunPSK" w:hAnsi="TH SarabunPSK" w:cs="TH SarabunPSK"/>
          <w:b/>
          <w:bCs/>
          <w:sz w:val="29"/>
          <w:szCs w:val="29"/>
          <w:lang w:val="en-US" w:bidi="th-TH"/>
          <w:cs/>
        </w:rPr>
        <w:t xml:space="preserve">2. วิธีการดำเนินการให้บรรลุผล</w:t>
      </w:r>
    </w:p>
    <w:p>
      <w:pPr>
        <w:spacing w:before="0" w:after="8" w:line="210" w:lineRule="auto"/>
        <w:ind w:left="560" w:hanging="300"/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lang w:val="en-US" w:bidi="th-TH"/>
          <w:cs/>
        </w:rPr>
        <w:t xml:space="preserve">1)  วิเคราะห์หลักสูตร ผู้เรียนรายบุคคล และผลการเรียนย้อนหลัง กำหนดกลุ่มเป้าหมาย ม.5/1 จำนวน 20 คน ระยะเวลา 9 ชั่วโมง (3 สัปดาห์)</w:t>
      </w:r>
    </w:p>
    <w:p>
      <w:pPr>
        <w:spacing w:before="0" w:after="8" w:line="210" w:lineRule="auto"/>
        <w:ind w:left="560" w:hanging="300"/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lang w:val="en-US" w:bidi="th-TH"/>
          <w:cs/>
        </w:rPr>
        <w:t xml:space="preserve">2)  ออกแบบและพัฒนานวัตกรรม 2 ส่วน : สถานการณ์จำลอง "Acid – Base Frontier" บน Roblox และชุด Microscale Chemistry Kit จากวัสดุท้องถิ่น 1 ชุดต่อ 1 คน</w:t>
      </w:r>
    </w:p>
    <w:p>
      <w:pPr>
        <w:spacing w:before="0" w:after="8" w:line="210" w:lineRule="auto"/>
        <w:ind w:left="560" w:hanging="300"/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lang w:val="en-US" w:bidi="th-TH"/>
          <w:cs/>
        </w:rPr>
        <w:t xml:space="preserve">3)  ตรวจสอบคุณภาพแผน แบบทดสอบ แบบประเมินทักษะ และแบบสอบถาม โดยผู้เชี่ยวชาญ (IOC) และทดลองใช้หาค่าความยาก อำนาจจำแนก ความเชื่อมั่น</w:t>
      </w:r>
    </w:p>
    <w:p>
      <w:pPr>
        <w:spacing w:before="0" w:after="8" w:line="210" w:lineRule="auto"/>
        <w:ind w:left="560" w:hanging="300"/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lang w:val="en-US" w:bidi="th-TH"/>
          <w:cs/>
        </w:rPr>
        <w:t xml:space="preserve">4)  จัดการเรียนรู้ด้วยกระบวนการ 5E ร่วมกับ Gamification : ฝึกในโลกเสมือนก่อน แล้วปฏิบัติจริงด้วยชุดย่อส่วน ทดสอบก่อน–หลังเรียน และประเมินระหว่างเรียน</w:t>
      </w:r>
    </w:p>
    <w:p>
      <w:pPr>
        <w:spacing w:before="0" w:after="8" w:line="210" w:lineRule="auto"/>
        <w:ind w:left="560" w:hanging="300"/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lang w:val="en-US" w:bidi="th-TH"/>
          <w:cs/>
        </w:rPr>
        <w:t xml:space="preserve">5)  วิเคราะห์ข้อมูลด้วยค่าเฉลี่ย ส่วนเบี่ยงเบนมาตรฐาน ประสิทธิภาพ E1/E2 และ t-test แล้วสะท้อนผลผ่านกระบวนการ PLC เพื่อปรับปรุงและขยายผล</w:t>
      </w:r>
    </w:p>
    <w:p>
      <w:pPr>
        <w:shd w:val="clear" w:color="auto" w:fill="DEEAF6"/>
        <w:spacing w:before="60" w:after="10" w:line="210" w:lineRule="auto"/>
        <w:keepNext/>
        <w:rPr>
          <w:rFonts w:ascii="TH SarabunPSK" w:hAnsi="TH SarabunPSK" w:cs="TH SarabunPSK"/>
          <w:b/>
          <w:bCs/>
          <w:sz w:val="29"/>
          <w:szCs w:val="29"/>
        </w:rPr>
      </w:pPr>
      <w:r>
        <w:rPr>
          <w:rFonts w:ascii="TH SarabunPSK" w:hAnsi="TH SarabunPSK" w:cs="TH SarabunPSK"/>
          <w:b/>
          <w:bCs/>
          <w:sz w:val="29"/>
          <w:szCs w:val="29"/>
          <w:lang w:val="en-US" w:bidi="th-TH"/>
          <w:cs/>
        </w:rPr>
        <w:t xml:space="preserve">3. ผลลัพธ์การพัฒนาที่คาดหวัง</w:t>
      </w:r>
    </w:p>
    <w:tbl>
      <w:tblPr>
        <w:tblStyle w:val="TableGrid"/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70" w:type="dxa"/>
          <w:bottom w:w="20" w:type="dxa"/>
          <w:right w:w="70" w:type="dxa"/>
        </w:tblCellMar>
      </w:tblPr>
      <w:tblGrid>
        <w:gridCol w:w="1497"/>
        <w:gridCol w:w="7857"/>
      </w:tblGrid>
      <w:tr>
        <w:tc>
          <w:tcPr>
            <w:tcW w:w="1497" w:type="dxa"/>
            <w:shd w:val="clear" w:color="auto" w:fill="E2EFD9"/>
            <w:vAlign w:val="center"/>
          </w:tcPr>
          <w:p>
            <w:pPr>
              <w:spacing w:before="10" w:after="10" w:line="195" w:lineRule="auto"/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  <w:lang w:val="en-US" w:bidi="th-TH"/>
                <w:cs/>
              </w:rPr>
              <w:t xml:space="preserve">เชิงปริมาณ</w:t>
            </w:r>
          </w:p>
        </w:tc>
        <w:tc>
          <w:tcPr>
            <w:tcW w:w="7857" w:type="dxa"/>
            <w:vAlign w:val="center"/>
          </w:tcPr>
          <w:p>
            <w:pPr>
              <w:spacing w:before="10" w:after="10" w:line="195" w:lineRule="auto"/>
              <w:jc w:val="both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  <w:lang w:val="en-US" w:bidi="th-TH"/>
                <w:cs/>
              </w:rPr>
              <w:t xml:space="preserve">แผนการจัดการเรียนรู้มีประสิทธิภาพ E1/E2 ไม่ต่ำกว่า 80/80 • ผลสัมฤทธิ์หลังเรียนสูงกว่าก่อนเรียนอย่างมีนัยสำคัญที่ระดับ .05 • ผู้เรียนไม่น้อยกว่าร้อยละ 75 มีทักษะปฏิบัติการเคมีระดับดีขึ้นไป • ความพึงพอใจระดับมาก – มากที่สุด</w:t>
            </w:r>
          </w:p>
        </w:tc>
      </w:tr>
      <w:tr>
        <w:tc>
          <w:tcPr>
            <w:tcW w:w="1497" w:type="dxa"/>
            <w:shd w:val="clear" w:color="auto" w:fill="E2EFD9"/>
            <w:vAlign w:val="center"/>
          </w:tcPr>
          <w:p>
            <w:pPr>
              <w:spacing w:before="10" w:after="10" w:line="195" w:lineRule="auto"/>
              <w:jc w:val="center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>
              <w:rPr>
                <w:rFonts w:ascii="TH SarabunPSK" w:hAnsi="TH SarabunPSK" w:cs="TH SarabunPSK"/>
                <w:b/>
                <w:bCs/>
                <w:sz w:val="26"/>
                <w:szCs w:val="26"/>
                <w:lang w:val="en-US" w:bidi="th-TH"/>
                <w:cs/>
              </w:rPr>
              <w:t xml:space="preserve">เชิงคุณภาพ</w:t>
            </w:r>
          </w:p>
        </w:tc>
        <w:tc>
          <w:tcPr>
            <w:tcW w:w="7857" w:type="dxa"/>
            <w:vAlign w:val="center"/>
          </w:tcPr>
          <w:p>
            <w:pPr>
              <w:spacing w:before="10" w:after="10" w:line="195" w:lineRule="auto"/>
              <w:jc w:val="both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  <w:lang w:val="en-US" w:bidi="th-TH"/>
                <w:cs/>
              </w:rPr>
              <w:t xml:space="preserve">ผู้เรียนทุกคนได้ลงมือทดลองด้วยตนเองอย่างปลอดภัย อธิบายแนวคิดกรด – เบส และคำนวณ pH ได้ มีทักษะกระบวนการทางวิทยาศาสตร์และทักษะดิจิทัล และมีเจตคติที่ดีต่อวิชาเคมี</w:t>
            </w:r>
          </w:p>
        </w:tc>
      </w:tr>
    </w:tbl>
    <w:p>
      <w:pPr>
        <w:spacing w:before="0" w:after="0" w:line="200" w:lineRule="auto"/>
        <w:rPr>
          <w:rFonts w:ascii="TH SarabunPSK" w:hAnsi="TH SarabunPSK" w:cs="TH SarabunPSK"/>
          <w:sz w:val="8"/>
          <w:szCs w:val="8"/>
        </w:rPr>
      </w:pPr>
    </w:p>
    <w:p>
      <w:pPr>
        <w:shd w:val="clear" w:color="auto" w:fill="DEEAF6"/>
        <w:spacing w:before="60" w:after="10" w:line="210" w:lineRule="auto"/>
        <w:keepNext/>
        <w:rPr>
          <w:rFonts w:ascii="TH SarabunPSK" w:hAnsi="TH SarabunPSK" w:cs="TH SarabunPSK"/>
          <w:b/>
          <w:bCs/>
          <w:sz w:val="29"/>
          <w:szCs w:val="29"/>
        </w:rPr>
      </w:pPr>
      <w:r>
        <w:rPr>
          <w:rFonts w:ascii="TH SarabunPSK" w:hAnsi="TH SarabunPSK" w:cs="TH SarabunPSK"/>
          <w:b/>
          <w:bCs/>
          <w:sz w:val="29"/>
          <w:szCs w:val="29"/>
          <w:lang w:val="en-US" w:bidi="th-TH"/>
          <w:cs/>
        </w:rPr>
        <w:t xml:space="preserve">4. ผลที่เกิดขึ้นและความสอดคล้องกับนโยบาย</w:t>
      </w:r>
    </w:p>
    <w:p>
      <w:pPr>
        <w:spacing w:before="0" w:after="8" w:line="210" w:lineRule="auto"/>
        <w:ind w:left="560" w:hanging="220"/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lang w:val="en-US" w:bidi="th-TH"/>
          <w:cs/>
        </w:rPr>
        <w:t xml:space="preserve">•  ผู้เรียน : มีส่วนร่วมและแรงจูงใจเพิ่มขึ้นชัดเจน ได้ประสบการณ์ใหม่ในโลกเสมือน และผลสัมฤทธิ์ O-NET วิชาวิทยาศาสตร์ ม.6 ปีการศึกษา 2568 ของโรงเรียนสูงขึ้น (เกียรติบัตร สพม.หนองคาย เลขที่ 2075/2569)</w:t>
      </w:r>
    </w:p>
    <w:p>
      <w:pPr>
        <w:spacing w:before="0" w:after="8" w:line="210" w:lineRule="auto"/>
        <w:ind w:left="560" w:hanging="220"/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lang w:val="en-US" w:bidi="th-TH"/>
          <w:cs/>
        </w:rPr>
        <w:t xml:space="preserve">•  ครู/สถานศึกษา : ได้นวัตกรรมต้นแบบที่ลดต้นทุนสารเคมีและของเสีย ขยายผลผ่าน PLC สู่เนื้อหาอื่น (อัตราการเกิดปฏิกิริยา สมดุลเคมี ไฟฟ้าเคมี) และเป็นแหล่งเรียนรู้แก่สถานศึกษาอื่น</w:t>
      </w:r>
    </w:p>
    <w:p>
      <w:pPr>
        <w:spacing w:before="0" w:after="8" w:line="210" w:lineRule="auto"/>
        <w:ind w:left="560" w:hanging="220"/>
        <w:jc w:val="both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lang w:val="en-US" w:bidi="th-TH"/>
          <w:cs/>
        </w:rPr>
        <w:t xml:space="preserve">•  สอดคล้องนโยบาย สพฐ. 2569 ข้อ 3.3 (Active Learning + เทคโนโลยี) ข้อ 3.4 (วิทยาศาสตร์พื้นฐาน) ข้อ 6.2 – 6.4 (ความเป็นเลิศด้านวิทยาศาสตร์ / PISA) และ Quick Win 3.3 (STEAM)</w:t>
      </w:r>
    </w:p>
    <w:p>
      <w:pPr>
        <w:spacing w:before="0" w:after="6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354" w:type="dxa"/>
        <w:jc w:val="center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CellMar>
          <w:top w:w="20" w:type="dxa"/>
          <w:left w:w="70" w:type="dxa"/>
          <w:bottom w:w="20" w:type="dxa"/>
          <w:right w:w="70" w:type="dxa"/>
        </w:tblCellMar>
      </w:tblPr>
      <w:tblGrid>
        <w:gridCol w:w="4677"/>
        <w:gridCol w:w="4677"/>
      </w:tblGrid>
      <w:tr>
        <w:tc>
          <w:tcPr>
            <w:tcW w:w="4677" w:type="dxa"/>
            <w:vAlign w:val="center"/>
          </w:tcPr>
          <w:p>
            <w:pPr>
              <w:spacing w:before="10" w:after="10" w:line="200" w:lineRule="auto"/>
              <w:jc w:val="center"/>
              <w:rPr>
                <w:rFonts w:ascii="TH SarabunPSK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/>
                <w:sz w:val="27"/>
                <w:szCs w:val="27"/>
                <w:lang w:val="en-US" w:bidi="th-TH"/>
                <w:cs/>
              </w:rPr>
              <w:t xml:space="preserve">ลงชื่อ ................................................ ผู้จัดทำข้อตกลง</w:t>
            </w:r>
          </w:p>
          <w:p>
            <w:pPr>
              <w:spacing w:before="10" w:after="10" w:line="200" w:lineRule="auto"/>
              <w:jc w:val="center"/>
              <w:rPr>
                <w:rFonts w:ascii="TH SarabunPSK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/>
                <w:sz w:val="27"/>
                <w:szCs w:val="27"/>
                <w:lang w:val="en-US" w:bidi="th-TH"/>
                <w:cs/>
              </w:rPr>
              <w:t xml:space="preserve">(นายภัทรพงษ์  มาตณาคุณ)</w:t>
            </w:r>
          </w:p>
          <w:p>
            <w:pPr>
              <w:spacing w:before="10" w:after="10" w:line="200" w:lineRule="auto"/>
              <w:jc w:val="center"/>
              <w:rPr>
                <w:rFonts w:ascii="TH SarabunPSK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/>
                <w:sz w:val="27"/>
                <w:szCs w:val="27"/>
                <w:lang w:val="en-US" w:bidi="th-TH"/>
                <w:cs/>
              </w:rPr>
              <w:t xml:space="preserve">ตำแหน่ง ครู</w:t>
            </w:r>
          </w:p>
        </w:tc>
        <w:tc>
          <w:tcPr>
            <w:tcW w:w="4677" w:type="dxa"/>
            <w:vAlign w:val="center"/>
          </w:tcPr>
          <w:p>
            <w:pPr>
              <w:spacing w:before="10" w:after="10" w:line="200" w:lineRule="auto"/>
              <w:jc w:val="center"/>
              <w:rPr>
                <w:rFonts w:ascii="TH SarabunPSK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/>
                <w:sz w:val="27"/>
                <w:szCs w:val="27"/>
                <w:lang w:val="en-US" w:bidi="th-TH"/>
                <w:cs/>
              </w:rPr>
              <w:t xml:space="preserve">ลงชื่อ ................................................ ผู้อำนวยการสถานศึกษา</w:t>
            </w:r>
          </w:p>
          <w:p>
            <w:pPr>
              <w:spacing w:before="10" w:after="10" w:line="200" w:lineRule="auto"/>
              <w:jc w:val="center"/>
              <w:rPr>
                <w:rFonts w:ascii="TH SarabunPSK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/>
                <w:sz w:val="27"/>
                <w:szCs w:val="27"/>
                <w:lang w:val="en-US" w:bidi="th-TH"/>
                <w:cs/>
              </w:rPr>
              <w:t xml:space="preserve">(.......................................................)</w:t>
            </w:r>
          </w:p>
          <w:p>
            <w:pPr>
              <w:spacing w:before="10" w:after="10" w:line="200" w:lineRule="auto"/>
              <w:jc w:val="center"/>
              <w:rPr>
                <w:rFonts w:ascii="TH SarabunPSK" w:hAnsi="TH SarabunPSK" w:cs="TH SarabunPSK"/>
                <w:sz w:val="27"/>
                <w:szCs w:val="27"/>
              </w:rPr>
            </w:pPr>
            <w:r>
              <w:rPr>
                <w:rFonts w:ascii="TH SarabunPSK" w:hAnsi="TH SarabunPSK" w:cs="TH SarabunPSK"/>
                <w:sz w:val="27"/>
                <w:szCs w:val="27"/>
                <w:lang w:val="en-US" w:bidi="th-TH"/>
                <w:cs/>
              </w:rPr>
              <w:t xml:space="preserve">ผู้อำนวยการโรงเรียนโคกคอนวิทยาคม</w:t>
            </w:r>
          </w:p>
        </w:tc>
      </w:tr>
    </w:tbl>
    <w:p>
      <w:pPr>
        <w:spacing w:before="0" w:after="0" w:line="200" w:lineRule="auto"/>
        <w:rPr>
          <w:rFonts w:ascii="TH SarabunPSK" w:hAnsi="TH SarabunPSK" w:cs="TH SarabunPSK"/>
          <w:sz w:val="8"/>
          <w:szCs w:val="8"/>
        </w:rPr>
      </w:pPr>
    </w:p>
    <w:sectPr>
      <w:footerReference w:type="default" r:id="rIdFtr"/>
      <w:footerReference w:type="first" r:id="rIdFtr1"/>
      <w:pgSz w:w="11906" w:h="16838"/>
      <w:pgMar w:top="1418" w:right="1134" w:bottom="1134" w:left="1418" w:header="708" w:footer="500" w:gutter="0"/>
      <w:pgNumType w:start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a="http://schemas.openxmlformats.org/drawingml/2006/main" xmlns:pic="http://schemas.openxmlformats.org/drawingml/2006/picture">
  <w:font w:name="TH SarabunPSK">
    <w:charset w:val="DE"/>
    <w:family w:val="swiss"/>
    <w:pitch w:val="variable"/>
  </w:font>
  <w:font w:name="Cordia New">
    <w:charset w:val="DE"/>
    <w:family w:val="swiss"/>
    <w:pitch w:val="variable"/>
  </w:font>
</w:fonts>
</file>

<file path=word/footer1.xml><?xml version="1.0" encoding="utf-8"?>
<w:ftr xmlns:wpc="http://schemas.microsoft.com/office/word/2010/wordprocessingCanvas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a="http://schemas.openxmlformats.org/drawingml/2006/main" xmlns:pic="http://schemas.openxmlformats.org/drawingml/2006/picture">
  <w:p>
    <w:pPr>
      <w:spacing w:before="0" w:after="0" w:line="240" w:lineRule="auto"/>
      <w:jc w:val="center"/>
    </w:pPr>
    <w:r>
      <w:rPr>
        <w:rFonts w:ascii="TH SarabunPSK" w:hAnsi="TH SarabunPSK" w:cs="TH SarabunPSK"/>
        <w:sz w:val="28"/>
        <w:szCs w:val="28"/>
      </w:rPr>
      <w:t xml:space="preserve">หน้า </w:t>
    </w:r>
    <w:r>
      <w:rPr>
        <w:rFonts w:ascii="TH SarabunPSK" w:hAnsi="TH SarabunPSK" w:cs="TH SarabunPSK"/>
        <w:sz w:val="28"/>
        <w:szCs w:val="28"/>
      </w:rPr>
      <w:fldChar w:fldCharType="begin"/>
    </w:r>
    <w:r>
      <w:rPr>
        <w:rFonts w:ascii="TH SarabunPSK" w:hAnsi="TH SarabunPSK" w:cs="TH SarabunPSK"/>
        <w:sz w:val="28"/>
        <w:szCs w:val="28"/>
      </w:rPr>
      <w:instrText xml:space="preserve"> PAGE </w:instrText>
    </w:r>
    <w:r>
      <w:rPr>
        <w:rFonts w:ascii="TH SarabunPSK" w:hAnsi="TH SarabunPSK" w:cs="TH SarabunPSK"/>
        <w:sz w:val="28"/>
        <w:szCs w:val="28"/>
      </w:rPr>
      <w:fldChar w:fldCharType="separate"/>
    </w:r>
    <w:r>
      <w:rPr>
        <w:rFonts w:ascii="TH SarabunPSK" w:hAnsi="TH SarabunPSK" w:cs="TH SarabunPSK"/>
        <w:sz w:val="28"/>
        <w:szCs w:val="28"/>
      </w:rPr>
      <w:t>1</w:t>
    </w:r>
    <w:r>
      <w:rPr>
        <w:rFonts w:ascii="TH SarabunPSK" w:hAnsi="TH SarabunPSK" w:cs="TH SarabunPSK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a="http://schemas.openxmlformats.org/drawingml/2006/main" xmlns:pic="http://schemas.openxmlformats.org/drawingml/2006/picture">
  <w:p>
    <w:pPr>
      <w:spacing w:before="0" w:after="0"/>
    </w:pPr>
  </w:p>
</w:ftr>
</file>

<file path=word/settings.xml><?xml version="1.0" encoding="utf-8"?>
<w:settings xmlns:wpc="http://schemas.microsoft.com/office/word/2010/wordprocessingCanvas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a="http://schemas.openxmlformats.org/drawingml/2006/main" xmlns:pic="http://schemas.openxmlformats.org/drawingml/2006/picture">
  <w:zoom w:percent="100"/>
  <w:defaultTabStop w:val="720"/>
  <w:characterSpacingControl w:val="compressPunctuation"/>
  <w:compat>
    <w:compatSetting w:name="compatibilityMode" w:uri="http://schemas.microsoft.com/office/word" w:val="15"/>
  </w:compat>
  <w:themeFontLang w:val="en-US" w:bidi="th-TH"/>
</w:settings>
</file>

<file path=word/styles.xml><?xml version="1.0" encoding="utf-8"?>
<w:styles xmlns:wpc="http://schemas.microsoft.com/office/word/2010/wordprocessingCanvas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a="http://schemas.openxmlformats.org/drawingml/2006/main" xmlns:pic="http://schemas.openxmlformats.org/drawingml/2006/picture">
  <w:docDefaults>
    <w:rPrDefault>
      <w:rPr>
        <w:rFonts w:ascii="TH SarabunPSK" w:hAnsi="TH SarabunPSK" w:cs="TH SarabunPSK" w:eastAsia="Cordia New"/>
        <w:sz w:val="32"/>
        <w:szCs w:val="32"/>
        <w:lang w:val="en-US" w:eastAsia="en-US" w:bidi="th-TH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240" w:lineRule="auto"/>
    </w:pPr>
    <w:rPr>
      <w:rFonts w:ascii="TH SarabunPSK" w:hAnsi="TH SarabunPSK" w:cs="TH SarabunPSK"/>
      <w:sz w:val="32"/>
      <w:szCs w:val="32"/>
    </w:rPr>
  </w:style>
  <w:style w:type="table" w:styleId="TableGrid">
    <w:name w:val="Table Gri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character" w:default="1" w:styleId="DefaultParagraphFont">
    <w:name w:val="Default Paragraph Font"/>
  </w:style>
  <w:style w:type="table" w:default="1" w:styleId="TableNormal">
    <w:name w:val="Normal Table"/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Relationship Id="rIdSet" Type="http://schemas.openxmlformats.org/officeDocument/2006/relationships/settings" Target="settings.xml"/><Relationship Id="rIdFnt" Type="http://schemas.openxmlformats.org/officeDocument/2006/relationships/fontTable" Target="fontTable.xml"/><Relationship Id="rIdThm" Type="http://schemas.openxmlformats.org/officeDocument/2006/relationships/theme" Target="theme/theme1.xml"/><Relationship Id="rIdFtr" Type="http://schemas.openxmlformats.org/officeDocument/2006/relationships/footer" Target="footer1.xml"/><Relationship Id="rIdFtr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ประเด็นท้าทาย PA 2569</dc:title>
  <dc:creator>นายภัทรพงษ์ มาตณาคุณ</dc:creator>
  <cp:lastModifiedBy>นายภัทรพงษ์ มาตณาคุณ</cp:lastModifiedBy>
  <dcterms:created xsi:type="dcterms:W3CDTF">2026-09-10T00:00:00Z</dcterms:created>
  <dcterms:modified xsi:type="dcterms:W3CDTF">2026-09-10T00:00:00Z</dcterms:modified>
</cp:coreProperties>
</file>