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B23A2" w14:textId="77777777" w:rsidR="001A6079" w:rsidRDefault="00CF29A2">
      <w:pPr>
        <w:pStyle w:val="Heading1"/>
        <w:ind w:left="-5"/>
      </w:pPr>
      <w:r>
        <w:t>Customer Segmentation Analysis Report</w:t>
      </w:r>
      <w:r>
        <w:t xml:space="preserve"> </w:t>
      </w:r>
    </w:p>
    <w:p w14:paraId="7E92C913" w14:textId="77777777" w:rsidR="001A6079" w:rsidRDefault="00CF29A2">
      <w:pPr>
        <w:spacing w:after="540" w:line="259" w:lineRule="auto"/>
        <w:ind w:left="-30" w:right="-58" w:firstLine="0"/>
      </w:pPr>
      <w:r>
        <w:rPr>
          <w:rFonts w:ascii="Calibri" w:eastAsia="Calibri" w:hAnsi="Calibri" w:cs="Calibri"/>
          <w:noProof/>
        </w:rPr>
        <mc:AlternateContent>
          <mc:Choice Requires="wpg">
            <w:drawing>
              <wp:inline distT="0" distB="0" distL="0" distR="0" wp14:anchorId="68F834AE" wp14:editId="1509DB2B">
                <wp:extent cx="5526786" cy="12700"/>
                <wp:effectExtent l="0" t="0" r="0" b="0"/>
                <wp:docPr id="1717" name="Group 1717"/>
                <wp:cNvGraphicFramePr/>
                <a:graphic xmlns:a="http://schemas.openxmlformats.org/drawingml/2006/main">
                  <a:graphicData uri="http://schemas.microsoft.com/office/word/2010/wordprocessingGroup">
                    <wpg:wgp>
                      <wpg:cNvGrpSpPr/>
                      <wpg:grpSpPr>
                        <a:xfrm>
                          <a:off x="0" y="0"/>
                          <a:ext cx="5526786" cy="12700"/>
                          <a:chOff x="0" y="0"/>
                          <a:chExt cx="5526786" cy="12700"/>
                        </a:xfrm>
                      </wpg:grpSpPr>
                      <wps:wsp>
                        <wps:cNvPr id="2109" name="Shape 2109"/>
                        <wps:cNvSpPr/>
                        <wps:spPr>
                          <a:xfrm>
                            <a:off x="0" y="0"/>
                            <a:ext cx="5526786" cy="12700"/>
                          </a:xfrm>
                          <a:custGeom>
                            <a:avLst/>
                            <a:gdLst/>
                            <a:ahLst/>
                            <a:cxnLst/>
                            <a:rect l="0" t="0" r="0" b="0"/>
                            <a:pathLst>
                              <a:path w="5526786" h="12700">
                                <a:moveTo>
                                  <a:pt x="0" y="0"/>
                                </a:moveTo>
                                <a:lnTo>
                                  <a:pt x="5526786" y="0"/>
                                </a:lnTo>
                                <a:lnTo>
                                  <a:pt x="552678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717" style="width:435.18pt;height:1pt;mso-position-horizontal-relative:char;mso-position-vertical-relative:line" coordsize="55267,127">
                <v:shape id="Shape 2110" style="position:absolute;width:55267;height:127;left:0;top:0;" coordsize="5526786,12700" path="m0,0l5526786,0l5526786,12700l0,12700l0,0">
                  <v:stroke weight="0pt" endcap="flat" joinstyle="miter" miterlimit="10" on="false" color="#000000" opacity="0"/>
                  <v:fill on="true" color="#4f81bd"/>
                </v:shape>
              </v:group>
            </w:pict>
          </mc:Fallback>
        </mc:AlternateContent>
      </w:r>
    </w:p>
    <w:p w14:paraId="6038EC31" w14:textId="77777777" w:rsidR="001A6079" w:rsidRDefault="00CF29A2">
      <w:pPr>
        <w:pStyle w:val="Heading2"/>
        <w:ind w:left="-5"/>
      </w:pPr>
      <w:r>
        <w:t xml:space="preserve">1. Executive Summary (Top-Level Takeaway) </w:t>
      </w:r>
    </w:p>
    <w:p w14:paraId="02C9EB3F" w14:textId="62BDFD87" w:rsidR="001A6079" w:rsidRDefault="00CF29A2">
      <w:pPr>
        <w:spacing w:after="549"/>
        <w:ind w:left="-5"/>
      </w:pPr>
      <w:r>
        <w:t xml:space="preserve">This report provides a detailed analysis of customer segmentation conducted using clustering techniques to identify distinct customer groups based on demographic and </w:t>
      </w:r>
      <w:r w:rsidR="003F47C6">
        <w:t>behavioural</w:t>
      </w:r>
      <w:r>
        <w:t xml:space="preserve"> data. Four customer segments were identified: Budget-Conscious Customers, Young Explorers, High-Value Loyalists, and New or Inactive Users. The segmentation highlights clear variations in income, spending </w:t>
      </w:r>
      <w:r w:rsidR="003F47C6">
        <w:t>behaviour</w:t>
      </w:r>
      <w:r>
        <w:t xml:space="preserve">, and tenure. High-income and </w:t>
      </w:r>
      <w:r w:rsidR="003F47C6">
        <w:t>long tenure</w:t>
      </w:r>
      <w:r>
        <w:t xml:space="preserve"> customers contribute significantly to total revenue, whereas low-income and </w:t>
      </w:r>
      <w:r w:rsidR="003F47C6">
        <w:t>low engagement</w:t>
      </w:r>
      <w:r>
        <w:t xml:space="preserve"> customers represent potential growth through targeted marketing and retention initiatives. These insights serve as a foundation for developing data-driven strategies that enhance customer retention, optimize marketing investments, and boost overall profitability. </w:t>
      </w:r>
    </w:p>
    <w:p w14:paraId="17528264" w14:textId="77777777" w:rsidR="001A6079" w:rsidRDefault="00CF29A2">
      <w:pPr>
        <w:pStyle w:val="Heading2"/>
        <w:ind w:left="-5"/>
      </w:pPr>
      <w:r>
        <w:t xml:space="preserve">2. Objective / Business Question </w:t>
      </w:r>
    </w:p>
    <w:p w14:paraId="5360FA24" w14:textId="1B311AAC" w:rsidR="001A6079" w:rsidRDefault="00CF29A2">
      <w:pPr>
        <w:spacing w:after="544"/>
        <w:ind w:left="-5"/>
      </w:pPr>
      <w:r>
        <w:t xml:space="preserve">The primary objective of this project is to segment customers into meaningful clusters using demographic and </w:t>
      </w:r>
      <w:r w:rsidR="003F47C6">
        <w:t>behavioural</w:t>
      </w:r>
      <w:r>
        <w:t xml:space="preserve"> variables. The analysis aims to uncover hidden patterns in purchasing and engagement </w:t>
      </w:r>
      <w:r w:rsidR="003F47C6">
        <w:t>behaviour</w:t>
      </w:r>
      <w:r>
        <w:t xml:space="preserve"> that can guide strategic decision-making. By understanding these segments, the business can tailor its marketing and communication strategies to better meet the needs of each customer group. </w:t>
      </w:r>
    </w:p>
    <w:p w14:paraId="4A691051" w14:textId="77777777" w:rsidR="001A6079" w:rsidRDefault="00CF29A2">
      <w:pPr>
        <w:pStyle w:val="Heading2"/>
        <w:ind w:left="-5"/>
      </w:pPr>
      <w:r>
        <w:t xml:space="preserve">3. Key Metrics / KPIs </w:t>
      </w:r>
    </w:p>
    <w:p w14:paraId="3BA3DA14" w14:textId="77777777" w:rsidR="001A6079" w:rsidRDefault="00CF29A2">
      <w:pPr>
        <w:ind w:left="-5"/>
      </w:pPr>
      <w:r>
        <w:t xml:space="preserve">The segmentation analysis utilized the following key metrics to uncover actionable insights: </w:t>
      </w:r>
    </w:p>
    <w:p w14:paraId="17F20543" w14:textId="77777777" w:rsidR="001A6079" w:rsidRDefault="00CF29A2">
      <w:pPr>
        <w:numPr>
          <w:ilvl w:val="0"/>
          <w:numId w:val="1"/>
        </w:numPr>
        <w:ind w:hanging="150"/>
      </w:pPr>
      <w:r>
        <w:t>Age –</w:t>
      </w:r>
      <w:r>
        <w:t xml:space="preserve"> Captures generational differences in customer preferences and spending habits. </w:t>
      </w:r>
    </w:p>
    <w:p w14:paraId="3AC0A692" w14:textId="77777777" w:rsidR="001A6079" w:rsidRDefault="00CF29A2">
      <w:pPr>
        <w:numPr>
          <w:ilvl w:val="0"/>
          <w:numId w:val="1"/>
        </w:numPr>
        <w:ind w:hanging="150"/>
      </w:pPr>
      <w:r>
        <w:t>Annual Income –</w:t>
      </w:r>
      <w:r>
        <w:t xml:space="preserve"> Indicates purchasing capacity and financial stability of customers. </w:t>
      </w:r>
    </w:p>
    <w:p w14:paraId="0BC2F09B" w14:textId="77777777" w:rsidR="001A6079" w:rsidRDefault="00CF29A2">
      <w:pPr>
        <w:numPr>
          <w:ilvl w:val="0"/>
          <w:numId w:val="1"/>
        </w:numPr>
        <w:ind w:hanging="150"/>
      </w:pPr>
      <w:r>
        <w:t>Spending Score –</w:t>
      </w:r>
      <w:r>
        <w:t xml:space="preserve"> Reflects the level of customer engagement and expenditure </w:t>
      </w:r>
      <w:proofErr w:type="spellStart"/>
      <w:r>
        <w:t>behavior</w:t>
      </w:r>
      <w:proofErr w:type="spellEnd"/>
      <w:r>
        <w:t xml:space="preserve">. </w:t>
      </w:r>
    </w:p>
    <w:p w14:paraId="50951B50" w14:textId="77777777" w:rsidR="001A6079" w:rsidRDefault="00CF29A2">
      <w:pPr>
        <w:numPr>
          <w:ilvl w:val="0"/>
          <w:numId w:val="1"/>
        </w:numPr>
        <w:ind w:hanging="150"/>
      </w:pPr>
      <w:r>
        <w:t>Tenure –</w:t>
      </w:r>
      <w:r>
        <w:t xml:space="preserve"> Represents the duration of customer association with the business. </w:t>
      </w:r>
    </w:p>
    <w:p w14:paraId="03459DF7" w14:textId="77777777" w:rsidR="001A6079" w:rsidRDefault="00CF29A2">
      <w:pPr>
        <w:numPr>
          <w:ilvl w:val="0"/>
          <w:numId w:val="1"/>
        </w:numPr>
        <w:spacing w:after="549"/>
        <w:ind w:hanging="150"/>
      </w:pPr>
      <w:r>
        <w:t>Customer Lifetime Value (CLV) –</w:t>
      </w:r>
      <w:r>
        <w:t xml:space="preserve"> Estimates total expected revenue from each customer over their lifecycle. </w:t>
      </w:r>
    </w:p>
    <w:p w14:paraId="20C9AE4D" w14:textId="77777777" w:rsidR="001A6079" w:rsidRDefault="00CF29A2">
      <w:pPr>
        <w:pStyle w:val="Heading2"/>
        <w:ind w:left="-5"/>
      </w:pPr>
      <w:r>
        <w:t xml:space="preserve">4. Insights &amp; Findings </w:t>
      </w:r>
    </w:p>
    <w:p w14:paraId="743081D6" w14:textId="77777777" w:rsidR="001A6079" w:rsidRDefault="00CF29A2">
      <w:pPr>
        <w:numPr>
          <w:ilvl w:val="0"/>
          <w:numId w:val="2"/>
        </w:numPr>
        <w:ind w:hanging="360"/>
      </w:pPr>
      <w:r>
        <w:t xml:space="preserve">Cluster 0 </w:t>
      </w:r>
      <w:r>
        <w:t>–</w:t>
      </w:r>
      <w:r>
        <w:t xml:space="preserve"> Budget-Conscious Customers </w:t>
      </w:r>
    </w:p>
    <w:p w14:paraId="03F1D2A0" w14:textId="77777777" w:rsidR="001A6079" w:rsidRDefault="00CF29A2">
      <w:pPr>
        <w:ind w:left="-5"/>
      </w:pPr>
      <w:r>
        <w:lastRenderedPageBreak/>
        <w:t xml:space="preserve">What we found: These customers typically have low to moderate annual income and moderate spending scores. </w:t>
      </w:r>
    </w:p>
    <w:p w14:paraId="6F29FC8B" w14:textId="77777777" w:rsidR="001A6079" w:rsidRDefault="00CF29A2">
      <w:pPr>
        <w:ind w:left="-5"/>
      </w:pPr>
      <w:r>
        <w:t xml:space="preserve">Why it matters: They are highly price-sensitive and driven by value-for-money offers. </w:t>
      </w:r>
    </w:p>
    <w:p w14:paraId="38CA5815" w14:textId="77777777" w:rsidR="001A6079" w:rsidRDefault="00CF29A2">
      <w:pPr>
        <w:spacing w:after="228"/>
        <w:ind w:left="-5"/>
      </w:pPr>
      <w:r>
        <w:t xml:space="preserve">Recommendation: Introduce time-bound discounts and referral campaigns to encourage repeat purchases. </w:t>
      </w:r>
    </w:p>
    <w:p w14:paraId="45A1F392" w14:textId="77777777" w:rsidR="001A6079" w:rsidRDefault="00CF29A2">
      <w:pPr>
        <w:numPr>
          <w:ilvl w:val="0"/>
          <w:numId w:val="2"/>
        </w:numPr>
        <w:spacing w:after="176"/>
        <w:ind w:hanging="360"/>
      </w:pPr>
      <w:r>
        <w:t xml:space="preserve">Cluster 1 </w:t>
      </w:r>
      <w:r>
        <w:t>–</w:t>
      </w:r>
      <w:r>
        <w:t xml:space="preserve"> Young Explorers </w:t>
      </w:r>
    </w:p>
    <w:p w14:paraId="710A0EFD" w14:textId="77777777" w:rsidR="001A6079" w:rsidRDefault="00CF29A2">
      <w:pPr>
        <w:ind w:left="-5"/>
      </w:pPr>
      <w:r>
        <w:t xml:space="preserve">What we found: Comprising younger individuals with moderate income but varying spending levels. </w:t>
      </w:r>
    </w:p>
    <w:p w14:paraId="29EDEFC8" w14:textId="77777777" w:rsidR="001A6079" w:rsidRDefault="00CF29A2">
      <w:pPr>
        <w:ind w:left="-5"/>
      </w:pPr>
      <w:r>
        <w:t xml:space="preserve">Why it matters: This group is highly responsive to digital engagement and experiential marketing. </w:t>
      </w:r>
    </w:p>
    <w:p w14:paraId="2814867A" w14:textId="77777777" w:rsidR="001A6079" w:rsidRDefault="00CF29A2">
      <w:pPr>
        <w:ind w:left="-5"/>
      </w:pPr>
      <w:r>
        <w:t xml:space="preserve">Recommendation: Use influencer marketing, loyalty programs, and gamified reward systems to boost engagement. </w:t>
      </w:r>
    </w:p>
    <w:p w14:paraId="3677C05A" w14:textId="77777777" w:rsidR="001A6079" w:rsidRDefault="00CF29A2">
      <w:pPr>
        <w:numPr>
          <w:ilvl w:val="0"/>
          <w:numId w:val="2"/>
        </w:numPr>
        <w:spacing w:after="181"/>
        <w:ind w:hanging="360"/>
      </w:pPr>
      <w:r>
        <w:t xml:space="preserve">Cluster 2 </w:t>
      </w:r>
      <w:r>
        <w:t>–</w:t>
      </w:r>
      <w:r>
        <w:t xml:space="preserve"> High-Value Loyalists </w:t>
      </w:r>
    </w:p>
    <w:p w14:paraId="2B1B01DB" w14:textId="77777777" w:rsidR="001A6079" w:rsidRDefault="00CF29A2">
      <w:pPr>
        <w:ind w:left="-5"/>
      </w:pPr>
      <w:r>
        <w:t xml:space="preserve">What we found: Customers with high income, high spending, and longer tenure. </w:t>
      </w:r>
    </w:p>
    <w:p w14:paraId="4622FB23" w14:textId="77777777" w:rsidR="001A6079" w:rsidRDefault="00CF29A2">
      <w:pPr>
        <w:ind w:left="-5"/>
      </w:pPr>
      <w:r>
        <w:t xml:space="preserve">Why it matters: They represent the most profitable segment with strong brand loyalty. </w:t>
      </w:r>
    </w:p>
    <w:p w14:paraId="4709399E" w14:textId="77777777" w:rsidR="001A6079" w:rsidRDefault="00CF29A2">
      <w:pPr>
        <w:ind w:left="-5"/>
      </w:pPr>
      <w:r>
        <w:t xml:space="preserve">Recommendation: Offer premium benefits, early product access, and personalized rewards to sustain loyalty. </w:t>
      </w:r>
    </w:p>
    <w:p w14:paraId="47F43C50" w14:textId="77777777" w:rsidR="001A6079" w:rsidRDefault="00CF29A2">
      <w:pPr>
        <w:numPr>
          <w:ilvl w:val="0"/>
          <w:numId w:val="2"/>
        </w:numPr>
        <w:spacing w:after="180"/>
        <w:ind w:hanging="360"/>
      </w:pPr>
      <w:r>
        <w:t xml:space="preserve">Cluster 3 </w:t>
      </w:r>
      <w:r>
        <w:t>–</w:t>
      </w:r>
      <w:r>
        <w:t xml:space="preserve"> New or Inactive Users </w:t>
      </w:r>
    </w:p>
    <w:p w14:paraId="7FBAA1B3" w14:textId="39CA3BD5" w:rsidR="001A6079" w:rsidRDefault="00CF29A2">
      <w:pPr>
        <w:ind w:left="-5"/>
      </w:pPr>
      <w:r>
        <w:t xml:space="preserve">What we found: This cluster consists of customers with short tenure and inconsistent spending </w:t>
      </w:r>
      <w:r w:rsidR="003F47C6">
        <w:t>behaviour</w:t>
      </w:r>
      <w:r>
        <w:t xml:space="preserve">. </w:t>
      </w:r>
    </w:p>
    <w:p w14:paraId="35DA4BA9" w14:textId="77777777" w:rsidR="001A6079" w:rsidRDefault="00CF29A2">
      <w:pPr>
        <w:ind w:left="-5"/>
      </w:pPr>
      <w:r>
        <w:t xml:space="preserve">Why it matters: They are at a higher risk of churn due to limited brand engagement. </w:t>
      </w:r>
    </w:p>
    <w:p w14:paraId="12956126" w14:textId="3A178FDD" w:rsidR="001A6079" w:rsidRDefault="00CF29A2">
      <w:pPr>
        <w:spacing w:after="550"/>
        <w:ind w:left="-5"/>
      </w:pPr>
      <w:r>
        <w:t xml:space="preserve">Recommendation: Deploy onboarding communications, welcome offers, and </w:t>
      </w:r>
      <w:r w:rsidR="003F47C6">
        <w:t>retention driven</w:t>
      </w:r>
      <w:r>
        <w:t xml:space="preserve"> campaigns to increase engagement. </w:t>
      </w:r>
    </w:p>
    <w:p w14:paraId="07BC9E9D" w14:textId="77777777" w:rsidR="001A6079" w:rsidRDefault="00CF29A2">
      <w:pPr>
        <w:pStyle w:val="Heading2"/>
        <w:ind w:left="-5"/>
      </w:pPr>
      <w:r>
        <w:t xml:space="preserve">5. Supporting Visuals </w:t>
      </w:r>
    </w:p>
    <w:p w14:paraId="6A1D9C2A" w14:textId="77777777" w:rsidR="001A6079" w:rsidRDefault="00CF29A2">
      <w:pPr>
        <w:ind w:left="-5"/>
      </w:pPr>
      <w:r>
        <w:t xml:space="preserve">Visuals such as PCA plots and pairwise scatterplots were created during analysis to show how customers are distributed across clusters and to reveal relationships between key variables like Age, Annual Income, and Spending Score. These visuals highlighted the separation among clusters and validated the consistency of segmentation patterns. </w:t>
      </w:r>
    </w:p>
    <w:p w14:paraId="61B8AAE9" w14:textId="206B7383" w:rsidR="002C1C5F" w:rsidRDefault="002C1C5F">
      <w:pPr>
        <w:ind w:left="-5"/>
      </w:pPr>
    </w:p>
    <w:p w14:paraId="3FD1D49A" w14:textId="77777777" w:rsidR="002C1C5F" w:rsidRDefault="002C1C5F">
      <w:pPr>
        <w:pStyle w:val="Heading2"/>
        <w:ind w:left="-5"/>
      </w:pPr>
    </w:p>
    <w:p w14:paraId="7A3D71F4" w14:textId="77777777" w:rsidR="002C1C5F" w:rsidRPr="003F47C6" w:rsidRDefault="002C1C5F" w:rsidP="002C1C5F">
      <w:pPr>
        <w:rPr>
          <w:b/>
          <w:bCs/>
          <w:szCs w:val="22"/>
        </w:rPr>
      </w:pPr>
      <w:r w:rsidRPr="003F47C6">
        <w:rPr>
          <w:b/>
          <w:bCs/>
        </w:rPr>
        <w:t>Dataset Shape: (50, 6)</w:t>
      </w:r>
    </w:p>
    <w:tbl>
      <w:tblPr>
        <w:tblStyle w:val="GridTable6Colorful-Accent5"/>
        <w:tblW w:w="0" w:type="auto"/>
        <w:tblBorders>
          <w:top w:val="single" w:sz="4" w:space="0" w:color="auto"/>
          <w:left w:val="single" w:sz="4" w:space="0" w:color="auto"/>
          <w:bottom w:val="single" w:sz="4" w:space="0" w:color="auto"/>
          <w:right w:val="single" w:sz="4" w:space="0" w:color="auto"/>
          <w:insideH w:val="none" w:sz="0" w:space="0" w:color="auto"/>
          <w:insideV w:val="single" w:sz="4" w:space="0" w:color="auto"/>
        </w:tblBorders>
        <w:shd w:val="clear" w:color="auto" w:fill="D9D9D9" w:themeFill="background1" w:themeFillShade="D9"/>
        <w:tblLook w:val="04A0" w:firstRow="1" w:lastRow="0" w:firstColumn="1" w:lastColumn="0" w:noHBand="0" w:noVBand="1"/>
      </w:tblPr>
      <w:tblGrid>
        <w:gridCol w:w="8606"/>
      </w:tblGrid>
      <w:tr w:rsidR="003F47C6" w:rsidRPr="00CF29A2" w14:paraId="44F3E19A" w14:textId="77777777" w:rsidTr="00CF29A2">
        <w:trPr>
          <w:cnfStyle w:val="100000000000" w:firstRow="1" w:lastRow="0" w:firstColumn="0" w:lastColumn="0" w:oddVBand="0" w:evenVBand="0" w:oddHBand="0" w:evenHBand="0" w:firstRowFirstColumn="0" w:firstRowLastColumn="0" w:lastRowFirstColumn="0" w:lastRowLastColumn="0"/>
          <w:trHeight w:val="3237"/>
        </w:trPr>
        <w:tc>
          <w:tcPr>
            <w:cnfStyle w:val="001000000000" w:firstRow="0" w:lastRow="0" w:firstColumn="1" w:lastColumn="0" w:oddVBand="0" w:evenVBand="0" w:oddHBand="0" w:evenHBand="0" w:firstRowFirstColumn="0" w:firstRowLastColumn="0" w:lastRowFirstColumn="0" w:lastRowLastColumn="0"/>
            <w:tcW w:w="8606" w:type="dxa"/>
            <w:shd w:val="clear" w:color="auto" w:fill="D9D9D9" w:themeFill="background1" w:themeFillShade="D9"/>
          </w:tcPr>
          <w:tbl>
            <w:tblPr>
              <w:tblStyle w:val="PlainTable4"/>
              <w:tblW w:w="9106" w:type="dxa"/>
              <w:tblInd w:w="10" w:type="dxa"/>
              <w:tblLook w:val="04A0" w:firstRow="1" w:lastRow="0" w:firstColumn="1" w:lastColumn="0" w:noHBand="0" w:noVBand="1"/>
            </w:tblPr>
            <w:tblGrid>
              <w:gridCol w:w="9106"/>
            </w:tblGrid>
            <w:tr w:rsidR="003F47C6" w:rsidRPr="00CF29A2" w14:paraId="57236CF6" w14:textId="77777777" w:rsidTr="00CF29A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106" w:type="dxa"/>
                  <w:shd w:val="clear" w:color="auto" w:fill="C1F0C7" w:themeFill="accent3" w:themeFillTint="33"/>
                </w:tcPr>
                <w:p w14:paraId="732B1722" w14:textId="772C05F8" w:rsidR="00784C34" w:rsidRPr="00CF29A2" w:rsidRDefault="003F47C6" w:rsidP="00CF29A2">
                  <w:pPr>
                    <w:ind w:left="0" w:firstLine="0"/>
                  </w:pPr>
                  <w:r w:rsidRPr="00CF29A2">
                    <w:t xml:space="preserve">ID     </w:t>
                  </w:r>
                  <w:r w:rsidR="00C8296A" w:rsidRPr="00CF29A2">
                    <w:t xml:space="preserve"> </w:t>
                  </w:r>
                  <w:r w:rsidRPr="00CF29A2">
                    <w:t xml:space="preserve">  </w:t>
                  </w:r>
                  <w:r w:rsidR="00784C34" w:rsidRPr="00CF29A2">
                    <w:t xml:space="preserve"> </w:t>
                  </w:r>
                  <w:r w:rsidRPr="00CF29A2">
                    <w:t xml:space="preserve">      </w:t>
                  </w:r>
                  <w:r w:rsidR="00784C34" w:rsidRPr="00CF29A2">
                    <w:t xml:space="preserve">Age   </w:t>
                  </w:r>
                  <w:r w:rsidR="00784C34" w:rsidRPr="00CF29A2">
                    <w:t xml:space="preserve">  </w:t>
                  </w:r>
                  <w:r w:rsidRPr="00CF29A2">
                    <w:t xml:space="preserve">          </w:t>
                  </w:r>
                  <w:r w:rsidR="00784C34" w:rsidRPr="00CF29A2">
                    <w:t xml:space="preserve">Gender </w:t>
                  </w:r>
                  <w:r w:rsidRPr="00CF29A2">
                    <w:t xml:space="preserve">         </w:t>
                  </w:r>
                  <w:r w:rsidR="00784C34" w:rsidRPr="00CF29A2">
                    <w:t xml:space="preserve"> </w:t>
                  </w:r>
                  <w:r w:rsidR="00784C34" w:rsidRPr="00CF29A2">
                    <w:t>Annual</w:t>
                  </w:r>
                  <w:r w:rsidRPr="00CF29A2">
                    <w:t xml:space="preserve"> </w:t>
                  </w:r>
                  <w:r w:rsidR="00784C34" w:rsidRPr="00CF29A2">
                    <w:t>Income</w:t>
                  </w:r>
                  <w:r w:rsidR="00784C34" w:rsidRPr="00CF29A2">
                    <w:t xml:space="preserve"> </w:t>
                  </w:r>
                  <w:r w:rsidRPr="00CF29A2">
                    <w:t xml:space="preserve">      </w:t>
                  </w:r>
                  <w:r w:rsidR="00784C34" w:rsidRPr="00CF29A2">
                    <w:t xml:space="preserve"> </w:t>
                  </w:r>
                  <w:r w:rsidR="00CF29A2" w:rsidRPr="00CF29A2">
                    <w:t>Spending Score</w:t>
                  </w:r>
                  <w:r w:rsidRPr="00CF29A2">
                    <w:t xml:space="preserve"> </w:t>
                  </w:r>
                  <w:r w:rsidR="00CF29A2" w:rsidRPr="00CF29A2">
                    <w:t xml:space="preserve">    </w:t>
                  </w:r>
                  <w:r w:rsidR="00784C34" w:rsidRPr="00CF29A2">
                    <w:t>Tenure</w:t>
                  </w:r>
                  <w:r w:rsidRPr="00CF29A2">
                    <w:t xml:space="preserve"> </w:t>
                  </w:r>
                </w:p>
              </w:tc>
            </w:tr>
            <w:tr w:rsidR="003F47C6" w:rsidRPr="00CF29A2" w14:paraId="01BA96DD" w14:textId="77777777" w:rsidTr="003F47C6">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9106" w:type="dxa"/>
                </w:tcPr>
                <w:p w14:paraId="0517EBB8" w14:textId="597BEFD9" w:rsidR="00784C34" w:rsidRPr="00CF29A2" w:rsidRDefault="00784C34" w:rsidP="00CF29A2">
                  <w:pPr>
                    <w:ind w:left="0" w:firstLine="0"/>
                  </w:pPr>
                  <w:r w:rsidRPr="00CF29A2">
                    <w:t xml:space="preserve">01 </w:t>
                  </w:r>
                  <w:r w:rsidRPr="00CF29A2">
                    <w:t xml:space="preserve">           </w:t>
                  </w:r>
                  <w:r w:rsidR="003F47C6" w:rsidRPr="00CF29A2">
                    <w:t xml:space="preserve">   </w:t>
                  </w:r>
                  <w:r w:rsidRPr="00CF29A2">
                    <w:t>56</w:t>
                  </w:r>
                  <w:r w:rsidRPr="00CF29A2">
                    <w:t xml:space="preserve">               </w:t>
                  </w:r>
                  <w:r w:rsidRPr="00CF29A2">
                    <w:t xml:space="preserve"> </w:t>
                  </w:r>
                  <w:r w:rsidR="0004604F" w:rsidRPr="00CF29A2">
                    <w:t xml:space="preserve">  </w:t>
                  </w:r>
                  <w:r w:rsidRPr="00CF29A2">
                    <w:t xml:space="preserve">Female       </w:t>
                  </w:r>
                  <w:r w:rsidRPr="00CF29A2">
                    <w:t xml:space="preserve">             </w:t>
                  </w:r>
                  <w:r w:rsidRPr="00CF29A2">
                    <w:t xml:space="preserve">78704              </w:t>
                  </w:r>
                  <w:r w:rsidR="003F47C6" w:rsidRPr="00CF29A2">
                    <w:t xml:space="preserve">         </w:t>
                  </w:r>
                  <w:r w:rsidRPr="00CF29A2">
                    <w:t xml:space="preserve">23       </w:t>
                  </w:r>
                  <w:r w:rsidR="003F47C6" w:rsidRPr="00CF29A2">
                    <w:t xml:space="preserve">                    </w:t>
                  </w:r>
                  <w:r w:rsidRPr="00CF29A2">
                    <w:t>1</w:t>
                  </w:r>
                </w:p>
              </w:tc>
            </w:tr>
            <w:tr w:rsidR="003F47C6" w:rsidRPr="00CF29A2" w14:paraId="4C860F5C" w14:textId="77777777" w:rsidTr="003F47C6">
              <w:trPr>
                <w:trHeight w:val="421"/>
              </w:trPr>
              <w:tc>
                <w:tcPr>
                  <w:cnfStyle w:val="001000000000" w:firstRow="0" w:lastRow="0" w:firstColumn="1" w:lastColumn="0" w:oddVBand="0" w:evenVBand="0" w:oddHBand="0" w:evenHBand="0" w:firstRowFirstColumn="0" w:firstRowLastColumn="0" w:lastRowFirstColumn="0" w:lastRowLastColumn="0"/>
                  <w:tcW w:w="9106" w:type="dxa"/>
                </w:tcPr>
                <w:p w14:paraId="6E3A456B" w14:textId="7B8A0EA4" w:rsidR="00784C34" w:rsidRPr="00CF29A2" w:rsidRDefault="00784C34" w:rsidP="00CF29A2">
                  <w:pPr>
                    <w:ind w:left="0" w:firstLine="0"/>
                  </w:pPr>
                  <w:r w:rsidRPr="00CF29A2">
                    <w:t xml:space="preserve">12  </w:t>
                  </w:r>
                  <w:r w:rsidRPr="00CF29A2">
                    <w:t xml:space="preserve">            </w:t>
                  </w:r>
                  <w:r w:rsidR="003F47C6" w:rsidRPr="00CF29A2">
                    <w:t xml:space="preserve"> </w:t>
                  </w:r>
                  <w:r w:rsidRPr="00CF29A2">
                    <w:t xml:space="preserve">46   </w:t>
                  </w:r>
                  <w:r w:rsidRPr="00CF29A2">
                    <w:t xml:space="preserve">         </w:t>
                  </w:r>
                  <w:r w:rsidR="00C8296A" w:rsidRPr="00CF29A2">
                    <w:t xml:space="preserve">  </w:t>
                  </w:r>
                  <w:r w:rsidRPr="00CF29A2">
                    <w:t xml:space="preserve"> </w:t>
                  </w:r>
                  <w:r w:rsidRPr="00CF29A2">
                    <w:t xml:space="preserve"> </w:t>
                  </w:r>
                  <w:r w:rsidR="0004604F" w:rsidRPr="00CF29A2">
                    <w:t xml:space="preserve"> </w:t>
                  </w:r>
                  <w:r w:rsidRPr="00CF29A2">
                    <w:t xml:space="preserve">Male          </w:t>
                  </w:r>
                  <w:r w:rsidRPr="00CF29A2">
                    <w:t xml:space="preserve">                 </w:t>
                  </w:r>
                  <w:r w:rsidRPr="00CF29A2">
                    <w:t xml:space="preserve">54099              </w:t>
                  </w:r>
                  <w:r w:rsidR="003F47C6" w:rsidRPr="00CF29A2">
                    <w:t xml:space="preserve">        </w:t>
                  </w:r>
                  <w:r w:rsidRPr="00CF29A2">
                    <w:t xml:space="preserve">15      </w:t>
                  </w:r>
                  <w:r w:rsidR="003F47C6" w:rsidRPr="00CF29A2">
                    <w:t xml:space="preserve">                    </w:t>
                  </w:r>
                  <w:r w:rsidRPr="00CF29A2">
                    <w:t>10</w:t>
                  </w:r>
                </w:p>
              </w:tc>
            </w:tr>
            <w:tr w:rsidR="003F47C6" w:rsidRPr="00CF29A2" w14:paraId="29AC3E99" w14:textId="77777777" w:rsidTr="003F47C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106" w:type="dxa"/>
                </w:tcPr>
                <w:p w14:paraId="4E082625" w14:textId="1C133D98" w:rsidR="00784C34" w:rsidRPr="00CF29A2" w:rsidRDefault="00784C34" w:rsidP="00CF29A2">
                  <w:pPr>
                    <w:ind w:left="0" w:firstLine="0"/>
                  </w:pPr>
                  <w:r w:rsidRPr="00CF29A2">
                    <w:t xml:space="preserve">23              </w:t>
                  </w:r>
                  <w:r w:rsidR="003F47C6" w:rsidRPr="00CF29A2">
                    <w:t xml:space="preserve"> </w:t>
                  </w:r>
                  <w:r w:rsidRPr="00CF29A2">
                    <w:t xml:space="preserve">32 </w:t>
                  </w:r>
                  <w:r w:rsidRPr="00CF29A2">
                    <w:t xml:space="preserve">              </w:t>
                  </w:r>
                  <w:r w:rsidR="0004604F" w:rsidRPr="00CF29A2">
                    <w:t xml:space="preserve">  </w:t>
                  </w:r>
                  <w:r w:rsidRPr="00CF29A2">
                    <w:t xml:space="preserve">Female         </w:t>
                  </w:r>
                  <w:r w:rsidRPr="00CF29A2">
                    <w:t xml:space="preserve">             </w:t>
                  </w:r>
                  <w:r w:rsidRPr="00CF29A2">
                    <w:t xml:space="preserve">23571              </w:t>
                  </w:r>
                  <w:r w:rsidR="003F47C6" w:rsidRPr="00CF29A2">
                    <w:t xml:space="preserve">        </w:t>
                  </w:r>
                  <w:r w:rsidRPr="00CF29A2">
                    <w:t xml:space="preserve">43       </w:t>
                  </w:r>
                  <w:r w:rsidR="003F47C6" w:rsidRPr="00CF29A2">
                    <w:t xml:space="preserve">                     </w:t>
                  </w:r>
                  <w:r w:rsidRPr="00CF29A2">
                    <w:t>4</w:t>
                  </w:r>
                </w:p>
              </w:tc>
            </w:tr>
            <w:tr w:rsidR="003F47C6" w:rsidRPr="00CF29A2" w14:paraId="66256DE5" w14:textId="77777777" w:rsidTr="003F47C6">
              <w:trPr>
                <w:trHeight w:val="520"/>
              </w:trPr>
              <w:tc>
                <w:tcPr>
                  <w:cnfStyle w:val="001000000000" w:firstRow="0" w:lastRow="0" w:firstColumn="1" w:lastColumn="0" w:oddVBand="0" w:evenVBand="0" w:oddHBand="0" w:evenHBand="0" w:firstRowFirstColumn="0" w:firstRowLastColumn="0" w:lastRowFirstColumn="0" w:lastRowLastColumn="0"/>
                  <w:tcW w:w="9106" w:type="dxa"/>
                </w:tcPr>
                <w:p w14:paraId="4FEA2F4D" w14:textId="60BD5DA9" w:rsidR="00784C34" w:rsidRPr="00CF29A2" w:rsidRDefault="00784C34" w:rsidP="00CF29A2">
                  <w:pPr>
                    <w:ind w:left="0" w:firstLine="0"/>
                  </w:pPr>
                  <w:r w:rsidRPr="00CF29A2">
                    <w:t xml:space="preserve">34  </w:t>
                  </w:r>
                  <w:r w:rsidRPr="00CF29A2">
                    <w:t xml:space="preserve">             </w:t>
                  </w:r>
                  <w:r w:rsidRPr="00CF29A2">
                    <w:t xml:space="preserve">60   </w:t>
                  </w:r>
                  <w:r w:rsidRPr="00CF29A2">
                    <w:t xml:space="preserve">           </w:t>
                  </w:r>
                  <w:r w:rsidR="0004604F" w:rsidRPr="00CF29A2">
                    <w:t xml:space="preserve">  </w:t>
                  </w:r>
                  <w:r w:rsidRPr="00CF29A2">
                    <w:t xml:space="preserve">Male         </w:t>
                  </w:r>
                  <w:r w:rsidRPr="00CF29A2">
                    <w:t xml:space="preserve">                   </w:t>
                  </w:r>
                  <w:r w:rsidRPr="00CF29A2">
                    <w:t xml:space="preserve">53044              </w:t>
                  </w:r>
                  <w:r w:rsidR="003F47C6" w:rsidRPr="00CF29A2">
                    <w:t xml:space="preserve">       </w:t>
                  </w:r>
                  <w:r w:rsidRPr="00CF29A2">
                    <w:t xml:space="preserve">29      </w:t>
                  </w:r>
                  <w:r w:rsidR="003F47C6" w:rsidRPr="00CF29A2">
                    <w:t xml:space="preserve">                     </w:t>
                  </w:r>
                  <w:r w:rsidRPr="00CF29A2">
                    <w:t>12</w:t>
                  </w:r>
                </w:p>
              </w:tc>
            </w:tr>
            <w:tr w:rsidR="003F47C6" w:rsidRPr="00CF29A2" w14:paraId="246B2D33" w14:textId="77777777" w:rsidTr="003F47C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9106" w:type="dxa"/>
                </w:tcPr>
                <w:p w14:paraId="44F5CAA0" w14:textId="5BBEFF99" w:rsidR="00784C34" w:rsidRPr="00CF29A2" w:rsidRDefault="00784C34" w:rsidP="00CF29A2">
                  <w:pPr>
                    <w:ind w:left="0" w:firstLine="0"/>
                  </w:pPr>
                  <w:r w:rsidRPr="00CF29A2">
                    <w:t xml:space="preserve">45   </w:t>
                  </w:r>
                  <w:r w:rsidRPr="00CF29A2">
                    <w:t xml:space="preserve">            </w:t>
                  </w:r>
                  <w:r w:rsidRPr="00CF29A2">
                    <w:t>25</w:t>
                  </w:r>
                  <w:r w:rsidRPr="00CF29A2">
                    <w:t xml:space="preserve">          </w:t>
                  </w:r>
                  <w:r w:rsidRPr="00CF29A2">
                    <w:t xml:space="preserve">  </w:t>
                  </w:r>
                  <w:r w:rsidRPr="00CF29A2">
                    <w:t xml:space="preserve"> </w:t>
                  </w:r>
                  <w:r w:rsidR="0004604F" w:rsidRPr="00CF29A2">
                    <w:t xml:space="preserve">   </w:t>
                  </w:r>
                  <w:r w:rsidRPr="00CF29A2">
                    <w:t xml:space="preserve">Female         </w:t>
                  </w:r>
                  <w:r w:rsidRPr="00CF29A2">
                    <w:t xml:space="preserve">               </w:t>
                  </w:r>
                  <w:r w:rsidRPr="00CF29A2">
                    <w:t xml:space="preserve">66214              </w:t>
                  </w:r>
                  <w:r w:rsidR="003F47C6" w:rsidRPr="00CF29A2">
                    <w:t xml:space="preserve">       </w:t>
                  </w:r>
                  <w:r w:rsidRPr="00CF29A2">
                    <w:t xml:space="preserve">36      </w:t>
                  </w:r>
                  <w:r w:rsidR="003F47C6" w:rsidRPr="00CF29A2">
                    <w:t xml:space="preserve">                     </w:t>
                  </w:r>
                  <w:r w:rsidRPr="00CF29A2">
                    <w:t>14</w:t>
                  </w:r>
                </w:p>
              </w:tc>
            </w:tr>
          </w:tbl>
          <w:p w14:paraId="3EB1C589" w14:textId="77777777" w:rsidR="00784C34" w:rsidRPr="00CF29A2" w:rsidRDefault="00784C34" w:rsidP="00CF29A2">
            <w:pPr>
              <w:ind w:left="0" w:firstLine="0"/>
            </w:pPr>
          </w:p>
        </w:tc>
      </w:tr>
    </w:tbl>
    <w:p w14:paraId="3161B18B" w14:textId="77777777" w:rsidR="002C1C5F" w:rsidRPr="00CF29A2" w:rsidRDefault="002C1C5F" w:rsidP="00CF29A2">
      <w:pPr>
        <w:ind w:left="0"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9AAD7" w14:textId="4B14188D" w:rsidR="002C1C5F" w:rsidRPr="002C1C5F" w:rsidRDefault="00CF29A2" w:rsidP="002C1C5F">
      <w:r w:rsidRPr="00CF29A2">
        <w:drawing>
          <wp:inline distT="0" distB="0" distL="0" distR="0" wp14:anchorId="5CFEAAAB" wp14:editId="18CA354C">
            <wp:extent cx="5471160" cy="4150995"/>
            <wp:effectExtent l="0" t="0" r="0" b="1905"/>
            <wp:docPr id="24566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65018" name=""/>
                    <pic:cNvPicPr/>
                  </pic:nvPicPr>
                  <pic:blipFill>
                    <a:blip r:embed="rId5"/>
                    <a:stretch>
                      <a:fillRect/>
                    </a:stretch>
                  </pic:blipFill>
                  <pic:spPr>
                    <a:xfrm>
                      <a:off x="0" y="0"/>
                      <a:ext cx="5471160" cy="4150995"/>
                    </a:xfrm>
                    <a:prstGeom prst="rect">
                      <a:avLst/>
                    </a:prstGeom>
                  </pic:spPr>
                </pic:pic>
              </a:graphicData>
            </a:graphic>
          </wp:inline>
        </w:drawing>
      </w:r>
    </w:p>
    <w:p w14:paraId="0CFCDAC4" w14:textId="435570B6" w:rsidR="001A6079" w:rsidRDefault="00CF29A2">
      <w:pPr>
        <w:pStyle w:val="Heading2"/>
        <w:ind w:left="-5"/>
      </w:pPr>
      <w:r>
        <w:t xml:space="preserve">6. Limitations </w:t>
      </w:r>
    </w:p>
    <w:p w14:paraId="5B614D12" w14:textId="0FA20345" w:rsidR="001A6079" w:rsidRDefault="00CF29A2">
      <w:pPr>
        <w:spacing w:after="544"/>
        <w:ind w:left="-5"/>
      </w:pPr>
      <w:r>
        <w:t>The analysis is limited by the available dataset, which may lack psychographic or qualitative variables such as preferences and satisfaction. Additionally, customer behaviour</w:t>
      </w:r>
      <w:r>
        <w:t xml:space="preserve"> can evolve </w:t>
      </w:r>
      <w:r>
        <w:lastRenderedPageBreak/>
        <w:t xml:space="preserve">over time, meaning that periodic re-segmentation may be necessary to maintain accuracy. External factors like seasonality or macroeconomic changes were not considered in this model. </w:t>
      </w:r>
    </w:p>
    <w:p w14:paraId="3ED68A66" w14:textId="77777777" w:rsidR="001A6079" w:rsidRDefault="00CF29A2">
      <w:pPr>
        <w:pStyle w:val="Heading2"/>
        <w:ind w:left="-5"/>
      </w:pPr>
      <w:r>
        <w:t xml:space="preserve">7. Next Steps / Recommendations </w:t>
      </w:r>
    </w:p>
    <w:p w14:paraId="4788433F" w14:textId="2B1C63E7" w:rsidR="001A6079" w:rsidRDefault="00CF29A2">
      <w:pPr>
        <w:numPr>
          <w:ilvl w:val="0"/>
          <w:numId w:val="3"/>
        </w:numPr>
        <w:spacing w:after="217" w:line="259" w:lineRule="auto"/>
        <w:ind w:hanging="150"/>
      </w:pPr>
      <w:r>
        <w:t>Personalize marketing campaigns based on segment</w:t>
      </w:r>
      <w:r>
        <w:t>-</w:t>
      </w:r>
      <w:r>
        <w:t>specific preferences and behaviours</w:t>
      </w:r>
      <w:r>
        <w:t xml:space="preserve">. </w:t>
      </w:r>
    </w:p>
    <w:p w14:paraId="518899B5" w14:textId="77777777" w:rsidR="001A6079" w:rsidRDefault="00CF29A2">
      <w:pPr>
        <w:numPr>
          <w:ilvl w:val="0"/>
          <w:numId w:val="3"/>
        </w:numPr>
        <w:spacing w:after="217" w:line="259" w:lineRule="auto"/>
        <w:ind w:hanging="150"/>
      </w:pPr>
      <w:r>
        <w:t>Conduct regular updates of the segmentation model to reflect changes in customer data.</w:t>
      </w:r>
      <w:r>
        <w:t xml:space="preserve"> </w:t>
      </w:r>
    </w:p>
    <w:p w14:paraId="007D9C16" w14:textId="661D6C7B" w:rsidR="001A6079" w:rsidRDefault="00CF29A2">
      <w:pPr>
        <w:numPr>
          <w:ilvl w:val="0"/>
          <w:numId w:val="3"/>
        </w:numPr>
        <w:spacing w:after="217" w:line="259" w:lineRule="auto"/>
        <w:ind w:hanging="150"/>
      </w:pPr>
      <w:r>
        <w:t>Introduce predictive modelling</w:t>
      </w:r>
      <w:r>
        <w:t xml:space="preserve"> to anticipate churn and identify high</w:t>
      </w:r>
      <w:r>
        <w:t xml:space="preserve">-value leads. </w:t>
      </w:r>
    </w:p>
    <w:p w14:paraId="6DD9979C" w14:textId="77777777" w:rsidR="001A6079" w:rsidRDefault="00CF29A2">
      <w:pPr>
        <w:numPr>
          <w:ilvl w:val="0"/>
          <w:numId w:val="3"/>
        </w:numPr>
        <w:spacing w:after="217" w:line="259" w:lineRule="auto"/>
        <w:ind w:hanging="150"/>
      </w:pPr>
      <w:r>
        <w:t>Integrate additional customer feedback and satisfaction data for richer segmentation.</w:t>
      </w:r>
      <w:r>
        <w:t xml:space="preserve"> </w:t>
      </w:r>
    </w:p>
    <w:p w14:paraId="4F9A2E8A" w14:textId="77777777" w:rsidR="001A6079" w:rsidRDefault="00CF29A2">
      <w:pPr>
        <w:numPr>
          <w:ilvl w:val="0"/>
          <w:numId w:val="3"/>
        </w:numPr>
        <w:spacing w:after="217" w:line="259" w:lineRule="auto"/>
        <w:ind w:hanging="150"/>
      </w:pPr>
      <w:r>
        <w:t>Measure campaign ROI within each segment to refine future targeting efforts.</w:t>
      </w:r>
      <w:r>
        <w:t xml:space="preserve"> </w:t>
      </w:r>
    </w:p>
    <w:sectPr w:rsidR="001A6079">
      <w:pgSz w:w="12240" w:h="15840"/>
      <w:pgMar w:top="1479" w:right="1823" w:bottom="1742"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F1CB9"/>
    <w:multiLevelType w:val="hybridMultilevel"/>
    <w:tmpl w:val="1BAE3D02"/>
    <w:lvl w:ilvl="0" w:tplc="DBE4789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AC975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68F4F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22C07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06F08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EC8E3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88408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74782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74641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465BE2"/>
    <w:multiLevelType w:val="hybridMultilevel"/>
    <w:tmpl w:val="D0BAF63A"/>
    <w:lvl w:ilvl="0" w:tplc="9EAA74C0">
      <w:start w:val="1"/>
      <w:numFmt w:val="bullet"/>
      <w:lvlText w:val="•"/>
      <w:lvlJc w:val="left"/>
      <w:pPr>
        <w:ind w:left="1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5B8CD6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4A043A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13E7BE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FC8A2E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E28040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05C28E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620BC7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2CEEAE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6B11B17"/>
    <w:multiLevelType w:val="hybridMultilevel"/>
    <w:tmpl w:val="EA50802E"/>
    <w:lvl w:ilvl="0" w:tplc="FC2823AC">
      <w:start w:val="1"/>
      <w:numFmt w:val="bullet"/>
      <w:lvlText w:val="•"/>
      <w:lvlJc w:val="left"/>
      <w:pPr>
        <w:ind w:left="1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8A824E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6400B5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F740EA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3A4B78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494563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32A5D5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768C9F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72C5DA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906645566">
    <w:abstractNumId w:val="1"/>
  </w:num>
  <w:num w:numId="2" w16cid:durableId="1067846704">
    <w:abstractNumId w:val="0"/>
  </w:num>
  <w:num w:numId="3" w16cid:durableId="494220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079"/>
    <w:rsid w:val="0004604F"/>
    <w:rsid w:val="001A6079"/>
    <w:rsid w:val="002C1C5F"/>
    <w:rsid w:val="003F47C6"/>
    <w:rsid w:val="006605AE"/>
    <w:rsid w:val="00784C34"/>
    <w:rsid w:val="00C8296A"/>
    <w:rsid w:val="00CF2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C834"/>
  <w15:docId w15:val="{DCDDB15D-A039-4A6A-8E0B-C97DD00E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8" w:lineRule="auto"/>
      <w:ind w:left="10"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17365D"/>
      <w:sz w:val="5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65F91"/>
      <w:sz w:val="28"/>
    </w:rPr>
  </w:style>
  <w:style w:type="character" w:customStyle="1" w:styleId="Heading1Char">
    <w:name w:val="Heading 1 Char"/>
    <w:link w:val="Heading1"/>
    <w:rPr>
      <w:rFonts w:ascii="Calibri" w:eastAsia="Calibri" w:hAnsi="Calibri" w:cs="Calibri"/>
      <w:color w:val="17365D"/>
      <w:sz w:val="52"/>
    </w:rPr>
  </w:style>
  <w:style w:type="table" w:styleId="TableGrid">
    <w:name w:val="Table Grid"/>
    <w:basedOn w:val="TableNormal"/>
    <w:uiPriority w:val="39"/>
    <w:rsid w:val="002C1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C1C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84C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784C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84C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784C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784C34"/>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5">
    <w:name w:val="Grid Table 6 Colorful Accent 5"/>
    <w:basedOn w:val="TableNormal"/>
    <w:uiPriority w:val="51"/>
    <w:rsid w:val="00784C34"/>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Gayathiri R</cp:lastModifiedBy>
  <cp:revision>2</cp:revision>
  <dcterms:created xsi:type="dcterms:W3CDTF">2025-10-30T06:11:00Z</dcterms:created>
  <dcterms:modified xsi:type="dcterms:W3CDTF">2025-10-30T06:11:00Z</dcterms:modified>
</cp:coreProperties>
</file>