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Lightweight MobileNetV2-Based Plant Leaf Disease Recognition with Grad-CAM Interpretability for Agricultural Decision Support</w:t>
      </w:r>
    </w:p>
    <w:p>
      <w:pPr>
        <w:spacing w:after="160"/>
        <w:jc w:val="center"/>
      </w:pPr>
      <w:r>
        <w:rPr>
          <w:rFonts w:ascii="Times New Roman" w:cs="Times New Roman" w:eastAsia="Times New Roman" w:hAnsi="Times New Roman"/>
          <w:sz w:val="24"/>
          <w:szCs w:val="24"/>
        </w:rPr>
        <w:t xml:space="preserve">Panja Siddarth</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M. Sai Samhitha</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Guggilla Sathwika</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Maduri Harini</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Y.B. Sriman</w:t>
      </w:r>
      <w:r>
        <w:rPr>
          <w:rFonts w:ascii="Times New Roman" w:cs="Times New Roman" w:eastAsia="Times New Roman" w:hAnsi="Times New Roman"/>
          <w:sz w:val="24"/>
          <w:szCs w:val="24"/>
          <w:vertAlign w:val="superscript"/>
        </w:rPr>
        <w:t xml:space="preserve">5*</w:t>
      </w:r>
    </w:p>
    <w:p>
      <w:pPr>
        <w:spacing w:after="4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Keshav Memorial Institute of Technology, Hyderabad, India</w:t>
      </w:r>
    </w:p>
    <w:p>
      <w:pPr>
        <w:spacing w:after="40"/>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Keshav Memorial Institute of Technology, Hyderabad, India</w:t>
      </w:r>
    </w:p>
    <w:p>
      <w:pPr>
        <w:spacing w:after="40"/>
        <w:jc w:val="center"/>
      </w:pP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Keshav Memorial Institute of Technology, Hyderabad, India</w:t>
      </w:r>
    </w:p>
    <w:p>
      <w:pPr>
        <w:spacing w:after="40"/>
        <w:jc w:val="center"/>
      </w:pP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Keshav Memorial Institute of Technology, Hyderabad, India</w:t>
      </w:r>
    </w:p>
    <w:p>
      <w:pPr>
        <w:spacing w:after="40"/>
        <w:jc w:val="center"/>
      </w:pP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Keshav Memorial Institute of Technology, Hyderabad, India</w:t>
      </w:r>
    </w:p>
    <w:p>
      <w:pPr>
        <w:spacing w:after="140"/>
        <w:jc w:val="center"/>
      </w:pPr>
      <w:r>
        <w:rPr>
          <w:rFonts w:ascii="Times New Roman" w:cs="Times New Roman" w:eastAsia="Times New Roman" w:hAnsi="Times New Roman"/>
          <w:color w:val="0000FF"/>
          <w:sz w:val="20"/>
          <w:szCs w:val="20"/>
          <w:highlight w:val="yellow"/>
          <w:highlightCs w:val="yellow"/>
          <w:u w:val="single"/>
        </w:rPr>
        <w:t xml:space="preserve">[Email of the Presenting Author]</w:t>
      </w:r>
    </w:p>
    <w:p>
      <w:pPr>
        <w:spacing w:after="80"/>
      </w:pPr>
      <w:r>
        <w:rPr>
          <w:rFonts w:ascii="Times New Roman" w:cs="Times New Roman" w:eastAsia="Times New Roman" w:hAnsi="Times New Roman"/>
          <w:b/>
          <w:bCs/>
          <w:sz w:val="22"/>
          <w:szCs w:val="22"/>
          <w:u w:val="single"/>
        </w:rPr>
        <w:t xml:space="preserve">ABSTRACT</w:t>
      </w:r>
    </w:p>
    <w:p>
      <w:pPr>
        <w:spacing w:after="0" w:line="360"/>
        <w:jc w:val="both"/>
      </w:pPr>
      <w:r>
        <w:rPr>
          <w:rFonts w:ascii="Times New Roman" w:cs="Times New Roman" w:eastAsia="Times New Roman" w:hAnsi="Times New Roman"/>
          <w:sz w:val="22"/>
          <w:szCs w:val="22"/>
        </w:rPr>
        <w:t xml:space="preserve">Diagnosing crop disease early is difficult for many farmers, who often rely on visual inspection or have limited access to agronomists. This paper describes the plant disease recognition module of KisanAI, an agricultural decision-support system. The module takes a photograph of a leaf, names the most likely disease or a healthy state, and reports the confidence of that prediction so that later advisory stages can use it.</w:t>
      </w:r>
    </w:p>
    <w:p>
      <w:pPr>
        <w:spacing w:after="0" w:line="360"/>
        <w:jc w:val="both"/>
      </w:pPr>
      <w:r>
        <w:rPr>
          <w:rFonts w:ascii="Times New Roman" w:cs="Times New Roman" w:eastAsia="Times New Roman" w:hAnsi="Times New Roman"/>
          <w:sz w:val="22"/>
          <w:szCs w:val="22"/>
        </w:rPr>
        <w:t xml:space="preserve">We build the classifier on MobileNetV2, chosen for its small size, and adapt it through transfer learning. Images are resized, normalized and augmented before passing through the ImageNet-pretrained backbone, followed by a new classification layer. Training runs in two phases: first only the new layer is trained while the backbone stays frozen, and then layers from index 100 onward are unfrozen and fine-tuned at a learning rate of 1e-5. Grad-CAM heatmaps are added so that a user can see which parts of the leaf drove a prediction.</w:t>
      </w:r>
    </w:p>
    <w:p>
      <w:pPr>
        <w:spacing w:after="0" w:line="360"/>
        <w:jc w:val="both"/>
      </w:pPr>
      <w:r>
        <w:rPr>
          <w:rFonts w:ascii="Times New Roman" w:cs="Times New Roman" w:eastAsia="Times New Roman" w:hAnsi="Times New Roman"/>
          <w:sz w:val="22"/>
          <w:szCs w:val="22"/>
        </w:rPr>
        <w:t xml:space="preserve">Experiments use the PlantVillage dataset of 54,305 images in 38 classes covering 14 crops, with an 80/20 split that leaves 10,861 images for validation. We report accuracy, precision, recall, F1-score and a confusion matrix. The trained model occupies only 25.15 MB, which is compact enough for resource-constrained use.</w:t>
      </w:r>
    </w:p>
    <w:p>
      <w:pPr>
        <w:spacing w:after="0" w:line="360"/>
        <w:jc w:val="both"/>
      </w:pPr>
      <w:r>
        <w:rPr>
          <w:rFonts w:ascii="Times New Roman" w:cs="Times New Roman" w:eastAsia="Times New Roman" w:hAnsi="Times New Roman"/>
          <w:sz w:val="22"/>
          <w:szCs w:val="22"/>
        </w:rPr>
        <w:t xml:space="preserve">The model reaches 94.63% validation accuracy and a macro F1-score of 93.44%; fine-tuning raised accuracy from 92.84% after the first phase. Twenty-six of the 38 classes score above 0.95 F1. The main errors are Corn Northern Leaf Blight being mistaken for Gray Leaf Spot, and tomato leaf-spot diseases (early blight, bacterial spot, Septoria leaf spot and target spot) being mistaken for one another, which fits their similar early-stage appearance.</w:t>
      </w:r>
    </w:p>
    <w:p>
      <w:pPr>
        <w:spacing w:after="0" w:line="360"/>
        <w:jc w:val="both"/>
      </w:pPr>
      <w:r>
        <w:rPr>
          <w:rFonts w:ascii="Times New Roman" w:cs="Times New Roman" w:eastAsia="Times New Roman" w:hAnsi="Times New Roman"/>
          <w:sz w:val="22"/>
          <w:szCs w:val="22"/>
        </w:rPr>
        <w:t xml:space="preserve">The module passes its predictions to the KisanAI advisory components, so the work treats disease recognition as one part of a decision-support pipeline and balances accuracy, computational cost and interpretability.</w:t>
      </w:r>
    </w:p>
    <w:p>
      <w:pPr>
        <w:spacing w:before="120"/>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Plant disease recognition; MobileNetV2; transfer learning; Grad-CAM; computer vision; agricultural decision support</w:t>
      </w:r>
    </w:p>
    <w:sectPr>
      <w:pgSz w:w="12240" w:h="15840" w:orient="portrait"/>
      <w:pgMar w:top="648" w:right="1080" w:bottom="64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2026-09-29T10:03:10.554Z</dcterms:created>
  <dcterms:modified xsi:type="dcterms:W3CDTF">2026-09-29T10:03:10.554Z</dcterms:modified>
</cp:coreProperties>
</file>

<file path=docProps/custom.xml><?xml version="1.0" encoding="utf-8"?>
<Properties xmlns="http://schemas.openxmlformats.org/officeDocument/2006/custom-properties" xmlns:vt="http://schemas.openxmlformats.org/officeDocument/2006/docPropsVTypes"/>
</file>