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pPr>
      <w:r>
        <w:rPr>
          <w:i/>
        </w:rPr>
        <w:t xml:space="preserve">From The Operator’s Thesis: How Healthcare Really Buys AI (Saivai Group, 2026) — editable reader copy of the printed instrument; text identical to the book. © 2026 Anthony W. Russell. For the reader’s own use; not legal, clinical, compliance, investment, accounting, tax, or consulting advice. Reader resource hub: saivaigroup.com/thesis</w:t>
      </w:r>
    </w:p>
    <w:p>
      <w:pPr>
        <w:pStyle w:val="Heading1"/>
        <w:rPr/>
      </w:pPr>
      <w:bookmarkStart w:id="154" w:name="appendix-the-operators-toolkit"/>
      <w:r>
        <w:rPr/>
        <w:t>Appendix A — The Operator’s Toolkit</w:t>
      </w:r>
    </w:p>
    <w:p>
      <w:pPr>
        <w:pStyle w:val="FirstParagraph"/>
        <w:rPr/>
      </w:pPr>
      <w:r>
        <w:t>The instruments below convert this book’s frameworks into working diligence and governance tools. All seventeen appear here in full. Three of them, the sheets most readers will use first, appear as fill-in worksheets and a checklist; the rest are deliberately compact prose, because an instrument you can hold in one read is an instrument you will actually use. These instruments are aids to structured thinking based on the author’s operating experience. They are not legal, clinical, compliance, investment, accounting, tax, or consulting advice; they do not establish a standard of care or guarantee diligence or outcomes. Use them with qualified professionals and your own judgment. See the Author’s Note.</w:t>
      </w:r>
    </w:p>
    <w:p>
      <w:pPr>
        <w:pStyle w:val="Heading2"/>
        <w:rPr/>
      </w:pPr>
      <w:bookmarkStart w:id="701" w:name="small-system-start"/>
      <w:r>
        <w:rPr/>
        <w:t>Before the Instruments: The Small-System Start</w:t>
      </w:r>
      <w:bookmarkEnd w:id="701"/>
    </w:p>
    <w:p>
      <w:pPr>
        <w:pStyle w:val="BodyText"/>
        <w:rPr/>
      </w:pPr>
      <w:r>
        <w:rPr/>
        <w:t xml:space="preserve">If the process in this book reads like it was built for a system with forty people to throw at it, it was, because that is who the enterprise gauntlet was built by. If you are smaller, do not run the gauntlet. Run these five moves; each points to the one instrument that carries it.</w:t>
      </w:r>
    </w:p>
    <w:p>
      <w:pPr>
        <w:pStyle w:val="Compact"/>
        <w:keepNext/>
        <w:rPr/>
      </w:pPr>
      <w:r>
        <w:rPr/>
        <w:t xml:space="preserve">1. One owner, one page. Name the sponsor, signer, implementer, and user: four names, one page (Instrument 5). If two of those names are the same person, write it down anyway; the vacancies are the finding.</w:t>
      </w:r>
    </w:p>
    <w:p>
      <w:pPr>
        <w:pStyle w:val="Compact"/>
        <w:keepNext/>
        <w:rPr/>
      </w:pPr>
      <w:r>
        <w:rPr/>
        <w:t xml:space="preserve">2. Price the whole bill. One hour with whoever holds your budget and the Price-Plus-Burden worksheet (Instrument 3). If the vendor cannot help you fill in the right-hand column, that is your answer.</w:t>
      </w:r>
    </w:p>
    <w:p>
      <w:pPr>
        <w:pStyle w:val="Compact"/>
        <w:keepNext/>
        <w:rPr/>
      </w:pPr>
      <w:r>
        <w:rPr/>
        <w:t xml:space="preserve">3. Charter before pilot. Six lines in a table (Instrument 8). If any line cannot be filled in, the pilot is not ready, and that discovery is free today and expensive in month four.</w:t>
      </w:r>
    </w:p>
    <w:p>
      <w:pPr>
        <w:pStyle w:val="Compact"/>
        <w:keepNext/>
        <w:rPr/>
      </w:pPr>
      <w:r>
        <w:rPr/>
        <w:t xml:space="preserve">4. Round on the change, weekly. The checklist’s standing six (Instrument 16) takes fifteen minutes and replaces the meeting nobody scheduled.</w:t>
      </w:r>
    </w:p>
    <w:p>
      <w:pPr>
        <w:pStyle w:val="Compact"/>
        <w:keepNext/>
        <w:rPr/>
      </w:pPr>
      <w:r>
        <w:rPr/>
        <w:t xml:space="preserve">5. Book the renewal decision before go-live. Put the date, the owner, and the evidence you will require on the calendar now (Instrument 11). The renewal is the verdict; schedule the courtroom.</w:t>
      </w:r>
    </w:p>
    <w:p>
      <w:pPr>
        <w:pStyle w:val="BodyText"/>
        <w:rPr/>
      </w:pPr>
      <w:r>
        <w:rPr/>
        <w:t xml:space="preserve">That is the whole starter path. An enterprise process does not scale down; judgment does, and these five moves are the judgment.</w:t>
      </w:r>
    </w:p>
    <w:sectPr>
      <w:footerReference w:type="default" r:id="rId124"/>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footer1.xml><?xml version="1.0" encoding="utf-8"?>
<w:ftr xmlns:w="http://schemas.openxmlformats.org/wordprocessingml/2006/main" xmlns:r="http://schemas.openxmlformats.org/officeDocument/2006/relationships">
  <w:p>
    <w:pPr>
      <w:spacing w:before="0" w:after="0"/>
      <w:jc w:val="center"/>
      <w:rPr/>
    </w:pPr>
    <w:fldSimple w:instr=" PAGE \* MERGEFORMAT ">
      <w:r>
        <w:rPr>
          <w:color w:val="6B5B49"/>
          <w:sz w:val="20"/>
        </w:rPr>
        <w:t>2</w:t>
      </w:r>
    </w:fldSimple>
  </w:p>
</w:ftr>
</file>

<file path=word/footer2.xml><?xml version="1.0" encoding="utf-8"?>
<w:ftr xmlns:w="http://schemas.openxmlformats.org/wordprocessingml/2006/main">
  <w:p>
    <w:pPr>
      <w:rPr/>
    </w:pPr>
  </w:p>
</w:ftr>
</file>

<file path=word/footer3.xml><?xml version="1.0" encoding="utf-8"?>
<w:ftr xmlns:w="http://schemas.openxmlformats.org/wordprocessingml/2006/main" xmlns:r="http://schemas.openxmlformats.org/officeDocument/2006/relationships">
  <w:p>
    <w:pPr>
      <w:spacing w:before="0" w:after="0"/>
      <w:jc w:val="center"/>
      <w:rPr/>
    </w:pPr>
    <w:fldSimple w:instr=" PAGE \* MERGEFORMAT ">
      <w:r>
        <w:t>2</w:t>
      </w:r>
    </w:fldSimple>
  </w:p>
</w:ftr>
</file>

<file path=word/header1.xml><?xml version="1.0" encoding="utf-8"?>
<w:hdr xmlns:w="http://schemas.openxmlformats.org/wordprocessingml/2006/main" xmlns:r="http://schemas.openxmlformats.org/officeDocument/2006/relationships">
  <w:p>
    <w:pPr>
      <w:spacing w:before="0" w:after="0"/>
      <w:jc w:val="center"/>
      <w:rPr/>
    </w:pPr>
    <w:fldSimple w:instr=" STYLEREF &quot;Heading 1&quot; \* MERGEFORMAT ">
      <w:r>
        <w:rPr>
          <w:smallCaps/>
          <w:color w:val="6B5B49"/>
          <w:sz w:val="18"/>
        </w:rPr>
        <w:t>The Operator’s Thesis</w:t>
      </w:r>
    </w:fldSimple>
  </w:p>
</w:hdr>
</file>

<file path=word/header2.xml><?xml version="1.0" encoding="utf-8"?>
<w:hdr xmlns:w="http://schemas.openxmlformats.org/wordprocessingml/2006/main">
  <w:p>
    <w:pPr>
      <w:rP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
    <w:lvl w:ilvl="0">
      <w:start w:val="2"/>
      <w:numFmt w:val="decimal"/>
      <w:lvlText w:val="%1."/>
      <w:lvlJc w:val="start"/>
      <w:pPr>
        <w:tabs>
          <w:tab w:val="num" w:pos="0"/>
        </w:tabs>
        <w:ind w:start="720" w:hanging="480"/>
      </w:pPr>
      <w:rPr/>
    </w:lvl>
    <w:lvl w:ilvl="1">
      <w:start w:val="2"/>
      <w:numFmt w:val="decimal"/>
      <w:lvlText w:val="%2."/>
      <w:lvlJc w:val="start"/>
      <w:pPr>
        <w:tabs>
          <w:tab w:val="num" w:pos="0"/>
        </w:tabs>
        <w:ind w:start="1440" w:hanging="480"/>
      </w:pPr>
      <w:rPr/>
    </w:lvl>
    <w:lvl w:ilvl="2">
      <w:start w:val="2"/>
      <w:numFmt w:val="decimal"/>
      <w:lvlText w:val="%3."/>
      <w:lvlJc w:val="start"/>
      <w:pPr>
        <w:tabs>
          <w:tab w:val="num" w:pos="0"/>
        </w:tabs>
        <w:ind w:start="2160" w:hanging="480"/>
      </w:pPr>
      <w:rPr/>
    </w:lvl>
    <w:lvl w:ilvl="3">
      <w:start w:val="2"/>
      <w:numFmt w:val="decimal"/>
      <w:lvlText w:val="%4."/>
      <w:lvlJc w:val="start"/>
      <w:pPr>
        <w:tabs>
          <w:tab w:val="num" w:pos="0"/>
        </w:tabs>
        <w:ind w:start="2880" w:hanging="480"/>
      </w:pPr>
      <w:rPr/>
    </w:lvl>
    <w:lvl w:ilvl="4">
      <w:start w:val="2"/>
      <w:numFmt w:val="decimal"/>
      <w:lvlText w:val="%5."/>
      <w:lvlJc w:val="start"/>
      <w:pPr>
        <w:tabs>
          <w:tab w:val="num" w:pos="0"/>
        </w:tabs>
        <w:ind w:start="3600" w:hanging="480"/>
      </w:pPr>
      <w:rPr/>
    </w:lvl>
    <w:lvl w:ilvl="5">
      <w:start w:val="2"/>
      <w:numFmt w:val="decimal"/>
      <w:lvlText w:val="%6."/>
      <w:lvlJc w:val="start"/>
      <w:pPr>
        <w:tabs>
          <w:tab w:val="num" w:pos="0"/>
        </w:tabs>
        <w:ind w:start="4320" w:hanging="480"/>
      </w:pPr>
      <w:rPr/>
    </w:lvl>
    <w:lvl w:ilvl="6">
      <w:start w:val="2"/>
      <w:numFmt w:val="decimal"/>
      <w:lvlText w:val="%7."/>
      <w:lvlJc w:val="start"/>
      <w:pPr>
        <w:tabs>
          <w:tab w:val="num" w:pos="0"/>
        </w:tabs>
        <w:ind w:start="5040" w:hanging="480"/>
      </w:pPr>
      <w:rPr/>
    </w:lvl>
    <w:lvl w:ilvl="7">
      <w:start w:val="2"/>
      <w:numFmt w:val="decimal"/>
      <w:lvlText w:val="%8."/>
      <w:lvlJc w:val="start"/>
      <w:pPr>
        <w:tabs>
          <w:tab w:val="num" w:pos="0"/>
        </w:tabs>
        <w:ind w:start="5760" w:hanging="480"/>
      </w:pPr>
      <w:rPr/>
    </w:lvl>
    <w:lvl w:ilvl="8">
      <w:start w:val="2"/>
      <w:numFmt w:val="decimal"/>
      <w:lvlText w:val="%9."/>
      <w:lvlJc w:val="start"/>
      <w:pPr>
        <w:tabs>
          <w:tab w:val="num" w:pos="0"/>
        </w:tabs>
        <w:ind w:start="6480" w:hanging="480"/>
      </w:pPr>
      <w:rPr/>
    </w:lvl>
  </w:abstractNum>
  <w:abstractNum w:abstractNumId="5">
    <w:lvl w:ilvl="0">
      <w:start w:val="4"/>
      <w:numFmt w:val="decimal"/>
      <w:lvlText w:val="%1."/>
      <w:lvlJc w:val="start"/>
      <w:pPr>
        <w:tabs>
          <w:tab w:val="num" w:pos="0"/>
        </w:tabs>
        <w:ind w:start="720" w:hanging="480"/>
      </w:pPr>
      <w:rPr/>
    </w:lvl>
    <w:lvl w:ilvl="1">
      <w:start w:val="4"/>
      <w:numFmt w:val="decimal"/>
      <w:lvlText w:val="%2."/>
      <w:lvlJc w:val="start"/>
      <w:pPr>
        <w:tabs>
          <w:tab w:val="num" w:pos="0"/>
        </w:tabs>
        <w:ind w:start="1440" w:hanging="480"/>
      </w:pPr>
      <w:rPr/>
    </w:lvl>
    <w:lvl w:ilvl="2">
      <w:start w:val="4"/>
      <w:numFmt w:val="decimal"/>
      <w:lvlText w:val="%3."/>
      <w:lvlJc w:val="start"/>
      <w:pPr>
        <w:tabs>
          <w:tab w:val="num" w:pos="0"/>
        </w:tabs>
        <w:ind w:start="2160" w:hanging="480"/>
      </w:pPr>
      <w:rPr/>
    </w:lvl>
    <w:lvl w:ilvl="3">
      <w:start w:val="4"/>
      <w:numFmt w:val="decimal"/>
      <w:lvlText w:val="%4."/>
      <w:lvlJc w:val="start"/>
      <w:pPr>
        <w:tabs>
          <w:tab w:val="num" w:pos="0"/>
        </w:tabs>
        <w:ind w:start="2880" w:hanging="480"/>
      </w:pPr>
      <w:rPr/>
    </w:lvl>
    <w:lvl w:ilvl="4">
      <w:start w:val="4"/>
      <w:numFmt w:val="decimal"/>
      <w:lvlText w:val="%5."/>
      <w:lvlJc w:val="start"/>
      <w:pPr>
        <w:tabs>
          <w:tab w:val="num" w:pos="0"/>
        </w:tabs>
        <w:ind w:start="3600" w:hanging="480"/>
      </w:pPr>
      <w:rPr/>
    </w:lvl>
    <w:lvl w:ilvl="5">
      <w:start w:val="4"/>
      <w:numFmt w:val="decimal"/>
      <w:lvlText w:val="%6."/>
      <w:lvlJc w:val="start"/>
      <w:pPr>
        <w:tabs>
          <w:tab w:val="num" w:pos="0"/>
        </w:tabs>
        <w:ind w:start="4320" w:hanging="480"/>
      </w:pPr>
      <w:rPr/>
    </w:lvl>
    <w:lvl w:ilvl="6">
      <w:start w:val="4"/>
      <w:numFmt w:val="decimal"/>
      <w:lvlText w:val="%7."/>
      <w:lvlJc w:val="start"/>
      <w:pPr>
        <w:tabs>
          <w:tab w:val="num" w:pos="0"/>
        </w:tabs>
        <w:ind w:start="5040" w:hanging="480"/>
      </w:pPr>
      <w:rPr/>
    </w:lvl>
    <w:lvl w:ilvl="7">
      <w:start w:val="4"/>
      <w:numFmt w:val="decimal"/>
      <w:lvlText w:val="%8."/>
      <w:lvlJc w:val="start"/>
      <w:pPr>
        <w:tabs>
          <w:tab w:val="num" w:pos="0"/>
        </w:tabs>
        <w:ind w:start="5760" w:hanging="480"/>
      </w:pPr>
      <w:rPr/>
    </w:lvl>
    <w:lvl w:ilvl="8">
      <w:start w:val="4"/>
      <w:numFmt w:val="decimal"/>
      <w:lvlText w:val="%9."/>
      <w:lvlJc w:val="start"/>
      <w:pPr>
        <w:tabs>
          <w:tab w:val="num" w:pos="0"/>
        </w:tabs>
        <w:ind w:start="6480" w:hanging="480"/>
      </w:pPr>
      <w:rPr/>
    </w:lvl>
  </w:abstractNum>
  <w:abstractNum w:abstractNumId="6">
    <w:lvl w:ilvl="0">
      <w:start w:val="5"/>
      <w:numFmt w:val="decimal"/>
      <w:lvlText w:val="%1."/>
      <w:lvlJc w:val="start"/>
      <w:pPr>
        <w:tabs>
          <w:tab w:val="num" w:pos="0"/>
        </w:tabs>
        <w:ind w:start="720" w:hanging="480"/>
      </w:pPr>
      <w:rPr/>
    </w:lvl>
    <w:lvl w:ilvl="1">
      <w:start w:val="5"/>
      <w:numFmt w:val="decimal"/>
      <w:lvlText w:val="%2."/>
      <w:lvlJc w:val="start"/>
      <w:pPr>
        <w:tabs>
          <w:tab w:val="num" w:pos="0"/>
        </w:tabs>
        <w:ind w:start="1440" w:hanging="480"/>
      </w:pPr>
      <w:rPr/>
    </w:lvl>
    <w:lvl w:ilvl="2">
      <w:start w:val="5"/>
      <w:numFmt w:val="decimal"/>
      <w:lvlText w:val="%3."/>
      <w:lvlJc w:val="start"/>
      <w:pPr>
        <w:tabs>
          <w:tab w:val="num" w:pos="0"/>
        </w:tabs>
        <w:ind w:start="2160" w:hanging="480"/>
      </w:pPr>
      <w:rPr/>
    </w:lvl>
    <w:lvl w:ilvl="3">
      <w:start w:val="5"/>
      <w:numFmt w:val="decimal"/>
      <w:lvlText w:val="%4."/>
      <w:lvlJc w:val="start"/>
      <w:pPr>
        <w:tabs>
          <w:tab w:val="num" w:pos="0"/>
        </w:tabs>
        <w:ind w:start="2880" w:hanging="480"/>
      </w:pPr>
      <w:rPr/>
    </w:lvl>
    <w:lvl w:ilvl="4">
      <w:start w:val="5"/>
      <w:numFmt w:val="decimal"/>
      <w:lvlText w:val="%5."/>
      <w:lvlJc w:val="start"/>
      <w:pPr>
        <w:tabs>
          <w:tab w:val="num" w:pos="0"/>
        </w:tabs>
        <w:ind w:start="3600" w:hanging="480"/>
      </w:pPr>
      <w:rPr/>
    </w:lvl>
    <w:lvl w:ilvl="5">
      <w:start w:val="5"/>
      <w:numFmt w:val="decimal"/>
      <w:lvlText w:val="%6."/>
      <w:lvlJc w:val="start"/>
      <w:pPr>
        <w:tabs>
          <w:tab w:val="num" w:pos="0"/>
        </w:tabs>
        <w:ind w:start="4320" w:hanging="480"/>
      </w:pPr>
      <w:rPr/>
    </w:lvl>
    <w:lvl w:ilvl="6">
      <w:start w:val="5"/>
      <w:numFmt w:val="decimal"/>
      <w:lvlText w:val="%7."/>
      <w:lvlJc w:val="start"/>
      <w:pPr>
        <w:tabs>
          <w:tab w:val="num" w:pos="0"/>
        </w:tabs>
        <w:ind w:start="5040" w:hanging="480"/>
      </w:pPr>
      <w:rPr/>
    </w:lvl>
    <w:lvl w:ilvl="7">
      <w:start w:val="5"/>
      <w:numFmt w:val="decimal"/>
      <w:lvlText w:val="%8."/>
      <w:lvlJc w:val="start"/>
      <w:pPr>
        <w:tabs>
          <w:tab w:val="num" w:pos="0"/>
        </w:tabs>
        <w:ind w:start="5760" w:hanging="480"/>
      </w:pPr>
      <w:rPr/>
    </w:lvl>
    <w:lvl w:ilvl="8">
      <w:start w:val="5"/>
      <w:numFmt w:val="decimal"/>
      <w:lvlText w:val="%9."/>
      <w:lvlJc w:val="start"/>
      <w:pPr>
        <w:tabs>
          <w:tab w:val="num" w:pos="0"/>
        </w:tabs>
        <w:ind w:start="6480" w:hanging="480"/>
      </w:pPr>
      <w:rPr/>
    </w:lvl>
  </w:abstractNum>
  <w:abstractNum w:abstractNumId="7">
    <w:lvl w:ilvl="0">
      <w:start w:val="9"/>
      <w:numFmt w:val="decimal"/>
      <w:lvlText w:val="%1."/>
      <w:lvlJc w:val="start"/>
      <w:pPr>
        <w:tabs>
          <w:tab w:val="num" w:pos="0"/>
        </w:tabs>
        <w:ind w:start="720" w:hanging="480"/>
      </w:pPr>
      <w:rPr/>
    </w:lvl>
    <w:lvl w:ilvl="1">
      <w:start w:val="9"/>
      <w:numFmt w:val="decimal"/>
      <w:lvlText w:val="%2."/>
      <w:lvlJc w:val="start"/>
      <w:pPr>
        <w:tabs>
          <w:tab w:val="num" w:pos="0"/>
        </w:tabs>
        <w:ind w:start="1440" w:hanging="480"/>
      </w:pPr>
      <w:rPr/>
    </w:lvl>
    <w:lvl w:ilvl="2">
      <w:start w:val="9"/>
      <w:numFmt w:val="decimal"/>
      <w:lvlText w:val="%3."/>
      <w:lvlJc w:val="start"/>
      <w:pPr>
        <w:tabs>
          <w:tab w:val="num" w:pos="0"/>
        </w:tabs>
        <w:ind w:start="2160" w:hanging="480"/>
      </w:pPr>
      <w:rPr/>
    </w:lvl>
    <w:lvl w:ilvl="3">
      <w:start w:val="9"/>
      <w:numFmt w:val="decimal"/>
      <w:lvlText w:val="%4."/>
      <w:lvlJc w:val="start"/>
      <w:pPr>
        <w:tabs>
          <w:tab w:val="num" w:pos="0"/>
        </w:tabs>
        <w:ind w:start="2880" w:hanging="480"/>
      </w:pPr>
      <w:rPr/>
    </w:lvl>
    <w:lvl w:ilvl="4">
      <w:start w:val="9"/>
      <w:numFmt w:val="decimal"/>
      <w:lvlText w:val="%5."/>
      <w:lvlJc w:val="start"/>
      <w:pPr>
        <w:tabs>
          <w:tab w:val="num" w:pos="0"/>
        </w:tabs>
        <w:ind w:start="3600" w:hanging="480"/>
      </w:pPr>
      <w:rPr/>
    </w:lvl>
    <w:lvl w:ilvl="5">
      <w:start w:val="9"/>
      <w:numFmt w:val="decimal"/>
      <w:lvlText w:val="%6."/>
      <w:lvlJc w:val="start"/>
      <w:pPr>
        <w:tabs>
          <w:tab w:val="num" w:pos="0"/>
        </w:tabs>
        <w:ind w:start="4320" w:hanging="480"/>
      </w:pPr>
      <w:rPr/>
    </w:lvl>
    <w:lvl w:ilvl="6">
      <w:start w:val="9"/>
      <w:numFmt w:val="decimal"/>
      <w:lvlText w:val="%7."/>
      <w:lvlJc w:val="start"/>
      <w:pPr>
        <w:tabs>
          <w:tab w:val="num" w:pos="0"/>
        </w:tabs>
        <w:ind w:start="5040" w:hanging="480"/>
      </w:pPr>
      <w:rPr/>
    </w:lvl>
    <w:lvl w:ilvl="7">
      <w:start w:val="9"/>
      <w:numFmt w:val="decimal"/>
      <w:lvlText w:val="%8."/>
      <w:lvlJc w:val="start"/>
      <w:pPr>
        <w:tabs>
          <w:tab w:val="num" w:pos="0"/>
        </w:tabs>
        <w:ind w:start="5760" w:hanging="480"/>
      </w:pPr>
      <w:rPr/>
    </w:lvl>
    <w:lvl w:ilvl="8">
      <w:start w:val="9"/>
      <w:numFmt w:val="decimal"/>
      <w:lvlText w:val="%9."/>
      <w:lvlJc w:val="start"/>
      <w:pPr>
        <w:tabs>
          <w:tab w:val="num" w:pos="0"/>
        </w:tabs>
        <w:ind w:start="6480" w:hanging="4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1"/>
    <w:lvlOverride w:ilvl="0">
      <w:startOverride w:val="1"/>
    </w:lvlOverride>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lvlOverride w:ilvl="0">
      <w:startOverride w:val="1"/>
    </w:lvlOverride>
  </w:num>
  <w:num w:numId="20">
    <w:abstractNumId w:val="4"/>
    <w:lvlOverride w:ilvl="0">
      <w:startOverride w:val="2"/>
    </w:lvlOverride>
  </w:num>
  <w:num w:numId="21">
    <w:abstractNumId w:val="5"/>
    <w:lvlOverride w:ilvl="0">
      <w:startOverride w:val="4"/>
    </w:lvlOverride>
  </w:num>
  <w:num w:numId="22">
    <w:abstractNumId w:val="6"/>
    <w:lvlOverride w:ilvl="0">
      <w:startOverride w:val="5"/>
    </w:lvlOverride>
  </w:num>
  <w:num w:numId="23">
    <w:abstractNumId w:val="7"/>
    <w:lvlOverride w:ilvl="0">
      <w:startOverride w:val="9"/>
    </w:lvlOverride>
  </w:num>
  <w:num w:numId="24">
    <w:abstractNumId w:val="7"/>
    <w:lvlOverride w:ilvl="0">
      <w:startOverride w:val="10"/>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6"/>
        <w:szCs w:val="26"/>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160"/>
      <w:jc w:val="center"/>
      <w:outlineLvl w:val="0"/>
    </w:pPr>
    <w:rPr>
      <w:rFonts w:ascii="Calibri" w:hAnsi="Calibri" w:eastAsia="" w:cs="" w:asciiTheme="majorHAnsi" w:cstheme="majorBidi" w:eastAsiaTheme="majorEastAsia" w:hAnsiTheme="majorHAnsi"/>
      <w:b/>
      <w:bCs/>
      <w:color w:val="3F362C"/>
      <w:sz w:val="36"/>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5B4A38"/>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5B4A38"/>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jc w:val="both"/>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jc w:val="start"/>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val="2F2822"/>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jc w:val="start"/>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spacing w:before="120" w:after="120"/>
      <w:jc w:val="center"/>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23" Type="http://schemas.openxmlformats.org/officeDocument/2006/relationships/header" Target="header1.xml"/><Relationship Id="rId124" Type="http://schemas.openxmlformats.org/officeDocument/2006/relationships/footer" Target="footer1.xml"/><Relationship Id="rId125" Type="http://schemas.openxmlformats.org/officeDocument/2006/relationships/header" Target="header2.xml"/><Relationship Id="rId126" Type="http://schemas.openxmlformats.org/officeDocument/2006/relationships/footer" Target="footer2.xml"/><Relationship Id="rId152"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Operator’s Thesis</dc:title>
  <cp:lastModifiedBy/>
  <cp:revision>1</cp:revision>
  <dcterms:modified xsi:type="dcterms:W3CDTF">2026-10-15T05:00:00Z</dcterms:modified>
  <dc:subject>Content master candidate v3.51, build 7k (candidate; publication not authorized): build 7j with the author’s approved clarification of item 12 in Chapter 9, p. 61 (36a AE-012.1, “guided by it” → “guiding the work”; approved Oct 14, 2026); build 7j = build 7i with one grammar repair of the editor’s wording in Chapter 2 (29a AE-002.1); build 7i = build 7h with the author’s eighteen corrections of Oct 13, 2026 (28a, twenty phrase operations in sixteen paragraphs); build 7h = build 7g with three index locators removed (IX-1 Price-Plus-Burden 3; IX-2 capital, disciplined 18; IX-3 hardwiring 14); build 7g = build 7f with the approved text (21j_a revision 2, 50 operations; 21k_a, V.1), the Praise note (ASM-1/2), the page-16 break (ASM-3), the two re-lettered opener plates (ASM-4/5); build 7f = build 7e with Kevin W. Massengill’s endorsement leading Praise page 2 (PRAISE-K1), Praise pages rebalanced to three (LAYOUT-04, DISCLOSE-03), a blank verso before the title page (BLANK-01), contents page numbers +2 (TOC-01); build 7e = build 7d with Shawn Smith’s full endorsement on Praise page 1 (PRAISE-S2-FULL, LAYOUT-03), the disclosure line at the foot of the Praise pages (DISCLOSE-02), and the author-biography AI-initiative clause corrected (BIO-01/02); build 7d = build 7c with Dr. Gaspar’s attribution set to “President, Gage Health Solutions” at her written request (PRAISE-G0R-ATTR); build 7c = build 7b (Praise page 2 with Dr. K. Gabrielle Gaspar) with four freeze-rule repairs — Chapter 1 plate subtitle (MEDIA-03), note 10 placement/style (NOTES-01), note-10 heading label (NOTES-02), Index groups B–C italic (INDEX-01), Index letter heads kept with their entries (INDEX-02) — and one orphaned part removed (PKG-01); built from build 7b e0ecb874…194f (text from v3.50-CM df6e7240…c7667)</dc:subject>
  <dc:description>Locked content master; reader-resource route activation remains a pre-publication gate.</dc:description>
</cp:coreProperties>
</file>