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57" w:name="X132791d6b759fb5c2a49089094114b7d65e8062"/>
      <w:r>
        <w:rPr/>
        <w:t xml:space="preserve">Instrument 2 — The Three Fits Scorecard </w:t>
      </w:r>
      <w:r>
        <w:rPr>
          <w:i/>
          <w:iCs/>
        </w:rPr>
        <w:t>(Chapter 10)</w:t>
      </w:r>
    </w:p>
    <w:p>
      <w:pPr>
        <w:pStyle w:val="FirstParagraph"/>
        <w:rPr/>
      </w:pPr>
      <w:r>
        <w:rPr/>
        <w:t>Score each fit 1–5 for a named product in a named segment. A product is durable only where all three clear 4.</w:t>
      </w:r>
    </w:p>
    <w:p>
      <w:pPr>
        <w:pStyle w:val="BodyText"/>
        <w:rPr/>
      </w:pPr>
      <w:r>
        <w:rPr>
          <w:b/>
          <w:bCs/>
        </w:rPr>
        <w:t>Workflow fit:</w:t>
      </w:r>
      <w:r>
        <w:rPr/>
        <w:t xml:space="preserve"> Net effort at the point of use is negative within days. The product conforms to the workflow’s rhythm or transforms it with a credible change plan. Expert, motivated users stay. </w:t>
      </w:r>
      <w:r>
        <w:rPr>
          <w:i/>
          <w:iCs/>
        </w:rPr>
        <w:t>(My half-day test: would this have kept me seeing patients?)</w:t>
      </w:r>
    </w:p>
    <w:p>
      <w:pPr>
        <w:pStyle w:val="BodyText"/>
        <w:rPr/>
      </w:pPr>
      <w:r>
        <w:rPr>
          <w:b/>
          <w:bCs/>
        </w:rPr>
        <w:t>Economic fit:</w:t>
      </w:r>
      <w:r>
        <w:rPr/>
        <w:t xml:space="preserve"> Value lands in a nameable budget, on a stated timeline, surviving the CFO’s three questions: replacing or adding spend; where the return shows up, whose budget, how fast; realistic odds implementation erases it. Price-plus-burden accounting attached.</w:t>
      </w:r>
    </w:p>
    <w:p>
      <w:pPr>
        <w:pStyle w:val="BodyText"/>
        <w:rPr/>
      </w:pPr>
      <w:r>
        <w:rPr>
          <w:b/>
          <w:bCs/>
        </w:rPr>
        <w:t>Trust fit:</w:t>
      </w:r>
      <w:r>
        <w:rPr/>
        <w:t xml:space="preserve"> Safety architecture demonstrable at Donabedian’s three levels (structure, process, outcome). Autonomy graduated, supervised, revocable. Regulatory posture settled pre-pilot. Culture fit assessed: this institution’s actual change capacity, not the segment’s average.</w:t>
      </w:r>
    </w:p>
    <w:p>
      <w:pPr>
        <w:pStyle w:val="BodyText"/>
        <w:rPr/>
      </w:pPr>
      <w:r>
        <w:rPr/>
        <w:t xml:space="preserve">Failure-mode key: high workflow + economic, low trust = </w:t>
      </w:r>
      <w:r>
        <w:rPr>
          <w:i/>
          <w:iCs/>
        </w:rPr>
        <w:t>ungovernable</w:t>
      </w:r>
      <w:r>
        <w:rPr/>
        <w:t xml:space="preserve">. High workflow + trust, low economic = </w:t>
      </w:r>
      <w:r>
        <w:rPr>
          <w:i/>
          <w:iCs/>
        </w:rPr>
        <w:t>unfundable</w:t>
      </w:r>
      <w:r>
        <w:rPr/>
        <w:t xml:space="preserve">. High economic + trust, low workflow = </w:t>
      </w:r>
      <w:r>
        <w:rPr>
          <w:i/>
          <w:iCs/>
        </w:rPr>
        <w:t>unused</w:t>
      </w:r>
      <w:r>
        <w:rPr/>
        <w:t>.</w:t>
      </w:r>
      <w:bookmarkEnd w:id="157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