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59" w:name="Xc4d55e2242505295de51545eaf0017ba15eb5ed"/>
      <w:r>
        <w:rPr/>
        <w:t xml:space="preserve">Instrument 4 — Diligence Questions by Stage </w:t>
      </w:r>
      <w:r>
        <w:rPr>
          <w:i/>
          <w:iCs/>
        </w:rPr>
        <w:t>(Chapters 11–12)</w:t>
      </w:r>
    </w:p>
    <w:p>
      <w:pPr>
        <w:pStyle w:val="FirstParagraph"/>
        <w:rPr/>
      </w:pPr>
      <w:r>
        <w:rPr/>
        <w:t xml:space="preserve">Pair every vendor-clock milestone with its buyer-clock gate. Early story: has any health system moved this past curiosity into genuine scrutiny? First major round: a real security review and governance process cleared on the merits — where, and may I call them? Next round: implementation survived beyond design partners; where did the burden land, mapped by whom? Growth capital: renewals — how many, at what price, with the champion still required in the room or not? Expansion claims: arriving in the customer’s voice (invitations) or the sales team’s (pushes)? Always: what does the deployment cost the </w:t>
      </w:r>
      <w:r>
        <w:rPr>
          <w:i/>
          <w:iCs/>
        </w:rPr>
        <w:t>company</w:t>
      </w:r>
      <w:r>
        <w:rPr/>
        <w:t xml:space="preserve"> per month in people, and what happens if the founder doesn’t visit for a quarter?</w:t>
      </w:r>
      <w:bookmarkEnd w:id="159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