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officeDocument" Target="word/document.xml"/><Relationship Id="rId5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</w:pPr>
      <w:r>
        <w:rPr>
          <w:i/>
        </w:rPr>
        <w:t xml:space="preserve">From The Operator’s Thesis: How Healthcare Really Buys AI (Saivai Group, 2026) — editable reader copy of the printed instrument; text identical to the book. © 2026 Anthony W. Russell. For the reader’s own use; not legal, clinical, compliance, investment, accounting, tax, or consulting advice. Reader resource hub: saivaigroup.com/thesis</w:t>
      </w:r>
    </w:p>
    <w:p>
      <w:pPr>
        <w:pStyle w:val="Heading2"/>
        <w:rPr/>
      </w:pPr>
      <w:bookmarkStart w:id="162" w:name="X92d99e0f165a2fab0d9d7a9c326f1439540204d"/>
      <w:r>
        <w:rPr/>
        <w:t xml:space="preserve">Instrument 6 — Safety Language vs. Safety Architecture Checklist </w:t>
      </w:r>
      <w:r>
        <w:rPr>
          <w:i/>
          <w:iCs/>
        </w:rPr>
        <w:t>(Chapter 8)</w:t>
      </w:r>
    </w:p>
    <w:p>
      <w:pPr>
        <w:pStyle w:val="FirstParagraph"/>
        <w:rPr/>
      </w:pPr>
      <w:r>
        <w:rPr/>
        <w:t xml:space="preserve">Take every safety word in the vendor’s materials and walk it back to its mechanism, demanding evidence at Donabedian’s three levels. </w:t>
      </w:r>
      <w:r>
        <w:rPr>
          <w:i/>
          <w:iCs/>
        </w:rPr>
        <w:t>Accountable</w:t>
      </w:r>
      <w:r>
        <w:rPr/>
        <w:t xml:space="preserve">: what exactly is the human accountable for, and does the workflow give them a realistic way to exercise it — show the review surface. </w:t>
      </w:r>
      <w:r>
        <w:rPr>
          <w:i/>
          <w:iCs/>
        </w:rPr>
        <w:t>Transparent</w:t>
      </w:r>
      <w:r>
        <w:rPr/>
        <w:t xml:space="preserve">: can someone reconstruct, after the fact, what the system did and why — show the trace. </w:t>
      </w:r>
      <w:r>
        <w:rPr>
          <w:i/>
          <w:iCs/>
        </w:rPr>
        <w:t>Monitored</w:t>
      </w:r>
      <w:r>
        <w:rPr/>
        <w:t xml:space="preserve">: what is measured, against what thresholds, and who receives the alert overnight — show the dashboard and the on-call rota. </w:t>
      </w:r>
      <w:r>
        <w:rPr>
          <w:i/>
          <w:iCs/>
        </w:rPr>
        <w:t>Governed</w:t>
      </w:r>
      <w:r>
        <w:rPr/>
        <w:t xml:space="preserve">: what can be constrained, audited, and defended in front of a board — show the controls. </w:t>
      </w:r>
      <w:r>
        <w:rPr>
          <w:i/>
          <w:iCs/>
        </w:rPr>
        <w:t>Compliant</w:t>
      </w:r>
      <w:r>
        <w:rPr/>
        <w:t xml:space="preserve">: BAAs, minimum-necessary, breach obligations, consent and disclosure workflows, FDA status if applicable — show the artifacts, dated before the pilot. </w:t>
      </w:r>
      <w:r>
        <w:rPr>
          <w:i/>
          <w:iCs/>
        </w:rPr>
        <w:t>Validated</w:t>
      </w:r>
      <w:r>
        <w:rPr/>
        <w:t>: validated where, on whom, and who is watching it now — show the local numbers. A vendor fluent at the document level only has compliance theater. Structure, process, outcome, or it is language.</w:t>
      </w:r>
      <w:bookmarkEnd w:id="162"/>
    </w:p>
    <w:sectPr>
      <w:footerReference w:type="default" r:id="rId124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  <w:rPr/>
    </w:pPr>
    <w:fldSimple w:instr=" PAGE \* MERGEFORMAT ">
      <w:r>
        <w:rPr>
          <w:color w:val="6B5B49"/>
          <w:sz w:val="20"/>
        </w:rPr>
        <w:t>2</w:t>
      </w:r>
    </w:fldSimple>
  </w:p>
</w:ftr>
</file>

<file path=word/footer2.xml><?xml version="1.0" encoding="utf-8"?>
<w:ftr xmlns:w="http://schemas.openxmlformats.org/wordprocessingml/2006/main">
  <w:p>
    <w:pPr>
      <w:rPr/>
    </w:pPr>
  </w:p>
</w:ftr>
</file>

<file path=word/footer3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  <w:rPr/>
    </w:pPr>
    <w:fldSimple w:instr=" PAGE \* MERGEFORMAT ">
      <w:r>
        <w:t>2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spacing w:before="0" w:after="0"/>
      <w:jc w:val="center"/>
      <w:rPr/>
    </w:pPr>
    <w:fldSimple w:instr=" STYLEREF &quot;Heading 1&quot; \* MERGEFORMAT ">
      <w:r>
        <w:rPr>
          <w:smallCaps/>
          <w:color w:val="6B5B49"/>
          <w:sz w:val="18"/>
        </w:rPr>
        <w:t>The Operator’s Thesis</w:t>
      </w:r>
    </w:fldSimple>
  </w:p>
</w:hdr>
</file>

<file path=word/header2.xml><?xml version="1.0" encoding="utf-8"?>
<w:hdr xmlns:w="http://schemas.openxmlformats.org/wordprocessingml/2006/main">
  <w:p>
    <w:pPr>
      <w:rPr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4">
    <w:lvl w:ilvl="0">
      <w:start w:val="2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2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2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2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2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2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2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2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2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5">
    <w:lvl w:ilvl="0">
      <w:start w:val="4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4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4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4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4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4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4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4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4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6">
    <w:lvl w:ilvl="0">
      <w:start w:val="5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5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5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5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5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5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5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5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5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7">
    <w:lvl w:ilvl="0">
      <w:start w:val="9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9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9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9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9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9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9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9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9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  <w:lvlOverride w:ilvl="0">
      <w:startOverride w:val="1"/>
    </w:lvlOverride>
  </w:num>
  <w:num w:numId="20">
    <w:abstractNumId w:val="4"/>
    <w:lvlOverride w:ilvl="0">
      <w:startOverride w:val="2"/>
    </w:lvlOverride>
  </w:num>
  <w:num w:numId="21">
    <w:abstractNumId w:val="5"/>
    <w:lvlOverride w:ilvl="0">
      <w:startOverride w:val="4"/>
    </w:lvlOverride>
  </w:num>
  <w:num w:numId="22">
    <w:abstractNumId w:val="6"/>
    <w:lvlOverride w:ilvl="0">
      <w:startOverride w:val="5"/>
    </w:lvlOverride>
  </w:num>
  <w:num w:numId="23">
    <w:abstractNumId w:val="7"/>
    <w:lvlOverride w:ilvl="0">
      <w:startOverride w:val="9"/>
    </w:lvlOverride>
  </w:num>
  <w:num w:numId="24">
    <w:abstractNumId w:val="7"/>
    <w:lvlOverride w:ilvl="0">
      <w:startOverride w:val="10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6"/>
        <w:szCs w:val="26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160"/>
      <w:jc w:val="center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F362C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5B4A38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5B4A38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  <w:jc w:val="both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  <w:jc w:val="start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2F2822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  <w:jc w:val="start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>
      <w:spacing w:before="120" w:after="120"/>
      <w:jc w:val="center"/>
    </w:pPr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23" Type="http://schemas.openxmlformats.org/officeDocument/2006/relationships/header" Target="header1.xml"/><Relationship Id="rId124" Type="http://schemas.openxmlformats.org/officeDocument/2006/relationships/footer" Target="footer1.xml"/><Relationship Id="rId125" Type="http://schemas.openxmlformats.org/officeDocument/2006/relationships/header" Target="header2.xml"/><Relationship Id="rId126" Type="http://schemas.openxmlformats.org/officeDocument/2006/relationships/footer" Target="footer2.xml"/><Relationship Id="rId152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The Operator’s Thesis</dc:title>
  <cp:lastModifiedBy/>
  <cp:revision>1</cp:revision>
  <dcterms:modified xsi:type="dcterms:W3CDTF">2026-10-15T05:00:00Z</dcterms:modified>
  <dc:subject>Content master candidate v3.51, build 7k (candidate; publication not authorized): build 7j with the author’s approved clarification of item 12 in Chapter 9, p. 61 (36a AE-012.1, “guided by it” → “guiding the work”; approved Oct 14, 2026); build 7j = build 7i with one grammar repair of the editor’s wording in Chapter 2 (29a AE-002.1); build 7i = build 7h with the author’s eighteen corrections of Oct 13, 2026 (28a, twenty phrase operations in sixteen paragraphs); build 7h = build 7g with three index locators removed (IX-1 Price-Plus-Burden 3; IX-2 capital, disciplined 18; IX-3 hardwiring 14); build 7g = build 7f with the approved text (21j_a revision 2, 50 operations; 21k_a, V.1), the Praise note (ASM-1/2), the page-16 break (ASM-3), the two re-lettered opener plates (ASM-4/5); build 7f = build 7e with Kevin W. Massengill’s endorsement leading Praise page 2 (PRAISE-K1), Praise pages rebalanced to three (LAYOUT-04, DISCLOSE-03), a blank verso before the title page (BLANK-01), contents page numbers +2 (TOC-01); build 7e = build 7d with Shawn Smith’s full endorsement on Praise page 1 (PRAISE-S2-FULL, LAYOUT-03), the disclosure line at the foot of the Praise pages (DISCLOSE-02), and the author-biography AI-initiative clause corrected (BIO-01/02); build 7d = build 7c with Dr. Gaspar’s attribution set to “President, Gage Health Solutions” at her written request (PRAISE-G0R-ATTR); build 7c = build 7b (Praise page 2 with Dr. K. Gabrielle Gaspar) with four freeze-rule repairs — Chapter 1 plate subtitle (MEDIA-03), note 10 placement/style (NOTES-01), note-10 heading label (NOTES-02), Index groups B–C italic (INDEX-01), Index letter heads kept with their entries (INDEX-02) — and one orphaned part removed (PKG-01); built from build 7b e0ecb874…194f (text from v3.50-CM df6e7240…c7667)</dc:subject>
  <dc:description>Locked content master; reader-resource route activation remains a pre-publication gate.</dc:description>
</cp:coreProperties>
</file>