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63" w:name="X112cbd48c39e105ba7da2616c7468b4f1def0f6"/>
      <w:r>
        <w:rPr/>
        <w:t xml:space="preserve">Instrument 7 — Judgment Allocation Map </w:t>
      </w:r>
      <w:r>
        <w:rPr>
          <w:i/>
          <w:iCs/>
        </w:rPr>
        <w:t>(Chapter 7)</w:t>
      </w:r>
    </w:p>
    <w:p>
      <w:pPr>
        <w:pStyle w:val="FirstParagraph"/>
        <w:rPr/>
      </w:pPr>
      <w:bookmarkStart w:id="164" w:name="X112cbd48c39e105ba7da2616c7468b4f1def0f6"/>
      <w:r>
        <w:rPr/>
        <w:t>For each task in the target workflow, assign a category and a supervision level. Category: machine-favored (high-volume, pattern-heavy, errors detectable and recoverable — run with audit); human-led, machine-assisted (machine drafts and narrows, human decides: the resident-and-attending structure); human-dominant (ambiguity, ethics, or accountability make delegation impossible: AI supports the surroundings only). Supervision level, per the Attending Model: observe; propose with co-signature; act with review; act with retrospective audit; act independently within a bounded domain: each granted by domain, earned by demonstrated performance, and revocable. Then name the two humans in the loop: the frontline lead who manages the process where it runs, and the accountable administrator who owns value, burden shift, compliance, and drift at the executive level. Finally, the training plan: no human enters the loop untrained — what does each role learn, when, and how is competence checked? If the vendor’s answer to the human’s role is “rescue” rather than “judgment,” you are pricing a services business, not a safety architecture.</w:t>
      </w:r>
      <w:bookmarkEnd w:id="164"/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