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65" w:name="Xa6f9d12e06f5febc0a88d11501268ef7f0e75a1"/>
      <w:r>
        <w:rPr/>
        <w:t xml:space="preserve">Instrument 8 — Pilot-to-Platform Readiness Checklist </w:t>
      </w:r>
      <w:r>
        <w:rPr>
          <w:i/>
          <w:iCs/>
        </w:rPr>
        <w:t>(Chapter 12)</w:t>
      </w:r>
    </w:p>
    <w:p>
      <w:pPr>
        <w:pStyle w:val="BodyText"/>
        <w:rPr/>
      </w:pPr>
      <w:r>
        <w:rPr/>
        <w:t xml:space="preserve">The pilot charter — the five lines of Chapter 12, set as a six-row template. Before anything else, confirm the pilot has a charter. If any row cannot be filled in, the pilot is not ready to start.</w:t>
      </w:r>
    </w:p>
    <w:tbl>
      <w:tblPr>
        <w:tblStyle w:val="Table"/>
        <w:tblW w:w="5000" w:type="pct"/>
        <w:jc w:val="start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start w:w="108" w:type="dxa"/>
          <w:bottom w:w="20" w:type="dxa"/>
          <w:end w:w="108" w:type="dxa"/>
        </w:tblCellMar>
        <w:tblLook w:val="0020" w:noHBand="0" w:noVBand="0" w:firstColumn="0" w:lastRow="0" w:lastColumn="0" w:firstRow="1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Charter line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Enter it here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Named owner — institution side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Named owner — vendor side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Scope and end date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Success criteria — including burden criteria — agreed in writing before go-live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Measurement plan finance has blessed in advance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Decision path: what converts the pilot, what kills it, and who makes that call</w:t>
            </w:r>
          </w:p>
        </w:tc>
        <w:tc>
          <w:tcPr>
            <w:tcW w:w="60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</w:tbl>
    <w:p>
      <w:pPr>
        <w:pStyle w:val="BodyText"/>
        <w:rPr/>
      </w:pPr>
      <w:r>
        <w:rPr/>
        <w:t xml:space="preserve">Wedge criteria: the product runs in real production, past the demo cohort and the design partners; the institution would operationally notice if it were turned off; the burden has been mapped and landed where the vendor said it would; the first renewal has been earned at full price.</w:t>
      </w:r>
    </w:p>
    <w:p>
      <w:pPr>
        <w:pStyle w:val="BodyText"/>
        <w:rPr/>
      </w:pPr>
      <w:r>
        <w:rPr/>
        <w:t xml:space="preserve">Trust-transfer signals: references volunteer themselves; an adjacent department has asked for the product; the champion is no longer needed in the room for the renewal conversation.</w:t>
      </w:r>
    </w:p>
    <w:p>
      <w:pPr>
        <w:pStyle w:val="BodyText"/>
        <w:rPr/>
      </w:pPr>
      <w:r>
        <w:rPr/>
        <w:t xml:space="preserve">Implementation-theater screens, asked of every flagship deployment: What does this deployment cost the vendor per month, in people? What breaks, operationally, if the founding team stays home for a quarter? How many deployments run untouched by them? Who at the customer would fight to keep this if the champion left tomorrow? A wedge survives all four. Theater survives none.</w:t>
      </w:r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