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66" w:name="X5c4634cca3b56ff5a16d368a98962ce25595c78"/>
      <w:r>
        <w:rPr/>
        <w:t xml:space="preserve">Instrument 9 — Founder Red Flags </w:t>
      </w:r>
      <w:r>
        <w:rPr>
          <w:i/>
          <w:iCs/>
        </w:rPr>
        <w:t>(Chapters 11–12, 15)</w:t>
      </w:r>
    </w:p>
    <w:p>
      <w:pPr>
        <w:pStyle w:val="FirstParagraph"/>
        <w:rPr/>
      </w:pPr>
      <w:r>
        <w:rPr/>
        <w:t xml:space="preserve">Platform language before wedge durability. Pilot counts offered where renewal counts were asked for. Burden questions answered with pricing slides. Compliance treated as the customer’s problem. Resentment of the courtship — references, advisors, accelerator vetting — that first health-system relationships legitimately require. Heroics presented as repeatable product performance. Expansion that happens only where the sales team pushes. A market map where the diligence question was about one buyer’s coalition. And the meta-flag that contains the others: the inability to answer, simply, </w:t>
      </w:r>
      <w:r>
        <w:rPr>
          <w:i/>
          <w:iCs/>
        </w:rPr>
        <w:t>what are you trying to accomplish, and how does this actually get you there?</w:t>
      </w:r>
      <w:bookmarkEnd w:id="166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