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67" w:name="Xe12f2320718d01a440924c63e012a7f4c32f842"/>
      <w:r>
        <w:rPr/>
        <w:t xml:space="preserve">Instrument 10 — Buyer Red Flags </w:t>
      </w:r>
      <w:r>
        <w:rPr>
          <w:i/>
          <w:iCs/>
        </w:rPr>
        <w:t>(Chapters 3, 4, 9)</w:t>
      </w:r>
    </w:p>
    <w:p>
      <w:pPr>
        <w:pStyle w:val="FirstParagraph"/>
        <w:rPr/>
      </w:pPr>
      <w:r>
        <w:rPr/>
        <w:t>The telltale flags, in the chapter’s own terms: no AI governance lane; no named executive owner; access without training; tools distributed through the help desk.</w:t>
      </w:r>
    </w:p>
    <w:p>
      <w:pPr>
        <w:pStyle w:val="BodyText"/>
        <w:rPr/>
      </w:pPr>
      <w:bookmarkStart w:id="168" w:name="Xe12f2320718d01a440924c63e012a7f4c32f842"/>
      <w:r>
        <w:rPr/>
        <w:t>For vendors qualifying accounts and investors qualifying their companies’ revenue. No AI governance lane — no intake, no criteria, no supervision levels — so decisions will be made by altitude and mood. No named executive owner for the deployment. Access without training plans; tools distributed through the help desk; nobody tracking who has what. A CEO-sourced vendor proceeding without comparison. Scar tissue unexamined: nobody has asked what the last three vendors in this category left behind. A pilot accepted with no success definition, no end date, and no owner. Revenue signed into these conditions has no anchor under it: price it accordingly.</w:t>
      </w:r>
      <w:bookmarkEnd w:id="168"/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