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Pr>
      <w:r>
        <w:rPr>
          <w:i/>
        </w:rPr>
        <w:t xml:space="preserve">From The Operator’s Thesis: How Healthcare Really Buys AI (Saivai Group, 2026) — editable reader copy of the printed instrument; text identical to the book. © 2026 Anthony W. Russell. For the reader’s own use; not legal, clinical, compliance, investment, accounting, tax, or consulting advice. Reader resource hub: saivaigroup.com/thesis</w:t>
      </w:r>
    </w:p>
    <w:p>
      <w:pPr>
        <w:pStyle w:val="Heading2"/>
        <w:rPr/>
      </w:pPr>
      <w:bookmarkStart w:id="169" w:name="Xf5ca697a9e2e665615fb17fdc63737fb5d69609"/>
      <w:r>
        <w:rPr/>
        <w:t xml:space="preserve">Instrument 11 — Renewal Readiness Questions </w:t>
      </w:r>
      <w:r>
        <w:rPr>
          <w:i/>
          <w:iCs/>
        </w:rPr>
        <w:t>(Chapters 6, 11)</w:t>
      </w:r>
    </w:p>
    <w:p>
      <w:pPr>
        <w:pStyle w:val="FirstParagraph"/>
        <w:rPr/>
      </w:pPr>
      <w:bookmarkStart w:id="170" w:name="Xf5ca697a9e2e665615fb17fdc63737fb5d69609"/>
      <w:r>
        <w:rPr/>
        <w:t>To be answered six months before the meeting, by the vendor and the institution both. Where did the promised value actually land: in whose budget, measured by whom, against what baseline? What does the burden audit show: who got relief, who inherited work, and what does the net look like at the enterprise level? What broke, and how did support actually perform when it did? Who at the customer would fight to keep this — by name — and is the original champion still required for the case to hold? What will institutional memory say in the room? If the vendor cannot answer these, the renewal is a coin flip. If the institution cannot, its governance has stopped governing.</w:t>
      </w:r>
      <w:bookmarkEnd w:id="170"/>
    </w:p>
    <w:sectPr>
      <w:footerReference w:type="default" r:id="rId124"/>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footer1.xml><?xml version="1.0" encoding="utf-8"?>
<w:ftr xmlns:w="http://schemas.openxmlformats.org/wordprocessingml/2006/main" xmlns:r="http://schemas.openxmlformats.org/officeDocument/2006/relationships">
  <w:p>
    <w:pPr>
      <w:spacing w:before="0" w:after="0"/>
      <w:jc w:val="center"/>
      <w:rPr/>
    </w:pPr>
    <w:fldSimple w:instr=" PAGE \* MERGEFORMAT ">
      <w:r>
        <w:rPr>
          <w:color w:val="6B5B49"/>
          <w:sz w:val="20"/>
        </w:rPr>
        <w:t>2</w:t>
      </w:r>
    </w:fldSimple>
  </w:p>
</w:ftr>
</file>

<file path=word/footer2.xml><?xml version="1.0" encoding="utf-8"?>
<w:ftr xmlns:w="http://schemas.openxmlformats.org/wordprocessingml/2006/main">
  <w:p>
    <w:pPr>
      <w:rPr/>
    </w:pPr>
  </w:p>
</w:ftr>
</file>

<file path=word/footer3.xml><?xml version="1.0" encoding="utf-8"?>
<w:ftr xmlns:w="http://schemas.openxmlformats.org/wordprocessingml/2006/main" xmlns:r="http://schemas.openxmlformats.org/officeDocument/2006/relationships">
  <w:p>
    <w:pPr>
      <w:spacing w:before="0" w:after="0"/>
      <w:jc w:val="center"/>
      <w:rPr/>
    </w:pPr>
    <w:fldSimple w:instr=" PAGE \* MERGEFORMAT ">
      <w:r>
        <w:t>2</w:t>
      </w:r>
    </w:fldSimple>
  </w:p>
</w:ftr>
</file>

<file path=word/header1.xml><?xml version="1.0" encoding="utf-8"?>
<w:hdr xmlns:w="http://schemas.openxmlformats.org/wordprocessingml/2006/main" xmlns:r="http://schemas.openxmlformats.org/officeDocument/2006/relationships">
  <w:p>
    <w:pPr>
      <w:spacing w:before="0" w:after="0"/>
      <w:jc w:val="center"/>
      <w:rPr/>
    </w:pPr>
    <w:fldSimple w:instr=" STYLEREF &quot;Heading 1&quot; \* MERGEFORMAT ">
      <w:r>
        <w:rPr>
          <w:smallCaps/>
          <w:color w:val="6B5B49"/>
          <w:sz w:val="18"/>
        </w:rPr>
        <w:t>The Operator’s Thesis</w:t>
      </w:r>
    </w:fldSimple>
  </w:p>
</w:hdr>
</file>

<file path=word/header2.xml><?xml version="1.0" encoding="utf-8"?>
<w:hdr xmlns:w="http://schemas.openxmlformats.org/wordprocessingml/2006/main">
  <w:p>
    <w:pPr>
      <w:rP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5">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6">
    <w:lvl w:ilvl="0">
      <w:start w:val="5"/>
      <w:numFmt w:val="decimal"/>
      <w:lvlText w:val="%1."/>
      <w:lvlJc w:val="start"/>
      <w:pPr>
        <w:tabs>
          <w:tab w:val="num" w:pos="0"/>
        </w:tabs>
        <w:ind w:start="720" w:hanging="480"/>
      </w:pPr>
      <w:rPr/>
    </w:lvl>
    <w:lvl w:ilvl="1">
      <w:start w:val="5"/>
      <w:numFmt w:val="decimal"/>
      <w:lvlText w:val="%2."/>
      <w:lvlJc w:val="start"/>
      <w:pPr>
        <w:tabs>
          <w:tab w:val="num" w:pos="0"/>
        </w:tabs>
        <w:ind w:start="1440" w:hanging="480"/>
      </w:pPr>
      <w:rPr/>
    </w:lvl>
    <w:lvl w:ilvl="2">
      <w:start w:val="5"/>
      <w:numFmt w:val="decimal"/>
      <w:lvlText w:val="%3."/>
      <w:lvlJc w:val="start"/>
      <w:pPr>
        <w:tabs>
          <w:tab w:val="num" w:pos="0"/>
        </w:tabs>
        <w:ind w:start="2160" w:hanging="480"/>
      </w:pPr>
      <w:rPr/>
    </w:lvl>
    <w:lvl w:ilvl="3">
      <w:start w:val="5"/>
      <w:numFmt w:val="decimal"/>
      <w:lvlText w:val="%4."/>
      <w:lvlJc w:val="start"/>
      <w:pPr>
        <w:tabs>
          <w:tab w:val="num" w:pos="0"/>
        </w:tabs>
        <w:ind w:start="2880" w:hanging="480"/>
      </w:pPr>
      <w:rPr/>
    </w:lvl>
    <w:lvl w:ilvl="4">
      <w:start w:val="5"/>
      <w:numFmt w:val="decimal"/>
      <w:lvlText w:val="%5."/>
      <w:lvlJc w:val="start"/>
      <w:pPr>
        <w:tabs>
          <w:tab w:val="num" w:pos="0"/>
        </w:tabs>
        <w:ind w:start="3600" w:hanging="480"/>
      </w:pPr>
      <w:rPr/>
    </w:lvl>
    <w:lvl w:ilvl="5">
      <w:start w:val="5"/>
      <w:numFmt w:val="decimal"/>
      <w:lvlText w:val="%6."/>
      <w:lvlJc w:val="start"/>
      <w:pPr>
        <w:tabs>
          <w:tab w:val="num" w:pos="0"/>
        </w:tabs>
        <w:ind w:start="4320" w:hanging="480"/>
      </w:pPr>
      <w:rPr/>
    </w:lvl>
    <w:lvl w:ilvl="6">
      <w:start w:val="5"/>
      <w:numFmt w:val="decimal"/>
      <w:lvlText w:val="%7."/>
      <w:lvlJc w:val="start"/>
      <w:pPr>
        <w:tabs>
          <w:tab w:val="num" w:pos="0"/>
        </w:tabs>
        <w:ind w:start="5040" w:hanging="480"/>
      </w:pPr>
      <w:rPr/>
    </w:lvl>
    <w:lvl w:ilvl="7">
      <w:start w:val="5"/>
      <w:numFmt w:val="decimal"/>
      <w:lvlText w:val="%8."/>
      <w:lvlJc w:val="start"/>
      <w:pPr>
        <w:tabs>
          <w:tab w:val="num" w:pos="0"/>
        </w:tabs>
        <w:ind w:start="5760" w:hanging="480"/>
      </w:pPr>
      <w:rPr/>
    </w:lvl>
    <w:lvl w:ilvl="8">
      <w:start w:val="5"/>
      <w:numFmt w:val="decimal"/>
      <w:lvlText w:val="%9."/>
      <w:lvlJc w:val="start"/>
      <w:pPr>
        <w:tabs>
          <w:tab w:val="num" w:pos="0"/>
        </w:tabs>
        <w:ind w:start="6480" w:hanging="480"/>
      </w:pPr>
      <w:rPr/>
    </w:lvl>
  </w:abstractNum>
  <w:abstractNum w:abstractNumId="7">
    <w:lvl w:ilvl="0">
      <w:start w:val="9"/>
      <w:numFmt w:val="decimal"/>
      <w:lvlText w:val="%1."/>
      <w:lvlJc w:val="start"/>
      <w:pPr>
        <w:tabs>
          <w:tab w:val="num" w:pos="0"/>
        </w:tabs>
        <w:ind w:start="720" w:hanging="480"/>
      </w:pPr>
      <w:rPr/>
    </w:lvl>
    <w:lvl w:ilvl="1">
      <w:start w:val="9"/>
      <w:numFmt w:val="decimal"/>
      <w:lvlText w:val="%2."/>
      <w:lvlJc w:val="start"/>
      <w:pPr>
        <w:tabs>
          <w:tab w:val="num" w:pos="0"/>
        </w:tabs>
        <w:ind w:start="1440" w:hanging="480"/>
      </w:pPr>
      <w:rPr/>
    </w:lvl>
    <w:lvl w:ilvl="2">
      <w:start w:val="9"/>
      <w:numFmt w:val="decimal"/>
      <w:lvlText w:val="%3."/>
      <w:lvlJc w:val="start"/>
      <w:pPr>
        <w:tabs>
          <w:tab w:val="num" w:pos="0"/>
        </w:tabs>
        <w:ind w:start="2160" w:hanging="480"/>
      </w:pPr>
      <w:rPr/>
    </w:lvl>
    <w:lvl w:ilvl="3">
      <w:start w:val="9"/>
      <w:numFmt w:val="decimal"/>
      <w:lvlText w:val="%4."/>
      <w:lvlJc w:val="start"/>
      <w:pPr>
        <w:tabs>
          <w:tab w:val="num" w:pos="0"/>
        </w:tabs>
        <w:ind w:start="2880" w:hanging="480"/>
      </w:pPr>
      <w:rPr/>
    </w:lvl>
    <w:lvl w:ilvl="4">
      <w:start w:val="9"/>
      <w:numFmt w:val="decimal"/>
      <w:lvlText w:val="%5."/>
      <w:lvlJc w:val="start"/>
      <w:pPr>
        <w:tabs>
          <w:tab w:val="num" w:pos="0"/>
        </w:tabs>
        <w:ind w:start="3600" w:hanging="480"/>
      </w:pPr>
      <w:rPr/>
    </w:lvl>
    <w:lvl w:ilvl="5">
      <w:start w:val="9"/>
      <w:numFmt w:val="decimal"/>
      <w:lvlText w:val="%6."/>
      <w:lvlJc w:val="start"/>
      <w:pPr>
        <w:tabs>
          <w:tab w:val="num" w:pos="0"/>
        </w:tabs>
        <w:ind w:start="4320" w:hanging="480"/>
      </w:pPr>
      <w:rPr/>
    </w:lvl>
    <w:lvl w:ilvl="6">
      <w:start w:val="9"/>
      <w:numFmt w:val="decimal"/>
      <w:lvlText w:val="%7."/>
      <w:lvlJc w:val="start"/>
      <w:pPr>
        <w:tabs>
          <w:tab w:val="num" w:pos="0"/>
        </w:tabs>
        <w:ind w:start="5040" w:hanging="480"/>
      </w:pPr>
      <w:rPr/>
    </w:lvl>
    <w:lvl w:ilvl="7">
      <w:start w:val="9"/>
      <w:numFmt w:val="decimal"/>
      <w:lvlText w:val="%8."/>
      <w:lvlJc w:val="start"/>
      <w:pPr>
        <w:tabs>
          <w:tab w:val="num" w:pos="0"/>
        </w:tabs>
        <w:ind w:start="5760" w:hanging="480"/>
      </w:pPr>
      <w:rPr/>
    </w:lvl>
    <w:lvl w:ilvl="8">
      <w:start w:val="9"/>
      <w:numFmt w:val="decimal"/>
      <w:lvlText w:val="%9."/>
      <w:lvlJc w:val="start"/>
      <w:pPr>
        <w:tabs>
          <w:tab w:val="num" w:pos="0"/>
        </w:tabs>
        <w:ind w:start="6480" w:hanging="4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lvlOverride w:ilvl="0">
      <w:startOverride w:val="1"/>
    </w:lvlOverride>
  </w:num>
  <w:num w:numId="20">
    <w:abstractNumId w:val="4"/>
    <w:lvlOverride w:ilvl="0">
      <w:startOverride w:val="2"/>
    </w:lvlOverride>
  </w:num>
  <w:num w:numId="21">
    <w:abstractNumId w:val="5"/>
    <w:lvlOverride w:ilvl="0">
      <w:startOverride w:val="4"/>
    </w:lvlOverride>
  </w:num>
  <w:num w:numId="22">
    <w:abstractNumId w:val="6"/>
    <w:lvlOverride w:ilvl="0">
      <w:startOverride w:val="5"/>
    </w:lvlOverride>
  </w:num>
  <w:num w:numId="23">
    <w:abstractNumId w:val="7"/>
    <w:lvlOverride w:ilvl="0">
      <w:startOverride w:val="9"/>
    </w:lvlOverride>
  </w:num>
  <w:num w:numId="24">
    <w:abstractNumId w:val="7"/>
    <w:lvlOverride w:ilvl="0">
      <w:startOverride w:val="10"/>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6"/>
        <w:szCs w:val="26"/>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160"/>
      <w:jc w:val="center"/>
      <w:outlineLvl w:val="0"/>
    </w:pPr>
    <w:rPr>
      <w:rFonts w:ascii="Calibri" w:hAnsi="Calibri" w:eastAsia="" w:cs="" w:asciiTheme="majorHAnsi" w:cstheme="majorBidi" w:eastAsiaTheme="majorEastAsia" w:hAnsiTheme="majorHAnsi"/>
      <w:b/>
      <w:bCs/>
      <w:color w:val="3F362C"/>
      <w:sz w:val="36"/>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5B4A38"/>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5B4A38"/>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jc w:val="both"/>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jc w:val="start"/>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2F2822"/>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jc w:val="start"/>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spacing w:before="120" w:after="12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23" Type="http://schemas.openxmlformats.org/officeDocument/2006/relationships/header" Target="header1.xml"/><Relationship Id="rId124" Type="http://schemas.openxmlformats.org/officeDocument/2006/relationships/footer" Target="footer1.xml"/><Relationship Id="rId125" Type="http://schemas.openxmlformats.org/officeDocument/2006/relationships/header" Target="header2.xml"/><Relationship Id="rId126" Type="http://schemas.openxmlformats.org/officeDocument/2006/relationships/footer" Target="footer2.xml"/><Relationship Id="rId15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Operator’s Thesis</dc:title>
  <cp:lastModifiedBy/>
  <cp:revision>1</cp:revision>
  <dcterms:modified xsi:type="dcterms:W3CDTF">2026-10-15T05:00:00Z</dcterms:modified>
  <dc:subject>Content master candidate v3.51, build 7k (candidate; publication not authorized): build 7j with the author’s approved clarification of item 12 in Chapter 9, p. 61 (36a AE-012.1, “guided by it” → “guiding the work”; approved Oct 14, 2026); build 7j = build 7i with one grammar repair of the editor’s wording in Chapter 2 (29a AE-002.1); build 7i = build 7h with the author’s eighteen corrections of Oct 13, 2026 (28a, twenty phrase operations in sixteen paragraphs); build 7h = build 7g with three index locators removed (IX-1 Price-Plus-Burden 3; IX-2 capital, disciplined 18; IX-3 hardwiring 14); build 7g = build 7f with the approved text (21j_a revision 2, 50 operations; 21k_a, V.1), the Praise note (ASM-1/2), the page-16 break (ASM-3), the two re-lettered opener plates (ASM-4/5); build 7f = build 7e with Kevin W. Massengill’s endorsement leading Praise page 2 (PRAISE-K1), Praise pages rebalanced to three (LAYOUT-04, DISCLOSE-03), a blank verso before the title page (BLANK-01), contents page numbers +2 (TOC-01); build 7e = build 7d with Shawn Smith’s full endorsement on Praise page 1 (PRAISE-S2-FULL, LAYOUT-03), the disclosure line at the foot of the Praise pages (DISCLOSE-02), and the author-biography AI-initiative clause corrected (BIO-01/02); build 7d = build 7c with Dr. Gaspar’s attribution set to “President, Gage Health Solutions” at her written request (PRAISE-G0R-ATTR); build 7c = build 7b (Praise page 2 with Dr. K. Gabrielle Gaspar) with four freeze-rule repairs — Chapter 1 plate subtitle (MEDIA-03), note 10 placement/style (NOTES-01), note-10 heading label (NOTES-02), Index groups B–C italic (INDEX-01), Index letter heads kept with their entries (INDEX-02) — and one orphaned part removed (PKG-01); built from build 7b e0ecb874…194f (text from v3.50-CM df6e7240…c7667)</dc:subject>
  <dc:description>Locked content master; reader-resource route activation remains a pre-publication gate.</dc:description>
</cp:coreProperties>
</file>