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71" w:name="X202c4249292e9d334a599c8c5ad91c5d8148342"/>
      <w:r>
        <w:rPr/>
        <w:t xml:space="preserve">Instrument 12 — The Healthcare AI Company Quality Scorecard </w:t>
      </w:r>
      <w:r>
        <w:rPr>
          <w:i/>
          <w:iCs/>
        </w:rPr>
        <w:t>(Chapter 20)</w:t>
      </w:r>
    </w:p>
    <w:p>
      <w:pPr>
        <w:pStyle w:val="FirstParagraph"/>
        <w:rPr/>
      </w:pPr>
      <w:r>
        <w:rPr/>
        <w:t>Score the five marks, 1–5, with evidence required for anything above 3. Real value where the money decides: economic legibility, burden-honest accounting, value surviving a renewal. Institutional trustworthiness: architecture over language; graduated, supervised, revocable autonomy; compliance fluency predating the first pilot. Operating fit: the three fits assembled in a named segment, with honest boundaries. Earned expansion: wedge in production, renewals at full price, growth arriving by invitation. Mission-level significance: the institution is better at being a healthcare institution — for the patients receiving care and the people delivering it, because this company exists. Companies scoring high on the first four and low on the fifth are extracting. The reverse are dreaming. Back the ones that refuse the choice.</w:t>
      </w:r>
    </w:p>
    <w:p>
      <w:pPr>
        <w:pStyle w:val="Normal"/>
        <w:rPr/>
      </w:pPr>
      <w:bookmarkStart w:id="172" w:name="X202c4249292e9d334a599c8c5ad91c5d8148342"/>
      <w:r>
        <w:rPr/>
        <mc:AlternateContent>
          <mc:Choice Requires="wps">
            <w:drawing>
              <wp:inline distT="0" distB="0" distL="0" distR="0">
                <wp:extent cx="5943600" cy="19050"/>
                <wp:effectExtent l="0" t="0" r="0" b="0"/>
                <wp:docPr id="15" name="Decorative Horizontal Rule" descr="Decorative horizontal rul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