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73" w:name="X98bcd602b2c731b5664907513656e6a7ed978fe"/>
      <w:r>
        <w:rPr/>
        <w:t xml:space="preserve">Instrument 13 — The AI Team Criteria Checklist </w:t>
      </w:r>
      <w:r>
        <w:rPr>
          <w:i/>
          <w:iCs/>
        </w:rPr>
        <w:t>(Chapter 13)</w:t>
      </w:r>
    </w:p>
    <w:p>
      <w:pPr>
        <w:pStyle w:val="FirstParagraph"/>
        <w:rPr/>
      </w:pPr>
      <w:bookmarkStart w:id="174" w:name="X98bcd602b2c731b5664907513656e6a7ed978fe"/>
      <w:r>
        <w:rPr/>
        <w:t>Before any purchase, name a human for every seat; an unstaffed seat is the risk report. The seven seats, in the chapter’s terms: Executive owner; Translator-operator / clinical workflow interpreter; Clinical workflow lead; IT/security partner; Analyst/build talent; Training and change lead; Finance/value partner. Executive owner (CEO-mandated, holds budget and barriers). Translator-operator / clinical workflow interpreter — test the candidate against the profile, not the résumé: can they sit with a physician and hear what is underneath the complaint; move fluently between clinic flow, front-desk reality, IT constraint, and finance scrutiny; turn executive direction into a running pilot; do they hold the users’ trust? Clinical workflow lead with genuine frontline credibility. IT/security partner who can make it survivable. Analyst/build talent fluent in both the system and the clinic it serves. Training and change lead who owns adoption itself. Finance/value partner who will count what the renewal will ask about. Then the two humans in the loop, staffed by name before go-live: the frontline lead inside the work; the accountable administrator above it. Failure flags: ownership defaulting to the CIO; the champion structurally alone; capability acquired with no owner for competence; access distributed through the help desk; a roster that exists only on the kickoff slide.</w:t>
      </w:r>
      <w:bookmarkEnd w:id="174"/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