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2"/>
        <w:rPr/>
      </w:pPr>
      <w:bookmarkStart w:id="175" w:name="Xe60a75d6aebb380efd85df1b2a6b675747a71dc"/>
      <w:r>
        <w:rPr/>
        <w:t xml:space="preserve">Instrument 14 — The Process-Fit Worksheet </w:t>
      </w:r>
      <w:r>
        <w:rPr>
          <w:i/>
          <w:iCs/>
        </w:rPr>
        <w:t>(Chapter 14)</w:t>
      </w:r>
    </w:p>
    <w:p>
      <w:pPr>
        <w:pStyle w:val="FirstParagraph"/>
        <w:rPr/>
      </w:pPr>
      <w:bookmarkStart w:id="176" w:name="Xe60a75d6aebb380efd85df1b2a6b675747a71dc"/>
      <w:r>
        <w:rPr/>
        <w:t>Answer before the pilot, with numbers. The population: What percentage of the target panel is Medicaid? What languages are required, at what volumes? What is portal adoption by segment, not the enterprise average? Which communication channels actually connect (phone, SMS, portal, letter, family navigator), by segment? What are the no-show and referral-leakage patterns? Who currently closes the loop manually, and what happens when a patient does not respond digitally? Does the workflow escalate gracefully to a human, or strand the patient? The operating question for every patient-facing workflow: does this tool help the patient get to the next right step, or does it move staff burden onto the patient? The model’s population: What population was this trained and validated on? Show performance broken out by payer mix, language, and age. Will it learn our population first, or impose the process its training assumed? What happens to the published metrics when portal adoption is half the flagship’s? The institution: Which units have the change capacity to absorb this now? What does the system landscape (EHR, workqueues, phone tree, scheduling) require of the integration? Scoring rule: a tool may pass on the vendor’s population and fail on yours; only yours counts. Closing question, asked out loud: does this workflow narrow the gap or widen it?</w:t>
      </w:r>
      <w:bookmarkEnd w:id="176"/>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