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79" w:name="X9a75cee824b7fdeff062bdf4ea5f147fed2beca"/>
      <w:r>
        <w:rPr/>
        <w:t xml:space="preserve">Instrument 16 — The Change Readiness Checklist (for Buyers) </w:t>
      </w:r>
      <w:r>
        <w:rPr>
          <w:i/>
          <w:iCs/>
        </w:rPr>
        <w:t>(Chapter 16)</w:t>
      </w:r>
    </w:p>
    <w:tbl>
      <w:tblPr>
        <w:tblStyle w:val="Table"/>
        <w:tblW w:w="5000" w:type="pct"/>
        <w:jc w:val="start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0" w:type="dxa"/>
          <w:start w:w="108" w:type="dxa"/>
          <w:bottom w:w="20" w:type="dxa"/>
          <w:end w:w="108" w:type="dxa"/>
        </w:tblCellMar>
        <w:tblLook w:val="0020" w:noHBand="0" w:noVBand="0" w:firstColumn="0" w:lastRow="0" w:lastColumn="0" w:firstRow="1"/>
      </w:tblPr>
      <w:tblGrid>
        <w:gridCol w:w="560"/>
        <w:gridCol w:w="8800"/>
      </w:tblGrid>
      <w:tr>
        <w:trPr>
          <w:cantSplit/>
          <w:tblHeader w:val="true"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Check each item; an unchecked box is an action, not a footnote.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Hardwiring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Access granted only with training attached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Rollout sequence written before the pilot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Stop conditions defined and announced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Leadership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Executive owner named, with a weekly cadence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Executives trained first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Leaders can use the tool they are sponsoring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Rounding for outcomes — weekly during pilot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What is easier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What is harder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Where did work move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Are you checking the output, and what are you finding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What errors or risks appeared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What training gaps surfaced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The busy leader’s standing six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Who is using it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Who is not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What burden moved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What error appeared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What training gap surfaced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What do we stop, start, or adjust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Communication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Key words at key times: a written script for what is changing, what is not changing, what staff remain accountable for, what support exists, and what triggers a halt — delivered by leaders, not by email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Say it three times: the change communicated as possibility, then direction, then decision, with honest spacing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Capacity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Unit-by-unit change-capacity check before sequencing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Recognition plan for early adopters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A defined moment when pilot becomes decision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Leadership inspectability: can leaders demonstrate the behavior they are asking staff to adopt?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□</w:t>
            </w:r>
          </w:p>
        </w:tc>
        <w:tc>
          <w:tcPr>
            <w:tcW w:w="88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Change-capacity sequencing: which units should not receive this tool yet because they are already carrying too much change?</w:t>
            </w:r>
          </w:p>
        </w:tc>
      </w:tr>
    </w:tbl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