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1CC70" w14:textId="77777777" w:rsidR="00B146D7" w:rsidRPr="00B146D7" w:rsidRDefault="00B146D7" w:rsidP="00B146D7">
      <w:pPr>
        <w:rPr>
          <w:sz w:val="24"/>
          <w:szCs w:val="24"/>
        </w:rPr>
      </w:pPr>
      <w:r w:rsidRPr="00B146D7">
        <w:rPr>
          <w:b/>
          <w:bCs/>
          <w:sz w:val="24"/>
          <w:szCs w:val="24"/>
        </w:rPr>
        <w:t>DATA VISUALIZATION AND REPORTING STRATEGY IN AGRIBUSINESS</w:t>
      </w:r>
    </w:p>
    <w:p w14:paraId="299CA773" w14:textId="77777777" w:rsidR="00B146D7" w:rsidRPr="00B146D7" w:rsidRDefault="00B146D7" w:rsidP="00B146D7">
      <w:r w:rsidRPr="00B146D7">
        <w:rPr>
          <w:i/>
          <w:iCs/>
        </w:rPr>
        <w:t>Role: Junior Data Analyst – Agribusiness (Virtual Internship)</w:t>
      </w:r>
    </w:p>
    <w:p w14:paraId="79D0BA8B" w14:textId="77777777" w:rsidR="00B146D7" w:rsidRPr="00B146D7" w:rsidRDefault="00B146D7" w:rsidP="00B146D7">
      <w:r w:rsidRPr="00B146D7">
        <w:rPr>
          <w:i/>
          <w:iCs/>
        </w:rPr>
        <w:t>Module: Week 2 Visual Strategy &amp; Reporting Framework</w:t>
      </w:r>
    </w:p>
    <w:p w14:paraId="5791698B" w14:textId="77777777" w:rsidR="00B146D7" w:rsidRPr="00B146D7" w:rsidRDefault="00B146D7" w:rsidP="00B146D7">
      <w:pPr>
        <w:rPr>
          <w:b/>
          <w:bCs/>
        </w:rPr>
      </w:pPr>
      <w:r w:rsidRPr="00B146D7">
        <w:rPr>
          <w:b/>
          <w:bCs/>
        </w:rPr>
        <w:t>1. EXECUTIVE SUMMARY &amp; OBJECTIVES</w:t>
      </w:r>
    </w:p>
    <w:p w14:paraId="008AEDDD" w14:textId="77777777" w:rsidR="00B146D7" w:rsidRPr="00B146D7" w:rsidRDefault="00B146D7" w:rsidP="00B146D7">
      <w:r w:rsidRPr="00B146D7">
        <w:t>Raw agricultural tables often obscure operational bottlenecks and market trends. The objective of Week 2 is to design an executive-level visual reporting dashboard that translates clean production, price, and logistics data into actionable business intelligence. This framework defines core agribusiness metrics, justifies chart selections based on visual perception principles, addresses reporting challenges, and provides a multi-panel layout storyboard.</w:t>
      </w:r>
    </w:p>
    <w:p w14:paraId="6CD3EE21" w14:textId="77777777" w:rsidR="00B146D7" w:rsidRPr="00B146D7" w:rsidRDefault="00B146D7" w:rsidP="00B146D7">
      <w:pPr>
        <w:rPr>
          <w:b/>
          <w:bCs/>
        </w:rPr>
      </w:pPr>
      <w:r w:rsidRPr="00B146D7">
        <w:rPr>
          <w:b/>
          <w:bCs/>
        </w:rPr>
        <w:t>2. CORE AGRIBUSINESS METRICS TO VISUALIZE</w:t>
      </w:r>
    </w:p>
    <w:p w14:paraId="196366B2" w14:textId="77777777" w:rsidR="00B146D7" w:rsidRPr="00B146D7" w:rsidRDefault="00B146D7" w:rsidP="00B146D7">
      <w:pPr>
        <w:numPr>
          <w:ilvl w:val="0"/>
          <w:numId w:val="30"/>
        </w:numPr>
      </w:pPr>
      <w:r w:rsidRPr="00B146D7">
        <w:rPr>
          <w:b/>
          <w:bCs/>
        </w:rPr>
        <w:t>Wholesale Commodity Price Trends:</w:t>
      </w:r>
      <w:r w:rsidRPr="00B146D7">
        <w:t xml:space="preserve"> Tracking modal mandi price trajectories (INR/q) over 12-month harvest and post-harvest windows.</w:t>
      </w:r>
    </w:p>
    <w:p w14:paraId="15677FAD" w14:textId="77777777" w:rsidR="00B146D7" w:rsidRPr="00B146D7" w:rsidRDefault="00B146D7" w:rsidP="00B146D7">
      <w:pPr>
        <w:numPr>
          <w:ilvl w:val="0"/>
          <w:numId w:val="30"/>
        </w:numPr>
      </w:pPr>
      <w:r w:rsidRPr="00B146D7">
        <w:rPr>
          <w:b/>
          <w:bCs/>
        </w:rPr>
        <w:t>Crop Yield Dispersion:</w:t>
      </w:r>
      <w:r w:rsidRPr="00B146D7">
        <w:t xml:space="preserve"> </w:t>
      </w:r>
      <w:proofErr w:type="spellStart"/>
      <w:r w:rsidRPr="00B146D7">
        <w:t>Analyzing</w:t>
      </w:r>
      <w:proofErr w:type="spellEnd"/>
      <w:r w:rsidRPr="00B146D7">
        <w:t xml:space="preserve"> regional yield distributions (MT/Ha) across major grain and oilseed crops.</w:t>
      </w:r>
    </w:p>
    <w:p w14:paraId="3E99CE7D" w14:textId="77777777" w:rsidR="00B146D7" w:rsidRPr="00B146D7" w:rsidRDefault="00B146D7" w:rsidP="00B146D7">
      <w:pPr>
        <w:numPr>
          <w:ilvl w:val="0"/>
          <w:numId w:val="30"/>
        </w:numPr>
      </w:pPr>
      <w:r w:rsidRPr="00B146D7">
        <w:rPr>
          <w:b/>
          <w:bCs/>
        </w:rPr>
        <w:t>Precipitation Sensitivity:</w:t>
      </w:r>
      <w:r w:rsidRPr="00B146D7">
        <w:t xml:space="preserve"> Measuring the correlation between seasonal rainfall variations (mm) and realized field productivity.</w:t>
      </w:r>
    </w:p>
    <w:p w14:paraId="2D93658E" w14:textId="77777777" w:rsidR="00B146D7" w:rsidRPr="00B146D7" w:rsidRDefault="00B146D7" w:rsidP="00B146D7">
      <w:pPr>
        <w:numPr>
          <w:ilvl w:val="0"/>
          <w:numId w:val="30"/>
        </w:numPr>
      </w:pPr>
      <w:r w:rsidRPr="00B146D7">
        <w:rPr>
          <w:b/>
          <w:bCs/>
        </w:rPr>
        <w:t>Regional Storage Capacity Distribution:</w:t>
      </w:r>
      <w:r w:rsidRPr="00B146D7">
        <w:t xml:space="preserve"> Visualizing the proportion of state storage facilities categorized by facility type and spoilage risk.</w:t>
      </w:r>
    </w:p>
    <w:p w14:paraId="0AABD1C1" w14:textId="77777777" w:rsidR="00B146D7" w:rsidRPr="00B146D7" w:rsidRDefault="00B146D7" w:rsidP="00B146D7">
      <w:pPr>
        <w:rPr>
          <w:b/>
          <w:bCs/>
        </w:rPr>
      </w:pPr>
      <w:r w:rsidRPr="00B146D7">
        <w:rPr>
          <w:b/>
          <w:bCs/>
        </w:rPr>
        <w:t>3. VISUALIZATION TECHNIQUES &amp; SELECTION JUSTIFICATION</w:t>
      </w:r>
    </w:p>
    <w:p w14:paraId="7C9A926E" w14:textId="77777777" w:rsidR="00B146D7" w:rsidRPr="00B146D7" w:rsidRDefault="00B146D7" w:rsidP="00B146D7">
      <w:pPr>
        <w:numPr>
          <w:ilvl w:val="0"/>
          <w:numId w:val="31"/>
        </w:numPr>
      </w:pPr>
      <w:r w:rsidRPr="00B146D7">
        <w:rPr>
          <w:b/>
          <w:bCs/>
        </w:rPr>
        <w:t>Dual-Line Multi-Series Charts (Price Trends):</w:t>
      </w:r>
      <w:r w:rsidRPr="00B146D7">
        <w:t xml:space="preserve"> Time-series line charts with distinct </w:t>
      </w:r>
      <w:proofErr w:type="spellStart"/>
      <w:r w:rsidRPr="00B146D7">
        <w:t>color</w:t>
      </w:r>
      <w:proofErr w:type="spellEnd"/>
      <w:r w:rsidRPr="00B146D7">
        <w:t xml:space="preserve"> contrasts display seasonal price variations between crops (Paddy vs. Wheat) without visual clutter.</w:t>
      </w:r>
    </w:p>
    <w:p w14:paraId="50F08470" w14:textId="77777777" w:rsidR="00B146D7" w:rsidRPr="00B146D7" w:rsidRDefault="00B146D7" w:rsidP="00B146D7">
      <w:pPr>
        <w:numPr>
          <w:ilvl w:val="0"/>
          <w:numId w:val="31"/>
        </w:numPr>
      </w:pPr>
      <w:r w:rsidRPr="00B146D7">
        <w:rPr>
          <w:b/>
          <w:bCs/>
        </w:rPr>
        <w:t>Box-and-Whisker Plots (Yield Dispersion):</w:t>
      </w:r>
      <w:r w:rsidRPr="00B146D7">
        <w:t xml:space="preserve"> Box plots summarize median productivity, interquartile ranges, and extreme outliers, providing a clearer risk profile than simple averages.</w:t>
      </w:r>
    </w:p>
    <w:p w14:paraId="3615ADE8" w14:textId="77777777" w:rsidR="00B146D7" w:rsidRPr="00B146D7" w:rsidRDefault="00B146D7" w:rsidP="00B146D7">
      <w:pPr>
        <w:numPr>
          <w:ilvl w:val="0"/>
          <w:numId w:val="31"/>
        </w:numPr>
      </w:pPr>
      <w:r w:rsidRPr="00B146D7">
        <w:rPr>
          <w:b/>
          <w:bCs/>
        </w:rPr>
        <w:t>Scatter Plots with Fitted Trendlines (Rainfall vs. Yield):</w:t>
      </w:r>
      <w:r w:rsidRPr="00B146D7">
        <w:t xml:space="preserve"> Scatter plots highlight non-linear relationships, optimal rainfall thresholds, and diminishing yield returns.</w:t>
      </w:r>
    </w:p>
    <w:p w14:paraId="78BD625D" w14:textId="77777777" w:rsidR="00B146D7" w:rsidRPr="00B146D7" w:rsidRDefault="00B146D7" w:rsidP="00B146D7">
      <w:pPr>
        <w:numPr>
          <w:ilvl w:val="0"/>
          <w:numId w:val="31"/>
        </w:numPr>
      </w:pPr>
      <w:r w:rsidRPr="00B146D7">
        <w:rPr>
          <w:b/>
          <w:bCs/>
        </w:rPr>
        <w:t>Categorical Donut Charts (Storage Infrastructure):</w:t>
      </w:r>
      <w:r w:rsidRPr="00B146D7">
        <w:t xml:space="preserve"> Segmented charts illustrate capacity allocation across cold storage, silos, and open sheds, highlighting post-harvest vulnerability.</w:t>
      </w:r>
    </w:p>
    <w:p w14:paraId="147375C3" w14:textId="77777777" w:rsidR="00B146D7" w:rsidRPr="00B146D7" w:rsidRDefault="00B146D7" w:rsidP="00B146D7">
      <w:pPr>
        <w:rPr>
          <w:b/>
          <w:bCs/>
        </w:rPr>
      </w:pPr>
      <w:r w:rsidRPr="00B146D7">
        <w:rPr>
          <w:b/>
          <w:bCs/>
        </w:rPr>
        <w:t>4. DASHBOARD STORYBOARD &amp; LAYOUT DESIGN</w:t>
      </w:r>
    </w:p>
    <w:p w14:paraId="2C796394" w14:textId="77777777" w:rsidR="00B146D7" w:rsidRPr="00B146D7" w:rsidRDefault="00B146D7" w:rsidP="00B146D7">
      <w:r w:rsidRPr="00B146D7">
        <w:t xml:space="preserve">The dashboard uses a 2×2 grid layout engineered for quick executive </w:t>
      </w:r>
      <w:proofErr w:type="spellStart"/>
      <w:r w:rsidRPr="00B146D7">
        <w:t>scannability</w:t>
      </w:r>
      <w:proofErr w:type="spellEnd"/>
      <w:r w:rsidRPr="00B146D7">
        <w:t>:</w:t>
      </w:r>
    </w:p>
    <w:p w14:paraId="47EDDEE9" w14:textId="77777777" w:rsidR="00B146D7" w:rsidRPr="00B146D7" w:rsidRDefault="00B146D7" w:rsidP="00B146D7">
      <w:r w:rsidRPr="00B146D7">
        <w:t>+------------------------------------+------------------------------------+</w:t>
      </w:r>
    </w:p>
    <w:p w14:paraId="0B8D68B0" w14:textId="77777777" w:rsidR="00B146D7" w:rsidRPr="00B146D7" w:rsidRDefault="00B146D7" w:rsidP="00B146D7">
      <w:r w:rsidRPr="00B146D7">
        <w:t>| PANEL A: Line Chart                | PANEL B: Box-and-Whisker Plot      |</w:t>
      </w:r>
    </w:p>
    <w:p w14:paraId="4AF5EBD2" w14:textId="77777777" w:rsidR="00B146D7" w:rsidRPr="00B146D7" w:rsidRDefault="00B146D7" w:rsidP="00B146D7">
      <w:r w:rsidRPr="00B146D7">
        <w:t>| Wholesale Mandi Price Trends       | Crop Yield Variance per Hectare    |</w:t>
      </w:r>
    </w:p>
    <w:p w14:paraId="5764C6DB" w14:textId="77777777" w:rsidR="00B146D7" w:rsidRPr="00B146D7" w:rsidRDefault="00B146D7" w:rsidP="00B146D7">
      <w:r w:rsidRPr="00B146D7">
        <w:t xml:space="preserve">| (Paddy vs. Wheat Modal </w:t>
      </w:r>
      <w:proofErr w:type="gramStart"/>
      <w:r w:rsidRPr="00B146D7">
        <w:t xml:space="preserve">Prices)   </w:t>
      </w:r>
      <w:proofErr w:type="gramEnd"/>
      <w:r w:rsidRPr="00B146D7">
        <w:t xml:space="preserve">  | (Median, IQR, Regional </w:t>
      </w:r>
      <w:proofErr w:type="gramStart"/>
      <w:r w:rsidRPr="00B146D7">
        <w:t xml:space="preserve">Outliers)   </w:t>
      </w:r>
      <w:proofErr w:type="gramEnd"/>
      <w:r w:rsidRPr="00B146D7">
        <w:t>|</w:t>
      </w:r>
    </w:p>
    <w:p w14:paraId="502DAB28" w14:textId="77777777" w:rsidR="00B146D7" w:rsidRPr="00B146D7" w:rsidRDefault="00B146D7" w:rsidP="00B146D7">
      <w:r w:rsidRPr="00B146D7">
        <w:t>+------------------------------------+------------------------------------+</w:t>
      </w:r>
    </w:p>
    <w:p w14:paraId="030BF115" w14:textId="77777777" w:rsidR="00B146D7" w:rsidRPr="00B146D7" w:rsidRDefault="00B146D7" w:rsidP="00B146D7">
      <w:r w:rsidRPr="00B146D7">
        <w:lastRenderedPageBreak/>
        <w:t>| PANEL C: Scatter Plot              | PANEL D: Segmented Donut Chart     |</w:t>
      </w:r>
    </w:p>
    <w:p w14:paraId="7C2C540B" w14:textId="77777777" w:rsidR="00B146D7" w:rsidRPr="00B146D7" w:rsidRDefault="00B146D7" w:rsidP="00B146D7">
      <w:r w:rsidRPr="00B146D7">
        <w:t>| Precipitation vs. Realized Yield   | Storage Infrastructure Breakdown   |</w:t>
      </w:r>
    </w:p>
    <w:p w14:paraId="4BA12AA6" w14:textId="77777777" w:rsidR="00B146D7" w:rsidRPr="00B146D7" w:rsidRDefault="00B146D7" w:rsidP="00B146D7">
      <w:r w:rsidRPr="00B146D7">
        <w:t xml:space="preserve">| (Seasonal Rainfall </w:t>
      </w:r>
      <w:proofErr w:type="gramStart"/>
      <w:r w:rsidRPr="00B146D7">
        <w:t xml:space="preserve">Correlation)   </w:t>
      </w:r>
      <w:proofErr w:type="gramEnd"/>
      <w:r w:rsidRPr="00B146D7">
        <w:t xml:space="preserve"> | (Cold Storage, Silos, Open </w:t>
      </w:r>
      <w:proofErr w:type="gramStart"/>
      <w:r w:rsidRPr="00B146D7">
        <w:t>Sheds)  |</w:t>
      </w:r>
      <w:proofErr w:type="gramEnd"/>
    </w:p>
    <w:p w14:paraId="00EE0E6E" w14:textId="77777777" w:rsidR="00B146D7" w:rsidRPr="00B146D7" w:rsidRDefault="00B146D7" w:rsidP="00B146D7">
      <w:r w:rsidRPr="00B146D7">
        <w:t>+------------------------------------+------------------------------------+</w:t>
      </w:r>
    </w:p>
    <w:p w14:paraId="47AC498F" w14:textId="77777777" w:rsidR="00B146D7" w:rsidRPr="00B146D7" w:rsidRDefault="00B146D7" w:rsidP="00B146D7">
      <w:pPr>
        <w:rPr>
          <w:b/>
          <w:bCs/>
        </w:rPr>
      </w:pPr>
      <w:r w:rsidRPr="00B146D7">
        <w:rPr>
          <w:b/>
          <w:bCs/>
        </w:rPr>
        <w:t>5. DESIGN PRINCIPLES &amp; SCALABILITY</w:t>
      </w:r>
    </w:p>
    <w:p w14:paraId="378EC440" w14:textId="77777777" w:rsidR="00B146D7" w:rsidRPr="00B146D7" w:rsidRDefault="00B146D7" w:rsidP="00B146D7">
      <w:pPr>
        <w:numPr>
          <w:ilvl w:val="0"/>
          <w:numId w:val="32"/>
        </w:numPr>
      </w:pPr>
      <w:r w:rsidRPr="00B146D7">
        <w:rPr>
          <w:b/>
          <w:bCs/>
        </w:rPr>
        <w:t>Visual Precision:</w:t>
      </w:r>
      <w:r w:rsidRPr="00B146D7">
        <w:t xml:space="preserve"> Using bar lengths and 2D coordinates instead of 3D effects to prevent distortion of quantitative values.</w:t>
      </w:r>
    </w:p>
    <w:p w14:paraId="7B0B8D42" w14:textId="77777777" w:rsidR="00B146D7" w:rsidRPr="00B146D7" w:rsidRDefault="00B146D7" w:rsidP="00B146D7">
      <w:pPr>
        <w:numPr>
          <w:ilvl w:val="0"/>
          <w:numId w:val="32"/>
        </w:numPr>
      </w:pPr>
      <w:r w:rsidRPr="00B146D7">
        <w:rPr>
          <w:b/>
          <w:bCs/>
        </w:rPr>
        <w:t xml:space="preserve">Consistent Semantic </w:t>
      </w:r>
      <w:proofErr w:type="spellStart"/>
      <w:r w:rsidRPr="00B146D7">
        <w:rPr>
          <w:b/>
          <w:bCs/>
        </w:rPr>
        <w:t>Color</w:t>
      </w:r>
      <w:proofErr w:type="spellEnd"/>
      <w:r w:rsidRPr="00B146D7">
        <w:rPr>
          <w:b/>
          <w:bCs/>
        </w:rPr>
        <w:t xml:space="preserve"> Schemes:</w:t>
      </w:r>
      <w:r w:rsidRPr="00B146D7">
        <w:t xml:space="preserve"> Green palettes represent production and yield metrics; blue palettes indicate water and precipitation; amber/red alerts signal financial stress and spoilage risks.</w:t>
      </w:r>
    </w:p>
    <w:p w14:paraId="05371E28" w14:textId="77777777" w:rsidR="00B146D7" w:rsidRPr="00B146D7" w:rsidRDefault="00B146D7" w:rsidP="00B146D7">
      <w:pPr>
        <w:numPr>
          <w:ilvl w:val="0"/>
          <w:numId w:val="32"/>
        </w:numPr>
      </w:pPr>
      <w:r w:rsidRPr="00B146D7">
        <w:rPr>
          <w:b/>
          <w:bCs/>
        </w:rPr>
        <w:t>Responsive Scaling:</w:t>
      </w:r>
      <w:r w:rsidRPr="00B146D7">
        <w:t xml:space="preserve"> Charts use vector rendering (SVG/high-DPI PNG) to maintain visual clarity across devices.</w:t>
      </w:r>
    </w:p>
    <w:p w14:paraId="2E8C9DB4" w14:textId="77777777" w:rsidR="00B146D7" w:rsidRPr="00B146D7" w:rsidRDefault="00B146D7" w:rsidP="00B146D7">
      <w:pPr>
        <w:rPr>
          <w:b/>
          <w:bCs/>
        </w:rPr>
      </w:pPr>
      <w:r w:rsidRPr="00B146D7">
        <w:rPr>
          <w:b/>
          <w:bCs/>
        </w:rPr>
        <w:t>6. VISUALIZATION CHALLENGES &amp; MITIGATION</w:t>
      </w:r>
    </w:p>
    <w:p w14:paraId="638ACC91" w14:textId="77777777" w:rsidR="00B146D7" w:rsidRPr="00B146D7" w:rsidRDefault="00B146D7" w:rsidP="00B146D7">
      <w:pPr>
        <w:numPr>
          <w:ilvl w:val="0"/>
          <w:numId w:val="33"/>
        </w:numPr>
      </w:pPr>
      <w:r w:rsidRPr="00B146D7">
        <w:rPr>
          <w:i/>
          <w:iCs/>
        </w:rPr>
        <w:t>Challenge:</w:t>
      </w:r>
      <w:r w:rsidRPr="00B146D7">
        <w:t xml:space="preserve"> Large scale differences across metrics (e.g., metric tons vs. kilograms vs. rupee prices) distorting shared axes.</w:t>
      </w:r>
    </w:p>
    <w:p w14:paraId="5ED6D022" w14:textId="77777777" w:rsidR="00B146D7" w:rsidRPr="00B146D7" w:rsidRDefault="00B146D7" w:rsidP="00B146D7">
      <w:r w:rsidRPr="00B146D7">
        <w:rPr>
          <w:i/>
          <w:iCs/>
        </w:rPr>
        <w:t>Mitigation:</w:t>
      </w:r>
      <w:r w:rsidRPr="00B146D7">
        <w:t xml:space="preserve"> Implementing isolated panel facets with normalized independent axes to preserve readability.</w:t>
      </w:r>
    </w:p>
    <w:p w14:paraId="71FB930C" w14:textId="77777777" w:rsidR="00B146D7" w:rsidRPr="00B146D7" w:rsidRDefault="00B146D7" w:rsidP="00B146D7">
      <w:pPr>
        <w:numPr>
          <w:ilvl w:val="0"/>
          <w:numId w:val="33"/>
        </w:numPr>
      </w:pPr>
      <w:r w:rsidRPr="00B146D7">
        <w:rPr>
          <w:i/>
          <w:iCs/>
        </w:rPr>
        <w:t>Challenge:</w:t>
      </w:r>
      <w:r w:rsidRPr="00B146D7">
        <w:t xml:space="preserve"> Visual clutter resulting from dozens of overlapping district records.</w:t>
      </w:r>
    </w:p>
    <w:p w14:paraId="5B45265F" w14:textId="77777777" w:rsidR="00B146D7" w:rsidRPr="00B146D7" w:rsidRDefault="00B146D7" w:rsidP="00B146D7">
      <w:r w:rsidRPr="00B146D7">
        <w:rPr>
          <w:i/>
          <w:iCs/>
        </w:rPr>
        <w:t>Mitigation:</w:t>
      </w:r>
      <w:r w:rsidRPr="00B146D7">
        <w:t xml:space="preserve"> Aggregating district data into state-level quartiles with interactive hover filtering for granular exploration.</w:t>
      </w:r>
    </w:p>
    <w:p w14:paraId="793D1B64" w14:textId="77777777" w:rsidR="002E2759" w:rsidRPr="00332B29" w:rsidRDefault="002E2759" w:rsidP="00332B29"/>
    <w:sectPr w:rsidR="002E2759" w:rsidRPr="00332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0C9"/>
    <w:multiLevelType w:val="multilevel"/>
    <w:tmpl w:val="9DBC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B5994"/>
    <w:multiLevelType w:val="multilevel"/>
    <w:tmpl w:val="B7BA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81865"/>
    <w:multiLevelType w:val="multilevel"/>
    <w:tmpl w:val="401C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A421B"/>
    <w:multiLevelType w:val="multilevel"/>
    <w:tmpl w:val="A324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E3C62"/>
    <w:multiLevelType w:val="multilevel"/>
    <w:tmpl w:val="7D04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A4C2F"/>
    <w:multiLevelType w:val="multilevel"/>
    <w:tmpl w:val="C3FA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F022D"/>
    <w:multiLevelType w:val="multilevel"/>
    <w:tmpl w:val="515C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F0374"/>
    <w:multiLevelType w:val="multilevel"/>
    <w:tmpl w:val="5DC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F2CA4"/>
    <w:multiLevelType w:val="multilevel"/>
    <w:tmpl w:val="7672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242D2"/>
    <w:multiLevelType w:val="multilevel"/>
    <w:tmpl w:val="4DB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A625C"/>
    <w:multiLevelType w:val="multilevel"/>
    <w:tmpl w:val="50E6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9124D"/>
    <w:multiLevelType w:val="multilevel"/>
    <w:tmpl w:val="9888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F4A84"/>
    <w:multiLevelType w:val="multilevel"/>
    <w:tmpl w:val="C50E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23614"/>
    <w:multiLevelType w:val="multilevel"/>
    <w:tmpl w:val="AD52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564EC"/>
    <w:multiLevelType w:val="multilevel"/>
    <w:tmpl w:val="0C68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E1FE5"/>
    <w:multiLevelType w:val="multilevel"/>
    <w:tmpl w:val="945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63FB3"/>
    <w:multiLevelType w:val="multilevel"/>
    <w:tmpl w:val="F9D8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50CB3"/>
    <w:multiLevelType w:val="multilevel"/>
    <w:tmpl w:val="E602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74FA5"/>
    <w:multiLevelType w:val="multilevel"/>
    <w:tmpl w:val="48F0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D3E67"/>
    <w:multiLevelType w:val="multilevel"/>
    <w:tmpl w:val="791C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75985"/>
    <w:multiLevelType w:val="multilevel"/>
    <w:tmpl w:val="38A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3C1F93"/>
    <w:multiLevelType w:val="multilevel"/>
    <w:tmpl w:val="0F1E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A68EC"/>
    <w:multiLevelType w:val="multilevel"/>
    <w:tmpl w:val="CB22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35701"/>
    <w:multiLevelType w:val="multilevel"/>
    <w:tmpl w:val="FC3A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E7F50"/>
    <w:multiLevelType w:val="multilevel"/>
    <w:tmpl w:val="E204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73578"/>
    <w:multiLevelType w:val="multilevel"/>
    <w:tmpl w:val="0CD0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71996"/>
    <w:multiLevelType w:val="multilevel"/>
    <w:tmpl w:val="7FEC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C2E63"/>
    <w:multiLevelType w:val="multilevel"/>
    <w:tmpl w:val="87CE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787FA5"/>
    <w:multiLevelType w:val="multilevel"/>
    <w:tmpl w:val="85B0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2C683B"/>
    <w:multiLevelType w:val="multilevel"/>
    <w:tmpl w:val="BDB8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A3D4A"/>
    <w:multiLevelType w:val="multilevel"/>
    <w:tmpl w:val="DF98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072991"/>
    <w:multiLevelType w:val="multilevel"/>
    <w:tmpl w:val="98E0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A5431C"/>
    <w:multiLevelType w:val="multilevel"/>
    <w:tmpl w:val="8644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163417">
    <w:abstractNumId w:val="14"/>
  </w:num>
  <w:num w:numId="2" w16cid:durableId="1492871003">
    <w:abstractNumId w:val="30"/>
  </w:num>
  <w:num w:numId="3" w16cid:durableId="230971504">
    <w:abstractNumId w:val="25"/>
  </w:num>
  <w:num w:numId="4" w16cid:durableId="1619949431">
    <w:abstractNumId w:val="31"/>
  </w:num>
  <w:num w:numId="5" w16cid:durableId="536698306">
    <w:abstractNumId w:val="27"/>
  </w:num>
  <w:num w:numId="6" w16cid:durableId="1407531971">
    <w:abstractNumId w:val="0"/>
  </w:num>
  <w:num w:numId="7" w16cid:durableId="911278856">
    <w:abstractNumId w:val="26"/>
  </w:num>
  <w:num w:numId="8" w16cid:durableId="451367284">
    <w:abstractNumId w:val="10"/>
  </w:num>
  <w:num w:numId="9" w16cid:durableId="1228882434">
    <w:abstractNumId w:val="19"/>
  </w:num>
  <w:num w:numId="10" w16cid:durableId="944995499">
    <w:abstractNumId w:val="5"/>
  </w:num>
  <w:num w:numId="11" w16cid:durableId="1079323737">
    <w:abstractNumId w:val="2"/>
  </w:num>
  <w:num w:numId="12" w16cid:durableId="1452942563">
    <w:abstractNumId w:val="7"/>
  </w:num>
  <w:num w:numId="13" w16cid:durableId="1972126873">
    <w:abstractNumId w:val="23"/>
  </w:num>
  <w:num w:numId="14" w16cid:durableId="218442666">
    <w:abstractNumId w:val="29"/>
  </w:num>
  <w:num w:numId="15" w16cid:durableId="556942171">
    <w:abstractNumId w:val="22"/>
  </w:num>
  <w:num w:numId="16" w16cid:durableId="874923391">
    <w:abstractNumId w:val="9"/>
  </w:num>
  <w:num w:numId="17" w16cid:durableId="733047127">
    <w:abstractNumId w:val="21"/>
  </w:num>
  <w:num w:numId="18" w16cid:durableId="1389955994">
    <w:abstractNumId w:val="4"/>
  </w:num>
  <w:num w:numId="19" w16cid:durableId="454444479">
    <w:abstractNumId w:val="16"/>
  </w:num>
  <w:num w:numId="20" w16cid:durableId="1394616061">
    <w:abstractNumId w:val="17"/>
  </w:num>
  <w:num w:numId="21" w16cid:durableId="404960427">
    <w:abstractNumId w:val="28"/>
  </w:num>
  <w:num w:numId="22" w16cid:durableId="372313559">
    <w:abstractNumId w:val="18"/>
  </w:num>
  <w:num w:numId="23" w16cid:durableId="97532999">
    <w:abstractNumId w:val="15"/>
  </w:num>
  <w:num w:numId="24" w16cid:durableId="12928296">
    <w:abstractNumId w:val="3"/>
  </w:num>
  <w:num w:numId="25" w16cid:durableId="1549220240">
    <w:abstractNumId w:val="1"/>
  </w:num>
  <w:num w:numId="26" w16cid:durableId="1508710370">
    <w:abstractNumId w:val="6"/>
  </w:num>
  <w:num w:numId="27" w16cid:durableId="833299802">
    <w:abstractNumId w:val="32"/>
  </w:num>
  <w:num w:numId="28" w16cid:durableId="469175867">
    <w:abstractNumId w:val="13"/>
  </w:num>
  <w:num w:numId="29" w16cid:durableId="1343821661">
    <w:abstractNumId w:val="11"/>
  </w:num>
  <w:num w:numId="30" w16cid:durableId="1768190064">
    <w:abstractNumId w:val="20"/>
  </w:num>
  <w:num w:numId="31" w16cid:durableId="577595916">
    <w:abstractNumId w:val="24"/>
  </w:num>
  <w:num w:numId="32" w16cid:durableId="485317585">
    <w:abstractNumId w:val="12"/>
  </w:num>
  <w:num w:numId="33" w16cid:durableId="18774267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05C"/>
    <w:rsid w:val="00110FED"/>
    <w:rsid w:val="002B57FF"/>
    <w:rsid w:val="002E2759"/>
    <w:rsid w:val="00332B29"/>
    <w:rsid w:val="005C1ADD"/>
    <w:rsid w:val="0079670D"/>
    <w:rsid w:val="007A1D35"/>
    <w:rsid w:val="008D205C"/>
    <w:rsid w:val="00B146D7"/>
    <w:rsid w:val="00DA3FE9"/>
    <w:rsid w:val="00DD01B6"/>
    <w:rsid w:val="00EA578C"/>
    <w:rsid w:val="00FB52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CD9B1"/>
  <w15:chartTrackingRefBased/>
  <w15:docId w15:val="{7327258A-C4BA-48CB-A86E-F24013768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0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0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0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0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0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0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0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0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0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0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05C"/>
    <w:rPr>
      <w:rFonts w:eastAsiaTheme="majorEastAsia" w:cstheme="majorBidi"/>
      <w:color w:val="272727" w:themeColor="text1" w:themeTint="D8"/>
    </w:rPr>
  </w:style>
  <w:style w:type="paragraph" w:styleId="Title">
    <w:name w:val="Title"/>
    <w:basedOn w:val="Normal"/>
    <w:next w:val="Normal"/>
    <w:link w:val="TitleChar"/>
    <w:uiPriority w:val="10"/>
    <w:qFormat/>
    <w:rsid w:val="008D2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05C"/>
    <w:pPr>
      <w:spacing w:before="160"/>
      <w:jc w:val="center"/>
    </w:pPr>
    <w:rPr>
      <w:i/>
      <w:iCs/>
      <w:color w:val="404040" w:themeColor="text1" w:themeTint="BF"/>
    </w:rPr>
  </w:style>
  <w:style w:type="character" w:customStyle="1" w:styleId="QuoteChar">
    <w:name w:val="Quote Char"/>
    <w:basedOn w:val="DefaultParagraphFont"/>
    <w:link w:val="Quote"/>
    <w:uiPriority w:val="29"/>
    <w:rsid w:val="008D205C"/>
    <w:rPr>
      <w:i/>
      <w:iCs/>
      <w:color w:val="404040" w:themeColor="text1" w:themeTint="BF"/>
    </w:rPr>
  </w:style>
  <w:style w:type="paragraph" w:styleId="ListParagraph">
    <w:name w:val="List Paragraph"/>
    <w:basedOn w:val="Normal"/>
    <w:uiPriority w:val="34"/>
    <w:qFormat/>
    <w:rsid w:val="008D205C"/>
    <w:pPr>
      <w:ind w:left="720"/>
      <w:contextualSpacing/>
    </w:pPr>
  </w:style>
  <w:style w:type="character" w:styleId="IntenseEmphasis">
    <w:name w:val="Intense Emphasis"/>
    <w:basedOn w:val="DefaultParagraphFont"/>
    <w:uiPriority w:val="21"/>
    <w:qFormat/>
    <w:rsid w:val="008D205C"/>
    <w:rPr>
      <w:i/>
      <w:iCs/>
      <w:color w:val="2F5496" w:themeColor="accent1" w:themeShade="BF"/>
    </w:rPr>
  </w:style>
  <w:style w:type="paragraph" w:styleId="IntenseQuote">
    <w:name w:val="Intense Quote"/>
    <w:basedOn w:val="Normal"/>
    <w:next w:val="Normal"/>
    <w:link w:val="IntenseQuoteChar"/>
    <w:uiPriority w:val="30"/>
    <w:qFormat/>
    <w:rsid w:val="008D20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05C"/>
    <w:rPr>
      <w:i/>
      <w:iCs/>
      <w:color w:val="2F5496" w:themeColor="accent1" w:themeShade="BF"/>
    </w:rPr>
  </w:style>
  <w:style w:type="character" w:styleId="IntenseReference">
    <w:name w:val="Intense Reference"/>
    <w:basedOn w:val="DefaultParagraphFont"/>
    <w:uiPriority w:val="32"/>
    <w:qFormat/>
    <w:rsid w:val="008D20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558</Words>
  <Characters>3186</Characters>
  <Application>Microsoft Office Word</Application>
  <DocSecurity>0</DocSecurity>
  <Lines>26</Lines>
  <Paragraphs>7</Paragraphs>
  <ScaleCrop>false</ScaleCrop>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panjeta</dc:creator>
  <cp:keywords/>
  <dc:description/>
  <cp:lastModifiedBy>jyoti panjeta</cp:lastModifiedBy>
  <cp:revision>2</cp:revision>
  <dcterms:created xsi:type="dcterms:W3CDTF">2026-09-08T06:51:00Z</dcterms:created>
  <dcterms:modified xsi:type="dcterms:W3CDTF">2026-09-08T06:51:00Z</dcterms:modified>
</cp:coreProperties>
</file>