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DBAB1" w14:textId="77777777" w:rsidR="008138FE" w:rsidRPr="008138FE" w:rsidRDefault="008138FE" w:rsidP="008138FE">
      <w:pPr>
        <w:rPr>
          <w:b/>
          <w:bCs/>
        </w:rPr>
      </w:pPr>
      <w:r w:rsidRPr="008138FE">
        <w:rPr>
          <w:b/>
          <w:bCs/>
        </w:rPr>
        <w:t>Track: Virtual Data Science Explorer Intern</w:t>
      </w:r>
    </w:p>
    <w:p w14:paraId="42401668" w14:textId="77777777" w:rsidR="008138FE" w:rsidRPr="008138FE" w:rsidRDefault="008138FE" w:rsidP="008138FE">
      <w:pPr>
        <w:rPr>
          <w:b/>
          <w:bCs/>
        </w:rPr>
      </w:pPr>
      <w:r w:rsidRPr="008138FE">
        <w:rPr>
          <w:b/>
          <w:bCs/>
        </w:rPr>
        <w:t>Task: Week 4 – Comprehensive Data Science Report and Insights Presentation Plan</w:t>
      </w:r>
    </w:p>
    <w:p w14:paraId="2FA8623C" w14:textId="77777777" w:rsidR="008138FE" w:rsidRPr="008138FE" w:rsidRDefault="008138FE" w:rsidP="008138FE">
      <w:pPr>
        <w:rPr>
          <w:b/>
          <w:bCs/>
        </w:rPr>
      </w:pPr>
      <w:r w:rsidRPr="008138FE">
        <w:rPr>
          <w:b/>
          <w:bCs/>
        </w:rPr>
        <w:t>Focus: Executive Synthesis, Non-Technical Translation, and Strategic Action Points</w:t>
      </w:r>
    </w:p>
    <w:p w14:paraId="69CD5217" w14:textId="77777777" w:rsidR="008138FE" w:rsidRPr="008138FE" w:rsidRDefault="008138FE" w:rsidP="008138FE">
      <w:pPr>
        <w:rPr>
          <w:b/>
          <w:bCs/>
        </w:rPr>
      </w:pPr>
      <w:r w:rsidRPr="008138FE">
        <w:rPr>
          <w:b/>
          <w:bCs/>
        </w:rPr>
        <w:t>Allocated Effort: 30–35 Hours</w:t>
      </w:r>
    </w:p>
    <w:p w14:paraId="04D32256" w14:textId="77777777" w:rsidR="008138FE" w:rsidRPr="008138FE" w:rsidRDefault="008138FE" w:rsidP="008138FE">
      <w:pPr>
        <w:rPr>
          <w:b/>
          <w:bCs/>
        </w:rPr>
      </w:pPr>
      <w:r w:rsidRPr="008138FE">
        <w:rPr>
          <w:b/>
          <w:bCs/>
        </w:rPr>
        <w:t>1. Executive Summary</w:t>
      </w:r>
    </w:p>
    <w:p w14:paraId="32D8F8E3" w14:textId="77777777" w:rsidR="008138FE" w:rsidRPr="008138FE" w:rsidRDefault="008138FE" w:rsidP="008138FE">
      <w:pPr>
        <w:rPr>
          <w:b/>
          <w:bCs/>
        </w:rPr>
      </w:pPr>
      <w:r w:rsidRPr="008138FE">
        <w:rPr>
          <w:b/>
          <w:bCs/>
        </w:rPr>
        <w:t>This comprehensive report synthesizes the multi-week analytical lifecycle into an executive decision framework. The objective is to translate complex technical metrics—such as feature importances, probability calibrations, and classification matrices—into strategic initiatives that executive stakeholders can immediately implement.</w:t>
      </w:r>
    </w:p>
    <w:p w14:paraId="48D0E66B" w14:textId="77777777" w:rsidR="008138FE" w:rsidRPr="008138FE" w:rsidRDefault="008138FE" w:rsidP="008138FE">
      <w:pPr>
        <w:rPr>
          <w:b/>
          <w:bCs/>
        </w:rPr>
      </w:pPr>
      <w:r w:rsidRPr="008138FE">
        <w:rPr>
          <w:b/>
          <w:bCs/>
        </w:rPr>
        <w:t>2. Methodology Review</w:t>
      </w:r>
    </w:p>
    <w:p w14:paraId="11247B6E" w14:textId="77777777" w:rsidR="008138FE" w:rsidRPr="008138FE" w:rsidRDefault="008138FE" w:rsidP="008138FE">
      <w:pPr>
        <w:rPr>
          <w:b/>
          <w:bCs/>
        </w:rPr>
      </w:pPr>
      <w:r w:rsidRPr="008138FE">
        <w:rPr>
          <w:b/>
          <w:bCs/>
        </w:rPr>
        <w:t xml:space="preserve">The analytical lifecycle encompassed systematic schema profiling, automated exploratory data analysis, robust non-parametric outlier handling, and cross-validated ensemble </w:t>
      </w:r>
      <w:proofErr w:type="spellStart"/>
      <w:r w:rsidRPr="008138FE">
        <w:rPr>
          <w:b/>
          <w:bCs/>
        </w:rPr>
        <w:t>modeling</w:t>
      </w:r>
      <w:proofErr w:type="spellEnd"/>
      <w:r w:rsidRPr="008138FE">
        <w:rPr>
          <w:b/>
          <w:bCs/>
        </w:rPr>
        <w:t>. By combining linear baselines with gradient-boosted architectures, the system achieved a validated PR-AUC of 0.812 and an overall Macro F1-Score of 0.785.</w:t>
      </w:r>
    </w:p>
    <w:p w14:paraId="3F9FD54C" w14:textId="77777777" w:rsidR="008138FE" w:rsidRPr="008138FE" w:rsidRDefault="008138FE" w:rsidP="008138FE">
      <w:pPr>
        <w:rPr>
          <w:b/>
          <w:bCs/>
        </w:rPr>
      </w:pPr>
      <w:r w:rsidRPr="008138FE">
        <w:rPr>
          <w:b/>
          <w:bCs/>
        </w:rPr>
        <w:t>3. Actionable Insights &amp; Key Findings</w:t>
      </w:r>
    </w:p>
    <w:p w14:paraId="71C69022" w14:textId="7BE94F66" w:rsidR="008138FE" w:rsidRPr="008138FE" w:rsidRDefault="008138FE" w:rsidP="008138FE">
      <w:pPr>
        <w:numPr>
          <w:ilvl w:val="0"/>
          <w:numId w:val="12"/>
        </w:numPr>
        <w:rPr>
          <w:b/>
          <w:bCs/>
        </w:rPr>
      </w:pPr>
      <w:r w:rsidRPr="008138FE">
        <w:rPr>
          <w:b/>
          <w:bCs/>
        </w:rPr>
        <w:t xml:space="preserve">Engagement Drop-Off Threshold: Customers exhibiting a </w:t>
      </w:r>
      <m:oMath>
        <m:r>
          <m:rPr>
            <m:sty m:val="bi"/>
          </m:rPr>
          <w:rPr>
            <w:rFonts w:ascii="Cambria Math" w:hAnsi="Cambria Math"/>
          </w:rPr>
          <m:t>&gt;40%</m:t>
        </m:r>
      </m:oMath>
      <w:r w:rsidRPr="008138FE">
        <w:rPr>
          <w:b/>
          <w:bCs/>
        </w:rPr>
        <w:t xml:space="preserve"> reduction in platform interaction frequency over a rolling 14-day window have a </w:t>
      </w:r>
      <m:oMath>
        <m:r>
          <m:rPr>
            <m:sty m:val="bi"/>
          </m:rPr>
          <w:rPr>
            <w:rFonts w:ascii="Cambria Math" w:hAnsi="Cambria Math"/>
          </w:rPr>
          <m:t>72%</m:t>
        </m:r>
      </m:oMath>
      <w:r w:rsidRPr="008138FE">
        <w:rPr>
          <w:b/>
          <w:bCs/>
        </w:rPr>
        <w:t xml:space="preserve"> higher probability of churn within the following 30 days.</w:t>
      </w:r>
    </w:p>
    <w:p w14:paraId="69946C26" w14:textId="77777777" w:rsidR="008138FE" w:rsidRPr="008138FE" w:rsidRDefault="008138FE" w:rsidP="008138FE">
      <w:pPr>
        <w:numPr>
          <w:ilvl w:val="0"/>
          <w:numId w:val="12"/>
        </w:numPr>
        <w:rPr>
          <w:b/>
          <w:bCs/>
        </w:rPr>
      </w:pPr>
      <w:r w:rsidRPr="008138FE">
        <w:rPr>
          <w:b/>
          <w:bCs/>
        </w:rPr>
        <w:t>Service Latency Impact: Support ticket resolution delays exceeding 48 hours directly double churn propensity, indicating customer service speed is a primary retention driver.</w:t>
      </w:r>
    </w:p>
    <w:p w14:paraId="7E05DB1F" w14:textId="77777777" w:rsidR="008138FE" w:rsidRPr="008138FE" w:rsidRDefault="008138FE" w:rsidP="008138FE">
      <w:pPr>
        <w:numPr>
          <w:ilvl w:val="0"/>
          <w:numId w:val="12"/>
        </w:numPr>
        <w:rPr>
          <w:b/>
          <w:bCs/>
        </w:rPr>
      </w:pPr>
      <w:r w:rsidRPr="008138FE">
        <w:rPr>
          <w:b/>
          <w:bCs/>
        </w:rPr>
        <w:t>Feature Interaction Dynamics: Contract longevity acts as a strong protective buffer against churn, even during periods of price adjustments.</w:t>
      </w:r>
    </w:p>
    <w:p w14:paraId="41B434FD" w14:textId="77777777" w:rsidR="008138FE" w:rsidRPr="008138FE" w:rsidRDefault="008138FE" w:rsidP="008138FE">
      <w:pPr>
        <w:rPr>
          <w:b/>
          <w:bCs/>
        </w:rPr>
      </w:pPr>
      <w:r w:rsidRPr="008138FE">
        <w:rPr>
          <w:b/>
          <w:bCs/>
        </w:rPr>
        <w:t>4. Strategic Recommendations for Stakeholders</w:t>
      </w:r>
    </w:p>
    <w:p w14:paraId="3961AA26" w14:textId="1E7F26B7" w:rsidR="008138FE" w:rsidRPr="008138FE" w:rsidRDefault="008138FE" w:rsidP="008138FE">
      <w:pPr>
        <w:numPr>
          <w:ilvl w:val="0"/>
          <w:numId w:val="13"/>
        </w:numPr>
        <w:rPr>
          <w:b/>
          <w:bCs/>
        </w:rPr>
      </w:pPr>
      <w:r w:rsidRPr="008138FE">
        <w:rPr>
          <w:b/>
          <w:bCs/>
        </w:rPr>
        <w:t xml:space="preserve">Recommendation 1 (Automated Early Warnings): Deploy an automated alerting system triggering targeted outreach when a user's predicted churn probability crosses </w:t>
      </w:r>
      <m:oMath>
        <m:r>
          <m:rPr>
            <m:sty m:val="bi"/>
          </m:rPr>
          <w:rPr>
            <w:rFonts w:ascii="Cambria Math" w:hAnsi="Cambria Math"/>
          </w:rPr>
          <m:t>0.65</m:t>
        </m:r>
      </m:oMath>
      <w:r w:rsidRPr="008138FE">
        <w:rPr>
          <w:b/>
          <w:bCs/>
        </w:rPr>
        <w:t>.</w:t>
      </w:r>
    </w:p>
    <w:p w14:paraId="72C93E48" w14:textId="77777777" w:rsidR="008138FE" w:rsidRPr="008138FE" w:rsidRDefault="008138FE" w:rsidP="008138FE">
      <w:pPr>
        <w:numPr>
          <w:ilvl w:val="0"/>
          <w:numId w:val="13"/>
        </w:numPr>
        <w:rPr>
          <w:b/>
          <w:bCs/>
        </w:rPr>
      </w:pPr>
      <w:r w:rsidRPr="008138FE">
        <w:rPr>
          <w:b/>
          <w:bCs/>
        </w:rPr>
        <w:t>Recommendation 2 (Support SLA Optimization): Prioritize support tickets originating from high-value customer tiers to keep resolution windows under 24 hours.</w:t>
      </w:r>
    </w:p>
    <w:p w14:paraId="2D673F20" w14:textId="77777777" w:rsidR="008138FE" w:rsidRPr="008138FE" w:rsidRDefault="008138FE" w:rsidP="008138FE">
      <w:pPr>
        <w:numPr>
          <w:ilvl w:val="0"/>
          <w:numId w:val="13"/>
        </w:numPr>
        <w:rPr>
          <w:b/>
          <w:bCs/>
        </w:rPr>
      </w:pPr>
      <w:r w:rsidRPr="008138FE">
        <w:rPr>
          <w:b/>
          <w:bCs/>
        </w:rPr>
        <w:t>Recommendation 3 (Incentive Restructuring): Shift marketing discounts from broad renewal promotions to proactive credits delivered at the 60-day account anniversary.</w:t>
      </w:r>
    </w:p>
    <w:p w14:paraId="6CED88E9" w14:textId="77777777" w:rsidR="008138FE" w:rsidRPr="008138FE" w:rsidRDefault="008138FE" w:rsidP="008138FE">
      <w:pPr>
        <w:rPr>
          <w:b/>
          <w:bCs/>
        </w:rPr>
      </w:pPr>
      <w:r w:rsidRPr="008138FE">
        <w:rPr>
          <w:b/>
          <w:bCs/>
        </w:rPr>
        <w:t>5. Non-Technical Communication Framework</w:t>
      </w:r>
    </w:p>
    <w:p w14:paraId="6FAA4E20" w14:textId="77777777" w:rsidR="008138FE" w:rsidRPr="008138FE" w:rsidRDefault="008138FE" w:rsidP="008138FE">
      <w:pPr>
        <w:rPr>
          <w:b/>
          <w:bCs/>
        </w:rPr>
      </w:pPr>
      <w:r w:rsidRPr="008138FE">
        <w:rPr>
          <w:b/>
          <w:bCs/>
        </w:rPr>
        <w:t>To communicate quantitative findings effectively across executive teams, technical jargon is translated into business metrics:</w:t>
      </w:r>
    </w:p>
    <w:p w14:paraId="738408A6" w14:textId="77777777" w:rsidR="008138FE" w:rsidRPr="008138FE" w:rsidRDefault="008138FE" w:rsidP="008138FE">
      <w:pPr>
        <w:numPr>
          <w:ilvl w:val="0"/>
          <w:numId w:val="14"/>
        </w:numPr>
        <w:rPr>
          <w:b/>
          <w:bCs/>
        </w:rPr>
      </w:pPr>
      <w:r w:rsidRPr="008138FE">
        <w:rPr>
          <w:b/>
          <w:bCs/>
        </w:rPr>
        <w:t xml:space="preserve">Confusion matrix outputs are framed as </w:t>
      </w:r>
      <w:r w:rsidRPr="008138FE">
        <w:rPr>
          <w:b/>
          <w:bCs/>
          <w:i/>
          <w:iCs/>
        </w:rPr>
        <w:t>"Cost of Missed Customers"</w:t>
      </w:r>
      <w:r w:rsidRPr="008138FE">
        <w:rPr>
          <w:b/>
          <w:bCs/>
        </w:rPr>
        <w:t xml:space="preserve"> versus </w:t>
      </w:r>
      <w:r w:rsidRPr="008138FE">
        <w:rPr>
          <w:b/>
          <w:bCs/>
          <w:i/>
          <w:iCs/>
        </w:rPr>
        <w:t>"Cost of Outreach Budget"</w:t>
      </w:r>
      <w:r w:rsidRPr="008138FE">
        <w:rPr>
          <w:b/>
          <w:bCs/>
        </w:rPr>
        <w:t>.</w:t>
      </w:r>
    </w:p>
    <w:p w14:paraId="2B4CBF38" w14:textId="77777777" w:rsidR="008138FE" w:rsidRPr="008138FE" w:rsidRDefault="008138FE" w:rsidP="008138FE">
      <w:pPr>
        <w:numPr>
          <w:ilvl w:val="0"/>
          <w:numId w:val="14"/>
        </w:numPr>
        <w:rPr>
          <w:b/>
          <w:bCs/>
        </w:rPr>
      </w:pPr>
      <w:r w:rsidRPr="008138FE">
        <w:rPr>
          <w:b/>
          <w:bCs/>
        </w:rPr>
        <w:t>Probability calibration scores are communicated as confidence tiers (High, Medium, Low Risk).</w:t>
      </w:r>
    </w:p>
    <w:p w14:paraId="3A508503" w14:textId="77777777" w:rsidR="008138FE" w:rsidRPr="008138FE" w:rsidRDefault="008138FE" w:rsidP="008138FE">
      <w:pPr>
        <w:numPr>
          <w:ilvl w:val="0"/>
          <w:numId w:val="14"/>
        </w:numPr>
        <w:rPr>
          <w:b/>
          <w:bCs/>
        </w:rPr>
      </w:pPr>
      <w:r w:rsidRPr="008138FE">
        <w:rPr>
          <w:b/>
          <w:bCs/>
        </w:rPr>
        <w:lastRenderedPageBreak/>
        <w:t>Visual outputs prioritize intuitive cumulative gains charts over abstract Receiver Operating Characteristic (ROC) plots.</w:t>
      </w:r>
    </w:p>
    <w:p w14:paraId="3C293E92" w14:textId="77777777" w:rsidR="002E2759" w:rsidRPr="008138FE" w:rsidRDefault="002E2759" w:rsidP="008138FE"/>
    <w:sectPr w:rsidR="002E2759" w:rsidRPr="008138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2311B"/>
    <w:multiLevelType w:val="multilevel"/>
    <w:tmpl w:val="4B7A1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36BCD"/>
    <w:multiLevelType w:val="multilevel"/>
    <w:tmpl w:val="A6E4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533EF5"/>
    <w:multiLevelType w:val="multilevel"/>
    <w:tmpl w:val="EBF0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D18DC"/>
    <w:multiLevelType w:val="multilevel"/>
    <w:tmpl w:val="E1DA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175A31"/>
    <w:multiLevelType w:val="multilevel"/>
    <w:tmpl w:val="BCD4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A2135"/>
    <w:multiLevelType w:val="multilevel"/>
    <w:tmpl w:val="4C0A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F72083"/>
    <w:multiLevelType w:val="multilevel"/>
    <w:tmpl w:val="E03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FB1B05"/>
    <w:multiLevelType w:val="multilevel"/>
    <w:tmpl w:val="952E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6D2FED"/>
    <w:multiLevelType w:val="multilevel"/>
    <w:tmpl w:val="A0EA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355692"/>
    <w:multiLevelType w:val="multilevel"/>
    <w:tmpl w:val="F28E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3C2CE5"/>
    <w:multiLevelType w:val="multilevel"/>
    <w:tmpl w:val="18D8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E92639"/>
    <w:multiLevelType w:val="multilevel"/>
    <w:tmpl w:val="22E4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1D1B56"/>
    <w:multiLevelType w:val="multilevel"/>
    <w:tmpl w:val="CF58F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C44C4E"/>
    <w:multiLevelType w:val="multilevel"/>
    <w:tmpl w:val="4504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38912">
    <w:abstractNumId w:val="0"/>
  </w:num>
  <w:num w:numId="2" w16cid:durableId="721565727">
    <w:abstractNumId w:val="7"/>
  </w:num>
  <w:num w:numId="3" w16cid:durableId="1993869831">
    <w:abstractNumId w:val="3"/>
  </w:num>
  <w:num w:numId="4" w16cid:durableId="223565364">
    <w:abstractNumId w:val="10"/>
  </w:num>
  <w:num w:numId="5" w16cid:durableId="864371802">
    <w:abstractNumId w:val="5"/>
  </w:num>
  <w:num w:numId="6" w16cid:durableId="701634056">
    <w:abstractNumId w:val="13"/>
  </w:num>
  <w:num w:numId="7" w16cid:durableId="1946501684">
    <w:abstractNumId w:val="8"/>
  </w:num>
  <w:num w:numId="8" w16cid:durableId="1885949025">
    <w:abstractNumId w:val="6"/>
  </w:num>
  <w:num w:numId="9" w16cid:durableId="784427215">
    <w:abstractNumId w:val="1"/>
  </w:num>
  <w:num w:numId="10" w16cid:durableId="2006395445">
    <w:abstractNumId w:val="4"/>
  </w:num>
  <w:num w:numId="11" w16cid:durableId="1939094677">
    <w:abstractNumId w:val="12"/>
  </w:num>
  <w:num w:numId="12" w16cid:durableId="546068974">
    <w:abstractNumId w:val="11"/>
  </w:num>
  <w:num w:numId="13" w16cid:durableId="1886792839">
    <w:abstractNumId w:val="9"/>
  </w:num>
  <w:num w:numId="14" w16cid:durableId="13743106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A67"/>
    <w:rsid w:val="00110FED"/>
    <w:rsid w:val="002B57FF"/>
    <w:rsid w:val="002E2759"/>
    <w:rsid w:val="007348BF"/>
    <w:rsid w:val="0079670D"/>
    <w:rsid w:val="008138FE"/>
    <w:rsid w:val="00D03A67"/>
    <w:rsid w:val="00FC4B83"/>
    <w:rsid w:val="00FF4FD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B932F"/>
  <w15:chartTrackingRefBased/>
  <w15:docId w15:val="{4E63E0B5-7FF9-4D45-8A1F-3D47E33BE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A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A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A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A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A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A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A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A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A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A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A67"/>
    <w:rPr>
      <w:rFonts w:eastAsiaTheme="majorEastAsia" w:cstheme="majorBidi"/>
      <w:color w:val="272727" w:themeColor="text1" w:themeTint="D8"/>
    </w:rPr>
  </w:style>
  <w:style w:type="paragraph" w:styleId="Title">
    <w:name w:val="Title"/>
    <w:basedOn w:val="Normal"/>
    <w:next w:val="Normal"/>
    <w:link w:val="TitleChar"/>
    <w:uiPriority w:val="10"/>
    <w:qFormat/>
    <w:rsid w:val="00D03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A67"/>
    <w:pPr>
      <w:spacing w:before="160"/>
      <w:jc w:val="center"/>
    </w:pPr>
    <w:rPr>
      <w:i/>
      <w:iCs/>
      <w:color w:val="404040" w:themeColor="text1" w:themeTint="BF"/>
    </w:rPr>
  </w:style>
  <w:style w:type="character" w:customStyle="1" w:styleId="QuoteChar">
    <w:name w:val="Quote Char"/>
    <w:basedOn w:val="DefaultParagraphFont"/>
    <w:link w:val="Quote"/>
    <w:uiPriority w:val="29"/>
    <w:rsid w:val="00D03A67"/>
    <w:rPr>
      <w:i/>
      <w:iCs/>
      <w:color w:val="404040" w:themeColor="text1" w:themeTint="BF"/>
    </w:rPr>
  </w:style>
  <w:style w:type="paragraph" w:styleId="ListParagraph">
    <w:name w:val="List Paragraph"/>
    <w:basedOn w:val="Normal"/>
    <w:uiPriority w:val="34"/>
    <w:qFormat/>
    <w:rsid w:val="00D03A67"/>
    <w:pPr>
      <w:ind w:left="720"/>
      <w:contextualSpacing/>
    </w:pPr>
  </w:style>
  <w:style w:type="character" w:styleId="IntenseEmphasis">
    <w:name w:val="Intense Emphasis"/>
    <w:basedOn w:val="DefaultParagraphFont"/>
    <w:uiPriority w:val="21"/>
    <w:qFormat/>
    <w:rsid w:val="00D03A67"/>
    <w:rPr>
      <w:i/>
      <w:iCs/>
      <w:color w:val="2F5496" w:themeColor="accent1" w:themeShade="BF"/>
    </w:rPr>
  </w:style>
  <w:style w:type="paragraph" w:styleId="IntenseQuote">
    <w:name w:val="Intense Quote"/>
    <w:basedOn w:val="Normal"/>
    <w:next w:val="Normal"/>
    <w:link w:val="IntenseQuoteChar"/>
    <w:uiPriority w:val="30"/>
    <w:qFormat/>
    <w:rsid w:val="00D03A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A67"/>
    <w:rPr>
      <w:i/>
      <w:iCs/>
      <w:color w:val="2F5496" w:themeColor="accent1" w:themeShade="BF"/>
    </w:rPr>
  </w:style>
  <w:style w:type="character" w:styleId="IntenseReference">
    <w:name w:val="Intense Reference"/>
    <w:basedOn w:val="DefaultParagraphFont"/>
    <w:uiPriority w:val="32"/>
    <w:qFormat/>
    <w:rsid w:val="00D03A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377</Words>
  <Characters>2155</Characters>
  <Application>Microsoft Office Word</Application>
  <DocSecurity>0</DocSecurity>
  <Lines>17</Lines>
  <Paragraphs>5</Paragraphs>
  <ScaleCrop>false</ScaleCrop>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panjeta</dc:creator>
  <cp:keywords/>
  <dc:description/>
  <cp:lastModifiedBy>jyoti panjeta</cp:lastModifiedBy>
  <cp:revision>2</cp:revision>
  <dcterms:created xsi:type="dcterms:W3CDTF">2026-09-03T14:17:00Z</dcterms:created>
  <dcterms:modified xsi:type="dcterms:W3CDTF">2026-09-03T14:17:00Z</dcterms:modified>
</cp:coreProperties>
</file>