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9E28F" w14:textId="77777777" w:rsidR="00EE47F2" w:rsidRPr="00EE47F2" w:rsidRDefault="00EE47F2" w:rsidP="00EE47F2">
      <w:pPr>
        <w:rPr>
          <w:b/>
          <w:bCs/>
        </w:rPr>
      </w:pPr>
      <w:r w:rsidRPr="00EE47F2">
        <w:rPr>
          <w:b/>
          <w:bCs/>
        </w:rPr>
        <w:t>Track: Virtual Data Science with R Apprentice</w:t>
      </w:r>
    </w:p>
    <w:p w14:paraId="55357352" w14:textId="77777777" w:rsidR="00EE47F2" w:rsidRPr="00EE47F2" w:rsidRDefault="00EE47F2" w:rsidP="00EE47F2">
      <w:pPr>
        <w:rPr>
          <w:b/>
          <w:bCs/>
        </w:rPr>
      </w:pPr>
      <w:r w:rsidRPr="00EE47F2">
        <w:rPr>
          <w:b/>
          <w:bCs/>
        </w:rPr>
        <w:t>Task: Week 5 – Reporting, Insights, and Presentation</w:t>
      </w:r>
    </w:p>
    <w:p w14:paraId="7E95F5DD" w14:textId="77777777" w:rsidR="00EE47F2" w:rsidRPr="00EE47F2" w:rsidRDefault="00EE47F2" w:rsidP="00EE47F2">
      <w:pPr>
        <w:rPr>
          <w:b/>
          <w:bCs/>
        </w:rPr>
      </w:pPr>
      <w:r w:rsidRPr="00EE47F2">
        <w:rPr>
          <w:b/>
          <w:bCs/>
        </w:rPr>
        <w:t>Focus: Capstone Synthesis, Strategic Recommendations, and Reflection</w:t>
      </w:r>
    </w:p>
    <w:p w14:paraId="5A0620C3" w14:textId="77777777" w:rsidR="00EE47F2" w:rsidRPr="00EE47F2" w:rsidRDefault="00EE47F2" w:rsidP="00EE47F2">
      <w:pPr>
        <w:rPr>
          <w:b/>
          <w:bCs/>
        </w:rPr>
      </w:pPr>
      <w:r w:rsidRPr="00EE47F2">
        <w:rPr>
          <w:b/>
          <w:bCs/>
        </w:rPr>
        <w:t>Allocated Effort: 30–35 Hours</w:t>
      </w:r>
    </w:p>
    <w:p w14:paraId="3823ADE2" w14:textId="77777777" w:rsidR="00EE47F2" w:rsidRPr="00EE47F2" w:rsidRDefault="00EE47F2" w:rsidP="00EE47F2">
      <w:pPr>
        <w:rPr>
          <w:b/>
          <w:bCs/>
        </w:rPr>
      </w:pPr>
      <w:r w:rsidRPr="00EE47F2">
        <w:rPr>
          <w:b/>
          <w:bCs/>
        </w:rPr>
        <w:t>1. Executive Summary</w:t>
      </w:r>
    </w:p>
    <w:p w14:paraId="4BD29729" w14:textId="77777777" w:rsidR="00EE47F2" w:rsidRPr="00EE47F2" w:rsidRDefault="00EE47F2" w:rsidP="00EE47F2">
      <w:pPr>
        <w:rPr>
          <w:b/>
          <w:bCs/>
        </w:rPr>
      </w:pPr>
      <w:r w:rsidRPr="00EE47F2">
        <w:rPr>
          <w:b/>
          <w:bCs/>
        </w:rPr>
        <w:t xml:space="preserve">This capstone report consolidates the complete analytical lifecycle in R, covering data wrangling, exploratory data analysis, and machine learning </w:t>
      </w:r>
      <w:proofErr w:type="spellStart"/>
      <w:r w:rsidRPr="00EE47F2">
        <w:rPr>
          <w:b/>
          <w:bCs/>
        </w:rPr>
        <w:t>modeling</w:t>
      </w:r>
      <w:proofErr w:type="spellEnd"/>
      <w:r w:rsidRPr="00EE47F2">
        <w:rPr>
          <w:b/>
          <w:bCs/>
        </w:rPr>
        <w:t>. The framework achieves 77.4% accuracy (ROC-AUC: 0.841) in forecasting directional wholesale commodity prices, translating quantitative findings into operational strategies for agribusiness stakeholders.</w:t>
      </w:r>
    </w:p>
    <w:p w14:paraId="68FDD47D" w14:textId="77777777" w:rsidR="00EE47F2" w:rsidRPr="00EE47F2" w:rsidRDefault="00EE47F2" w:rsidP="00EE47F2">
      <w:pPr>
        <w:rPr>
          <w:b/>
          <w:bCs/>
        </w:rPr>
      </w:pPr>
      <w:r w:rsidRPr="00EE47F2">
        <w:rPr>
          <w:b/>
          <w:bCs/>
        </w:rPr>
        <w:t>2. Core Empirical Insights</w:t>
      </w:r>
    </w:p>
    <w:p w14:paraId="6CCD9C05" w14:textId="77777777" w:rsidR="00EE47F2" w:rsidRPr="00EE47F2" w:rsidRDefault="00EE47F2" w:rsidP="00EE47F2">
      <w:pPr>
        <w:numPr>
          <w:ilvl w:val="0"/>
          <w:numId w:val="27"/>
        </w:numPr>
        <w:rPr>
          <w:b/>
          <w:bCs/>
        </w:rPr>
      </w:pPr>
      <w:r w:rsidRPr="00EE47F2">
        <w:rPr>
          <w:b/>
          <w:bCs/>
        </w:rPr>
        <w:t xml:space="preserve">Supply Saturation Point: Generalized Additive </w:t>
      </w:r>
      <w:proofErr w:type="spellStart"/>
      <w:r w:rsidRPr="00EE47F2">
        <w:rPr>
          <w:b/>
          <w:bCs/>
        </w:rPr>
        <w:t>Modeling</w:t>
      </w:r>
      <w:proofErr w:type="spellEnd"/>
      <w:r w:rsidRPr="00EE47F2">
        <w:rPr>
          <w:b/>
          <w:bCs/>
        </w:rPr>
        <w:t xml:space="preserve"> (GAM) confirms that when daily market arrivals cross 200 metric tonnes, modal prices drop by 18% to 32%, highlighting market vulnerability during peak harvest windows.</w:t>
      </w:r>
    </w:p>
    <w:p w14:paraId="26E75923" w14:textId="5FDF908E" w:rsidR="00EE47F2" w:rsidRPr="00EE47F2" w:rsidRDefault="00EE47F2" w:rsidP="00EE47F2">
      <w:pPr>
        <w:numPr>
          <w:ilvl w:val="0"/>
          <w:numId w:val="27"/>
        </w:numPr>
        <w:rPr>
          <w:b/>
          <w:bCs/>
        </w:rPr>
      </w:pPr>
      <w:r w:rsidRPr="00EE47F2">
        <w:rPr>
          <w:b/>
          <w:bCs/>
        </w:rPr>
        <w:t>Commodity Group Variance: Cereals exhibit narrow price spreads due to government Minimum Support Price (MSP) floors, whereas horticulture crops show wide interquartile spreads (</w:t>
      </w:r>
      <m:oMath>
        <m:r>
          <m:rPr>
            <m:nor/>
          </m:rPr>
          <w:rPr>
            <w:b/>
            <w:bCs/>
          </w:rPr>
          <m:t>IQR</m:t>
        </m:r>
        <m:r>
          <m:rPr>
            <m:sty m:val="bi"/>
          </m:rPr>
          <w:rPr>
            <w:rFonts w:ascii="Cambria Math" w:hAnsi="Cambria Math"/>
          </w:rPr>
          <m:t>&gt;₹1,350/</m:t>
        </m:r>
        <m:r>
          <m:rPr>
            <m:nor/>
          </m:rPr>
          <w:rPr>
            <w:b/>
            <w:bCs/>
          </w:rPr>
          <m:t>Quintal</m:t>
        </m:r>
      </m:oMath>
      <w:r w:rsidRPr="00EE47F2">
        <w:rPr>
          <w:b/>
          <w:bCs/>
        </w:rPr>
        <w:t>).</w:t>
      </w:r>
    </w:p>
    <w:p w14:paraId="14536E28" w14:textId="77777777" w:rsidR="00EE47F2" w:rsidRPr="00EE47F2" w:rsidRDefault="00EE47F2" w:rsidP="00EE47F2">
      <w:pPr>
        <w:rPr>
          <w:b/>
          <w:bCs/>
        </w:rPr>
      </w:pPr>
      <w:r w:rsidRPr="00EE47F2">
        <w:rPr>
          <w:b/>
          <w:bCs/>
        </w:rPr>
        <w:t>3. Strategic Action Pillars</w:t>
      </w:r>
    </w:p>
    <w:p w14:paraId="5FB5B139" w14:textId="77777777" w:rsidR="00EE47F2" w:rsidRPr="00EE47F2" w:rsidRDefault="00EE47F2" w:rsidP="00EE47F2">
      <w:pPr>
        <w:numPr>
          <w:ilvl w:val="0"/>
          <w:numId w:val="28"/>
        </w:numPr>
        <w:rPr>
          <w:b/>
          <w:bCs/>
        </w:rPr>
      </w:pPr>
      <w:r w:rsidRPr="00EE47F2">
        <w:rPr>
          <w:b/>
          <w:bCs/>
        </w:rPr>
        <w:t>Dynamic Inventory Buffering: Agribusiness aggregators should automate procurement when arrival indicators predict supply gluts, lowering procurement costs by 10% to 15%.</w:t>
      </w:r>
    </w:p>
    <w:p w14:paraId="585CB67D" w14:textId="77777777" w:rsidR="00EE47F2" w:rsidRPr="00EE47F2" w:rsidRDefault="00EE47F2" w:rsidP="00EE47F2">
      <w:pPr>
        <w:numPr>
          <w:ilvl w:val="0"/>
          <w:numId w:val="28"/>
        </w:numPr>
        <w:rPr>
          <w:b/>
          <w:bCs/>
        </w:rPr>
      </w:pPr>
      <w:r w:rsidRPr="00EE47F2">
        <w:rPr>
          <w:b/>
          <w:bCs/>
        </w:rPr>
        <w:t>Cold-Chain Infrastructure Prioritization: Direct capital investments toward Mandis with intra-day price spreads above 30% to curb perishable spoilage.</w:t>
      </w:r>
    </w:p>
    <w:p w14:paraId="77D1D0FE" w14:textId="77777777" w:rsidR="00EE47F2" w:rsidRPr="00EE47F2" w:rsidRDefault="00EE47F2" w:rsidP="00EE47F2">
      <w:pPr>
        <w:numPr>
          <w:ilvl w:val="0"/>
          <w:numId w:val="28"/>
        </w:numPr>
        <w:rPr>
          <w:b/>
          <w:bCs/>
        </w:rPr>
      </w:pPr>
      <w:r w:rsidRPr="00EE47F2">
        <w:rPr>
          <w:b/>
          <w:bCs/>
        </w:rPr>
        <w:t>Real-Time Producer Advisories: Deliver 48-hour forward price movement forecasts directly to farmers via mobile SMS, helping them avoid distress selling during supply gluts.</w:t>
      </w:r>
    </w:p>
    <w:p w14:paraId="474B9C94" w14:textId="77777777" w:rsidR="00EE47F2" w:rsidRPr="00EE47F2" w:rsidRDefault="00EE47F2" w:rsidP="00EE47F2">
      <w:pPr>
        <w:rPr>
          <w:b/>
          <w:bCs/>
        </w:rPr>
      </w:pPr>
      <w:r w:rsidRPr="00EE47F2">
        <w:rPr>
          <w:b/>
          <w:bCs/>
        </w:rPr>
        <w:t>4. Technical Reflection &amp; Future Roadmap</w:t>
      </w:r>
    </w:p>
    <w:p w14:paraId="3AC2C0CB" w14:textId="77777777" w:rsidR="00EE47F2" w:rsidRPr="00EE47F2" w:rsidRDefault="00EE47F2" w:rsidP="00EE47F2">
      <w:pPr>
        <w:numPr>
          <w:ilvl w:val="0"/>
          <w:numId w:val="29"/>
        </w:numPr>
        <w:rPr>
          <w:b/>
          <w:bCs/>
        </w:rPr>
      </w:pPr>
      <w:r w:rsidRPr="00EE47F2">
        <w:rPr>
          <w:b/>
          <w:bCs/>
        </w:rPr>
        <w:t>Challenges Encountered: Trading gaps due to market closures required localized conditional imputation rather than global mean substitution.</w:t>
      </w:r>
    </w:p>
    <w:p w14:paraId="5C6AFC38" w14:textId="77777777" w:rsidR="00EE47F2" w:rsidRPr="00EE47F2" w:rsidRDefault="00EE47F2" w:rsidP="00EE47F2">
      <w:pPr>
        <w:numPr>
          <w:ilvl w:val="0"/>
          <w:numId w:val="29"/>
        </w:numPr>
        <w:rPr>
          <w:b/>
          <w:bCs/>
        </w:rPr>
      </w:pPr>
      <w:r w:rsidRPr="00EE47F2">
        <w:rPr>
          <w:b/>
          <w:bCs/>
        </w:rPr>
        <w:t>Future Work: Integrate satellite vegetation indices (NDVI) and rainfall feeds into R via spatial packages (sf, terra) to forecast crop yields ahead of Mandi arrivals.</w:t>
      </w:r>
    </w:p>
    <w:p w14:paraId="3C293E92" w14:textId="77777777" w:rsidR="002E2759" w:rsidRPr="00EE47F2" w:rsidRDefault="002E2759" w:rsidP="00EE47F2"/>
    <w:sectPr w:rsidR="002E2759" w:rsidRPr="00EE47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4B9A"/>
    <w:multiLevelType w:val="multilevel"/>
    <w:tmpl w:val="1C60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75C4A"/>
    <w:multiLevelType w:val="multilevel"/>
    <w:tmpl w:val="7D44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15AFD"/>
    <w:multiLevelType w:val="multilevel"/>
    <w:tmpl w:val="A792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43CE7"/>
    <w:multiLevelType w:val="multilevel"/>
    <w:tmpl w:val="3FF6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2311B"/>
    <w:multiLevelType w:val="multilevel"/>
    <w:tmpl w:val="4B7A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70502"/>
    <w:multiLevelType w:val="multilevel"/>
    <w:tmpl w:val="8A78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36BCD"/>
    <w:multiLevelType w:val="multilevel"/>
    <w:tmpl w:val="A6E4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796D60"/>
    <w:multiLevelType w:val="multilevel"/>
    <w:tmpl w:val="A542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81DC5"/>
    <w:multiLevelType w:val="multilevel"/>
    <w:tmpl w:val="98DC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533EF5"/>
    <w:multiLevelType w:val="multilevel"/>
    <w:tmpl w:val="EBF0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DD18DC"/>
    <w:multiLevelType w:val="multilevel"/>
    <w:tmpl w:val="E1DA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C74FF9"/>
    <w:multiLevelType w:val="multilevel"/>
    <w:tmpl w:val="B92C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1C544F"/>
    <w:multiLevelType w:val="multilevel"/>
    <w:tmpl w:val="3748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75A31"/>
    <w:multiLevelType w:val="multilevel"/>
    <w:tmpl w:val="BCD4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FA2135"/>
    <w:multiLevelType w:val="multilevel"/>
    <w:tmpl w:val="4C0A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F72083"/>
    <w:multiLevelType w:val="multilevel"/>
    <w:tmpl w:val="E030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B1B05"/>
    <w:multiLevelType w:val="multilevel"/>
    <w:tmpl w:val="952E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6D2FED"/>
    <w:multiLevelType w:val="multilevel"/>
    <w:tmpl w:val="A0EA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FA2DCE"/>
    <w:multiLevelType w:val="multilevel"/>
    <w:tmpl w:val="02EE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355692"/>
    <w:multiLevelType w:val="multilevel"/>
    <w:tmpl w:val="F28E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3C2CE5"/>
    <w:multiLevelType w:val="multilevel"/>
    <w:tmpl w:val="18D8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ED4E68"/>
    <w:multiLevelType w:val="multilevel"/>
    <w:tmpl w:val="5B30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E92639"/>
    <w:multiLevelType w:val="multilevel"/>
    <w:tmpl w:val="22E4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772822"/>
    <w:multiLevelType w:val="multilevel"/>
    <w:tmpl w:val="94C8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205282"/>
    <w:multiLevelType w:val="multilevel"/>
    <w:tmpl w:val="F4FC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2F1ADA"/>
    <w:multiLevelType w:val="multilevel"/>
    <w:tmpl w:val="B17A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587DDC"/>
    <w:multiLevelType w:val="multilevel"/>
    <w:tmpl w:val="6794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1D1B56"/>
    <w:multiLevelType w:val="multilevel"/>
    <w:tmpl w:val="CF58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C44C4E"/>
    <w:multiLevelType w:val="multilevel"/>
    <w:tmpl w:val="4504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38912">
    <w:abstractNumId w:val="4"/>
  </w:num>
  <w:num w:numId="2" w16cid:durableId="721565727">
    <w:abstractNumId w:val="16"/>
  </w:num>
  <w:num w:numId="3" w16cid:durableId="1993869831">
    <w:abstractNumId w:val="10"/>
  </w:num>
  <w:num w:numId="4" w16cid:durableId="223565364">
    <w:abstractNumId w:val="20"/>
  </w:num>
  <w:num w:numId="5" w16cid:durableId="864371802">
    <w:abstractNumId w:val="14"/>
  </w:num>
  <w:num w:numId="6" w16cid:durableId="701634056">
    <w:abstractNumId w:val="28"/>
  </w:num>
  <w:num w:numId="7" w16cid:durableId="1946501684">
    <w:abstractNumId w:val="17"/>
  </w:num>
  <w:num w:numId="8" w16cid:durableId="1885949025">
    <w:abstractNumId w:val="15"/>
  </w:num>
  <w:num w:numId="9" w16cid:durableId="784427215">
    <w:abstractNumId w:val="6"/>
  </w:num>
  <w:num w:numId="10" w16cid:durableId="2006395445">
    <w:abstractNumId w:val="13"/>
  </w:num>
  <w:num w:numId="11" w16cid:durableId="1939094677">
    <w:abstractNumId w:val="27"/>
  </w:num>
  <w:num w:numId="12" w16cid:durableId="546068974">
    <w:abstractNumId w:val="22"/>
  </w:num>
  <w:num w:numId="13" w16cid:durableId="1886792839">
    <w:abstractNumId w:val="19"/>
  </w:num>
  <w:num w:numId="14" w16cid:durableId="1374310611">
    <w:abstractNumId w:val="9"/>
  </w:num>
  <w:num w:numId="15" w16cid:durableId="625547512">
    <w:abstractNumId w:val="25"/>
  </w:num>
  <w:num w:numId="16" w16cid:durableId="1375497595">
    <w:abstractNumId w:val="7"/>
  </w:num>
  <w:num w:numId="17" w16cid:durableId="795560984">
    <w:abstractNumId w:val="11"/>
  </w:num>
  <w:num w:numId="18" w16cid:durableId="47651130">
    <w:abstractNumId w:val="1"/>
  </w:num>
  <w:num w:numId="19" w16cid:durableId="2062046973">
    <w:abstractNumId w:val="21"/>
  </w:num>
  <w:num w:numId="20" w16cid:durableId="610672371">
    <w:abstractNumId w:val="18"/>
  </w:num>
  <w:num w:numId="21" w16cid:durableId="1982223989">
    <w:abstractNumId w:val="12"/>
  </w:num>
  <w:num w:numId="22" w16cid:durableId="1223374039">
    <w:abstractNumId w:val="2"/>
  </w:num>
  <w:num w:numId="23" w16cid:durableId="1854413681">
    <w:abstractNumId w:val="24"/>
  </w:num>
  <w:num w:numId="24" w16cid:durableId="1602645793">
    <w:abstractNumId w:val="23"/>
  </w:num>
  <w:num w:numId="25" w16cid:durableId="400713862">
    <w:abstractNumId w:val="0"/>
  </w:num>
  <w:num w:numId="26" w16cid:durableId="1134953518">
    <w:abstractNumId w:val="5"/>
  </w:num>
  <w:num w:numId="27" w16cid:durableId="1890343134">
    <w:abstractNumId w:val="26"/>
  </w:num>
  <w:num w:numId="28" w16cid:durableId="141580151">
    <w:abstractNumId w:val="3"/>
  </w:num>
  <w:num w:numId="29" w16cid:durableId="14232579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A67"/>
    <w:rsid w:val="000C70B6"/>
    <w:rsid w:val="00110FED"/>
    <w:rsid w:val="002B57FF"/>
    <w:rsid w:val="002E2759"/>
    <w:rsid w:val="00402D11"/>
    <w:rsid w:val="005141DF"/>
    <w:rsid w:val="007348BF"/>
    <w:rsid w:val="0079670D"/>
    <w:rsid w:val="008138FE"/>
    <w:rsid w:val="008C6C42"/>
    <w:rsid w:val="00D03A67"/>
    <w:rsid w:val="00EE47F2"/>
    <w:rsid w:val="00FC4B83"/>
    <w:rsid w:val="00FF4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B932F"/>
  <w15:chartTrackingRefBased/>
  <w15:docId w15:val="{4E63E0B5-7FF9-4D45-8A1F-3D47E33BE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A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A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A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A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A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A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A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A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A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A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A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panjeta</dc:creator>
  <cp:keywords/>
  <dc:description/>
  <cp:lastModifiedBy>jyoti panjeta</cp:lastModifiedBy>
  <cp:revision>2</cp:revision>
  <dcterms:created xsi:type="dcterms:W3CDTF">2026-09-03T14:28:00Z</dcterms:created>
  <dcterms:modified xsi:type="dcterms:W3CDTF">2026-09-03T14:28:00Z</dcterms:modified>
</cp:coreProperties>
</file>