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6773E" w:rsidRDefault="00000000">
      <w:pPr>
        <w:spacing w:after="80"/>
        <w:jc w:val="center"/>
      </w:pPr>
      <w:r>
        <w:rPr>
          <w:b/>
          <w:bCs/>
          <w:sz w:val="28"/>
          <w:szCs w:val="28"/>
        </w:rPr>
        <w:t>LAPORAN PENELITIAN</w:t>
      </w:r>
    </w:p>
    <w:p w:rsidR="0056773E" w:rsidRDefault="0056773E">
      <w:pPr>
        <w:spacing w:after="80"/>
      </w:pPr>
    </w:p>
    <w:p w:rsidR="0056773E" w:rsidRDefault="00000000">
      <w:pPr>
        <w:spacing w:after="80"/>
        <w:jc w:val="center"/>
      </w:pPr>
      <w:r>
        <w:rPr>
          <w:b/>
          <w:bCs/>
          <w:sz w:val="24"/>
          <w:szCs w:val="24"/>
        </w:rPr>
        <w:t>Analisis Penerapan Algoritma Random Forest dalam</w:t>
      </w:r>
    </w:p>
    <w:p w:rsidR="0056773E" w:rsidRDefault="00000000">
      <w:pPr>
        <w:spacing w:after="80"/>
        <w:jc w:val="center"/>
      </w:pPr>
      <w:r>
        <w:rPr>
          <w:b/>
          <w:bCs/>
          <w:sz w:val="24"/>
          <w:szCs w:val="24"/>
        </w:rPr>
        <w:t>Meningkatkan Akurasi Deteksi Intrusi pada Jaringan Komputer</w:t>
      </w:r>
    </w:p>
    <w:p w:rsidR="0056773E" w:rsidRDefault="0056773E">
      <w:pPr>
        <w:spacing w:after="80"/>
      </w:pPr>
    </w:p>
    <w:p w:rsidR="0056773E" w:rsidRDefault="0056773E">
      <w:pPr>
        <w:spacing w:after="80"/>
      </w:pPr>
    </w:p>
    <w:p w:rsidR="0056773E" w:rsidRDefault="00000000">
      <w:pPr>
        <w:spacing w:after="80"/>
        <w:jc w:val="center"/>
      </w:pPr>
      <w:r>
        <w:rPr>
          <w:sz w:val="24"/>
          <w:szCs w:val="24"/>
        </w:rPr>
        <w:t>Panji Kurniawan</w:t>
      </w:r>
    </w:p>
    <w:p w:rsidR="0056773E" w:rsidRDefault="00000000">
      <w:pPr>
        <w:spacing w:after="80"/>
        <w:jc w:val="center"/>
      </w:pPr>
      <w:r>
        <w:rPr>
          <w:sz w:val="24"/>
          <w:szCs w:val="24"/>
        </w:rPr>
        <w:t>NIM 240202904</w:t>
      </w:r>
    </w:p>
    <w:p w:rsidR="0056773E" w:rsidRDefault="00000000">
      <w:pPr>
        <w:spacing w:after="80"/>
        <w:jc w:val="center"/>
      </w:pPr>
      <w:r>
        <w:rPr>
          <w:sz w:val="24"/>
          <w:szCs w:val="24"/>
        </w:rPr>
        <w:t>Teknik Informatika — Universitas Putra Bangsa Kebumen</w:t>
      </w:r>
    </w:p>
    <w:p w:rsidR="0056773E" w:rsidRDefault="00000000">
      <w:pPr>
        <w:spacing w:after="80"/>
        <w:jc w:val="center"/>
      </w:pPr>
      <w:r>
        <w:rPr>
          <w:sz w:val="24"/>
          <w:szCs w:val="24"/>
        </w:rPr>
        <w:t>Kelas 4IKKA</w:t>
      </w:r>
    </w:p>
    <w:p w:rsidR="0056773E" w:rsidRDefault="0056773E">
      <w:pPr>
        <w:spacing w:after="80"/>
      </w:pPr>
    </w:p>
    <w:p w:rsidR="0056773E" w:rsidRDefault="00000000">
      <w:pPr>
        <w:spacing w:after="80"/>
        <w:jc w:val="center"/>
      </w:pPr>
      <w:r>
        <w:rPr>
          <w:sz w:val="24"/>
          <w:szCs w:val="24"/>
        </w:rPr>
        <w:t>Platform: Google Colab (Python 3.11, CPU Runtime)</w:t>
      </w:r>
    </w:p>
    <w:p w:rsidR="0056773E" w:rsidRDefault="00000000">
      <w:pPr>
        <w:spacing w:after="80"/>
        <w:jc w:val="center"/>
      </w:pPr>
      <w:r>
        <w:rPr>
          <w:sz w:val="24"/>
          <w:szCs w:val="24"/>
        </w:rPr>
        <w:t>Dataset: NSL-KDD (KDDTrain+ &amp; KDDTest+)</w:t>
      </w:r>
    </w:p>
    <w:p w:rsidR="0056773E" w:rsidRDefault="0056773E">
      <w:pPr>
        <w:spacing w:after="80"/>
      </w:pPr>
    </w:p>
    <w:p w:rsidR="0056773E" w:rsidRDefault="0056773E">
      <w:pPr>
        <w:spacing w:after="80"/>
      </w:pPr>
    </w:p>
    <w:p w:rsidR="0056773E" w:rsidRDefault="00000000">
      <w:pPr>
        <w:spacing w:after="80"/>
        <w:jc w:val="center"/>
      </w:pPr>
      <w:r>
        <w:rPr>
          <w:sz w:val="24"/>
          <w:szCs w:val="24"/>
        </w:rPr>
        <w:t>Status: Selesai — seluruh tahap eksperimen dan analisis statistik telah dikerjakan</w:t>
      </w:r>
    </w:p>
    <w:p w:rsidR="0056773E" w:rsidRDefault="00000000">
      <w:r>
        <w:br w:type="page"/>
      </w:r>
    </w:p>
    <w:p w:rsidR="0056773E" w:rsidRDefault="00000000">
      <w:pPr>
        <w:pStyle w:val="Heading1"/>
        <w:spacing w:before="280" w:after="140"/>
      </w:pPr>
      <w:r>
        <w:rPr>
          <w:b/>
          <w:bCs/>
          <w:sz w:val="28"/>
          <w:szCs w:val="28"/>
        </w:rPr>
        <w:lastRenderedPageBreak/>
        <w:t>1. Ringkasan Eksekutif</w:t>
      </w:r>
    </w:p>
    <w:p w:rsidR="0056773E" w:rsidRDefault="00000000">
      <w:pPr>
        <w:spacing w:after="120"/>
        <w:jc w:val="both"/>
      </w:pPr>
      <w:r>
        <w:rPr>
          <w:sz w:val="24"/>
          <w:szCs w:val="24"/>
        </w:rPr>
        <w:t>Penelitian ini membandingkan performa tiga algoritma machine learning — Decision Tree dan Support Vector Machine (SVM) sebagai kondisi baseline (kondisi A), serta Random Forest sebagai kondisi intervensi (kondisi B) — dalam mendeteksi intrusi jaringan komputer menggunakan dataset NSL-KDD (110.082 record setelah preprocessing, split 70:30).</w:t>
      </w:r>
    </w:p>
    <w:p w:rsidR="0056773E" w:rsidRDefault="00000000">
      <w:pPr>
        <w:spacing w:after="120"/>
        <w:jc w:val="both"/>
      </w:pPr>
      <w:r>
        <w:rPr>
          <w:sz w:val="24"/>
          <w:szCs w:val="24"/>
        </w:rPr>
        <w:t>Temuan utama:</w:t>
      </w:r>
    </w:p>
    <w:p w:rsidR="0056773E" w:rsidRDefault="00000000">
      <w:pPr>
        <w:spacing w:after="120"/>
        <w:jc w:val="both"/>
      </w:pPr>
      <w:r>
        <w:rPr>
          <w:sz w:val="24"/>
          <w:szCs w:val="24"/>
        </w:rPr>
        <w:t xml:space="preserve">(1) Random Forest menghasilkan performa terbaik di </w:t>
      </w:r>
      <w:r w:rsidR="0011303A">
        <w:rPr>
          <w:sz w:val="24"/>
          <w:szCs w:val="24"/>
        </w:rPr>
        <w:t>5</w:t>
      </w:r>
      <w:r>
        <w:rPr>
          <w:sz w:val="24"/>
          <w:szCs w:val="24"/>
        </w:rPr>
        <w:t xml:space="preserve"> dari 5 metrik evaluasi: accuracy 99,61%, recall 99,56%, F1-Score 99,55%, AUC 0,9997.</w:t>
      </w:r>
    </w:p>
    <w:p w:rsidR="0056773E" w:rsidRDefault="00000000">
      <w:pPr>
        <w:spacing w:after="120"/>
        <w:jc w:val="both"/>
      </w:pPr>
      <w:r>
        <w:rPr>
          <w:sz w:val="24"/>
          <w:szCs w:val="24"/>
        </w:rPr>
        <w:t>(2) Perbedaan antar model terbukti signifikan secara statistik melalui dua uji independen: Friedman test (χ²=17,897, p=0,00013) dan Repeated-Measures ANOVA (F=156,49, p&lt;0,0001), dengan effect size besar (Kendall's W=0,895).</w:t>
      </w:r>
    </w:p>
    <w:p w:rsidR="0056773E" w:rsidRDefault="00000000">
      <w:pPr>
        <w:spacing w:after="120"/>
        <w:jc w:val="both"/>
      </w:pPr>
      <w:r>
        <w:rPr>
          <w:sz w:val="24"/>
          <w:szCs w:val="24"/>
        </w:rPr>
        <w:t>(3) Post-hoc Wilcoxon (Bonferroni-corrected) menunjukkan bahwa ketiga pasangan model berbeda signifikan, termasuk RF vs DT (p=0,00781, d=1,163) meskipun selisih akurasi absolutnya kecil (0,08 poin).</w:t>
      </w:r>
    </w:p>
    <w:p w:rsidR="0056773E" w:rsidRDefault="00000000">
      <w:pPr>
        <w:spacing w:after="120"/>
        <w:jc w:val="both"/>
      </w:pPr>
      <w:r>
        <w:rPr>
          <w:sz w:val="24"/>
          <w:szCs w:val="24"/>
        </w:rPr>
        <w:t>(4) SVM menunjukkan performa terendah (accuracy 99,09%, std ±0,30%) dengan waktu komputasi tertinggi (46 detik), menjadikannya pilihan paling tidak efisien untuk kasus ini.</w:t>
      </w:r>
    </w:p>
    <w:p w:rsidR="0056773E" w:rsidRDefault="00000000">
      <w:pPr>
        <w:spacing w:after="120"/>
        <w:jc w:val="both"/>
      </w:pPr>
      <w:r>
        <w:rPr>
          <w:sz w:val="24"/>
          <w:szCs w:val="24"/>
        </w:rPr>
        <w:t>(5) H1 diterima: Random Forest (kondisi B) secara statistik signifikan lebih baik dari Decision Tree dan SVM (kondisi A) dalam mendeteksi intrusi jaringan komputer pada dataset NSL-KDD.</w:t>
      </w:r>
    </w:p>
    <w:p w:rsidR="0056773E" w:rsidRDefault="00000000">
      <w:r>
        <w:br w:type="page"/>
      </w:r>
    </w:p>
    <w:p w:rsidR="0056773E" w:rsidRDefault="00000000">
      <w:pPr>
        <w:pStyle w:val="Heading1"/>
        <w:spacing w:before="280" w:after="140"/>
      </w:pPr>
      <w:r>
        <w:rPr>
          <w:b/>
          <w:bCs/>
          <w:sz w:val="28"/>
          <w:szCs w:val="28"/>
        </w:rPr>
        <w:lastRenderedPageBreak/>
        <w:t>2. Latar Belakang dan Rumusan Masalah</w:t>
      </w:r>
    </w:p>
    <w:p w:rsidR="0056773E" w:rsidRDefault="00000000">
      <w:pPr>
        <w:pStyle w:val="Heading2"/>
        <w:spacing w:before="200" w:after="100"/>
      </w:pPr>
      <w:r>
        <w:rPr>
          <w:b/>
          <w:bCs/>
          <w:sz w:val="24"/>
          <w:szCs w:val="24"/>
        </w:rPr>
        <w:t>2.1 Latar Belakang</w:t>
      </w:r>
    </w:p>
    <w:p w:rsidR="0056773E" w:rsidRDefault="00000000">
      <w:pPr>
        <w:spacing w:after="120"/>
        <w:jc w:val="both"/>
      </w:pPr>
      <w:r>
        <w:rPr>
          <w:sz w:val="24"/>
          <w:szCs w:val="24"/>
        </w:rPr>
        <w:t>Di era digital saat ini, jaringan komputer memainkan peran vital dalam hampir setiap aspek kehidupan, mulai dari bisnis, pendidikan, hingga pemerintahan. Seiring meningkatnya kompleksitas infrastruktur jaringan, ancaman terhadap keamanan siber juga meningkat secara signifikan. Serangan seperti Distributed Denial of Service (DDoS), malware, dan intrusi jaringan dapat menyebabkan kerugian besar baik secara finansial maupun reputasi.</w:t>
      </w:r>
    </w:p>
    <w:p w:rsidR="0056773E" w:rsidRDefault="00000000">
      <w:pPr>
        <w:spacing w:after="120"/>
        <w:jc w:val="both"/>
      </w:pPr>
      <w:r>
        <w:rPr>
          <w:sz w:val="24"/>
          <w:szCs w:val="24"/>
        </w:rPr>
        <w:t>Sistem deteksi intrusi (IDS) tradisional yang berbasis aturan (rule-based) memiliki keterbatasan dalam mendeteksi serangan baru atau variasi serangan yang belum pernah terjadi sebelumnya. Machine learning menawarkan solusi yang lebih adaptif — algoritma seperti Decision Tree, Random Forest, dan SVM telah banyak digunakan dalam penelitian IDS dan terbukti efektif (Sari et al., 2024; Singh et al., 2021).</w:t>
      </w:r>
    </w:p>
    <w:p w:rsidR="0056773E" w:rsidRDefault="00000000">
      <w:pPr>
        <w:pStyle w:val="Heading2"/>
        <w:spacing w:before="200" w:after="100"/>
      </w:pPr>
      <w:r>
        <w:rPr>
          <w:b/>
          <w:bCs/>
          <w:sz w:val="24"/>
          <w:szCs w:val="24"/>
        </w:rPr>
        <w:t>2.2 Rumusan Masalah</w:t>
      </w:r>
    </w:p>
    <w:p w:rsidR="0056773E" w:rsidRDefault="00000000">
      <w:pPr>
        <w:spacing w:after="120"/>
        <w:jc w:val="both"/>
      </w:pPr>
      <w:r>
        <w:rPr>
          <w:sz w:val="24"/>
          <w:szCs w:val="24"/>
        </w:rPr>
        <w:t>Rumusan masalah dalam penelitian ini adalah bagaimana tingkat efektivitas algoritma Random Forest dalam mendeteksi intrusi jaringan komputer dibandingkan algoritma Decision Tree dan Support Vector Machine (SVM).</w:t>
      </w:r>
    </w:p>
    <w:p w:rsidR="0056773E" w:rsidRDefault="00000000">
      <w:pPr>
        <w:pStyle w:val="Heading2"/>
        <w:spacing w:before="200" w:after="100"/>
      </w:pPr>
      <w:r>
        <w:rPr>
          <w:b/>
          <w:bCs/>
          <w:sz w:val="24"/>
          <w:szCs w:val="24"/>
        </w:rPr>
        <w:t>2.3 Hipotesis</w:t>
      </w:r>
    </w:p>
    <w:p w:rsidR="0056773E" w:rsidRDefault="00000000">
      <w:pPr>
        <w:spacing w:after="120"/>
        <w:jc w:val="both"/>
      </w:pPr>
      <w:r>
        <w:rPr>
          <w:sz w:val="24"/>
          <w:szCs w:val="24"/>
        </w:rPr>
        <w:t>H1: Algoritma Random Forest (kondisi B) menghasilkan nilai akurasi, presisi, recall, F1-score, dan AUC yang secara signifikan lebih tinggi dibandingkan Decision Tree dan SVM (kondisi A) dalam mendeteksi intrusi pada jaringan komputer menggunakan dataset NSL-KDD.</w:t>
      </w:r>
    </w:p>
    <w:p w:rsidR="0056773E" w:rsidRDefault="00000000">
      <w:pPr>
        <w:spacing w:after="120"/>
        <w:jc w:val="both"/>
      </w:pPr>
      <w:r>
        <w:rPr>
          <w:sz w:val="24"/>
          <w:szCs w:val="24"/>
        </w:rPr>
        <w:t>H0: Tidak terdapat perbedaan performa yang signifikan antara ketiga algoritma tersebut.</w:t>
      </w:r>
    </w:p>
    <w:p w:rsidR="0056773E" w:rsidRDefault="00000000">
      <w:r>
        <w:br w:type="page"/>
      </w:r>
    </w:p>
    <w:p w:rsidR="0056773E" w:rsidRDefault="00000000">
      <w:pPr>
        <w:pStyle w:val="Heading1"/>
        <w:spacing w:before="280" w:after="140"/>
      </w:pPr>
      <w:r>
        <w:rPr>
          <w:b/>
          <w:bCs/>
          <w:sz w:val="28"/>
          <w:szCs w:val="28"/>
        </w:rPr>
        <w:lastRenderedPageBreak/>
        <w:t>3. Metodologi dan Pelaksanaan</w:t>
      </w:r>
    </w:p>
    <w:p w:rsidR="0056773E" w:rsidRDefault="00000000">
      <w:pPr>
        <w:pStyle w:val="Heading2"/>
        <w:spacing w:before="200" w:after="100"/>
      </w:pPr>
      <w:r>
        <w:rPr>
          <w:b/>
          <w:bCs/>
          <w:sz w:val="24"/>
          <w:szCs w:val="24"/>
        </w:rPr>
        <w:t>3.1 Preprocessing Data</w:t>
      </w:r>
    </w:p>
    <w:p w:rsidR="0056773E" w:rsidRDefault="00000000">
      <w:pPr>
        <w:spacing w:after="120"/>
        <w:jc w:val="both"/>
      </w:pPr>
      <w:r>
        <w:rPr>
          <w:sz w:val="24"/>
          <w:szCs w:val="24"/>
        </w:rPr>
        <w:t>Dataset NSL-KDD digabung (KDDTrain+: 125.973 + KDDTest+: 22.544 = 148.517 record total) lalu diproses melalui pipeline berikut: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000"/>
      </w:tblGrid>
      <w:tr w:rsidR="0056773E">
        <w:tblPrEx>
          <w:tblCellMar>
            <w:top w:w="0" w:type="dxa"/>
            <w:bottom w:w="0" w:type="dxa"/>
          </w:tblCellMar>
        </w:tblPrEx>
        <w:tc>
          <w:tcPr>
            <w:tcW w:w="2800" w:type="dxa"/>
            <w:shd w:val="clear" w:color="auto" w:fill="2D75B6"/>
            <w:vAlign w:val="center"/>
          </w:tcPr>
          <w:p w:rsidR="0056773E" w:rsidRDefault="00000000">
            <w:pPr>
              <w:spacing w:before="60" w:after="60"/>
            </w:pPr>
            <w:r>
              <w:rPr>
                <w:b/>
                <w:bCs/>
                <w:color w:val="FFFFFF"/>
              </w:rPr>
              <w:t>Langkah</w:t>
            </w:r>
          </w:p>
        </w:tc>
        <w:tc>
          <w:tcPr>
            <w:tcW w:w="3200" w:type="dxa"/>
            <w:shd w:val="clear" w:color="auto" w:fill="2D75B6"/>
            <w:vAlign w:val="center"/>
          </w:tcPr>
          <w:p w:rsidR="0056773E" w:rsidRDefault="00000000">
            <w:pPr>
              <w:spacing w:before="60" w:after="60"/>
            </w:pPr>
            <w:r>
              <w:rPr>
                <w:b/>
                <w:bCs/>
                <w:color w:val="FFFFFF"/>
              </w:rPr>
              <w:t>Tindakan</w:t>
            </w:r>
          </w:p>
        </w:tc>
        <w:tc>
          <w:tcPr>
            <w:tcW w:w="3000" w:type="dxa"/>
            <w:shd w:val="clear" w:color="auto" w:fill="2D75B6"/>
            <w:vAlign w:val="center"/>
          </w:tcPr>
          <w:p w:rsidR="0056773E" w:rsidRDefault="00000000">
            <w:pPr>
              <w:spacing w:before="60" w:after="60"/>
            </w:pPr>
            <w:r>
              <w:rPr>
                <w:b/>
                <w:bCs/>
                <w:color w:val="FFFFFF"/>
              </w:rPr>
              <w:t>Hasil</w:t>
            </w:r>
          </w:p>
        </w:tc>
      </w:tr>
      <w:tr w:rsidR="0056773E">
        <w:tblPrEx>
          <w:tblCellMar>
            <w:top w:w="0" w:type="dxa"/>
            <w:bottom w:w="0" w:type="dxa"/>
          </w:tblCellMar>
        </w:tblPrEx>
        <w:tc>
          <w:tcPr>
            <w:tcW w:w="2800" w:type="dxa"/>
            <w:vAlign w:val="center"/>
          </w:tcPr>
          <w:p w:rsidR="0056773E" w:rsidRDefault="00000000">
            <w:pPr>
              <w:spacing w:before="60" w:after="60"/>
            </w:pPr>
            <w:r>
              <w:rPr>
                <w:color w:val="000000"/>
              </w:rPr>
              <w:t>Cek missing value</w:t>
            </w:r>
          </w:p>
        </w:tc>
        <w:tc>
          <w:tcPr>
            <w:tcW w:w="3200" w:type="dxa"/>
            <w:vAlign w:val="center"/>
          </w:tcPr>
          <w:p w:rsidR="0056773E" w:rsidRDefault="00000000">
            <w:pPr>
              <w:spacing w:before="60" w:after="60"/>
            </w:pPr>
            <w:r>
              <w:rPr>
                <w:color w:val="000000"/>
              </w:rPr>
              <w:t>Tidak ada tindakan</w:t>
            </w:r>
          </w:p>
        </w:tc>
        <w:tc>
          <w:tcPr>
            <w:tcW w:w="3000" w:type="dxa"/>
            <w:vAlign w:val="center"/>
          </w:tcPr>
          <w:p w:rsidR="0056773E" w:rsidRDefault="00000000">
            <w:pPr>
              <w:spacing w:before="60" w:after="60"/>
            </w:pPr>
            <w:r>
              <w:rPr>
                <w:color w:val="000000"/>
              </w:rPr>
              <w:t>0 missing value</w:t>
            </w:r>
          </w:p>
        </w:tc>
      </w:tr>
      <w:tr w:rsidR="0056773E">
        <w:tblPrEx>
          <w:tblCellMar>
            <w:top w:w="0" w:type="dxa"/>
            <w:bottom w:w="0" w:type="dxa"/>
          </w:tblCellMar>
        </w:tblPrEx>
        <w:tc>
          <w:tcPr>
            <w:tcW w:w="2800" w:type="dxa"/>
            <w:vAlign w:val="center"/>
          </w:tcPr>
          <w:p w:rsidR="0056773E" w:rsidRDefault="00000000">
            <w:pPr>
              <w:spacing w:before="60" w:after="60"/>
            </w:pPr>
            <w:r>
              <w:rPr>
                <w:color w:val="000000"/>
              </w:rPr>
              <w:t>Hapus duplikat</w:t>
            </w:r>
          </w:p>
        </w:tc>
        <w:tc>
          <w:tcPr>
            <w:tcW w:w="3200" w:type="dxa"/>
            <w:vAlign w:val="center"/>
          </w:tcPr>
          <w:p w:rsidR="0056773E" w:rsidRDefault="00000000">
            <w:pPr>
              <w:spacing w:before="60" w:after="60"/>
            </w:pPr>
            <w:r>
              <w:rPr>
                <w:color w:val="000000"/>
              </w:rPr>
              <w:t>drop_duplicates()</w:t>
            </w:r>
          </w:p>
        </w:tc>
        <w:tc>
          <w:tcPr>
            <w:tcW w:w="3000" w:type="dxa"/>
            <w:vAlign w:val="center"/>
          </w:tcPr>
          <w:p w:rsidR="0056773E" w:rsidRDefault="00000000">
            <w:pPr>
              <w:spacing w:before="60" w:after="60"/>
            </w:pPr>
            <w:r>
              <w:rPr>
                <w:color w:val="000000"/>
              </w:rPr>
              <w:t>610 baris dihapus → 147.907 record</w:t>
            </w:r>
          </w:p>
        </w:tc>
      </w:tr>
      <w:tr w:rsidR="0056773E">
        <w:tblPrEx>
          <w:tblCellMar>
            <w:top w:w="0" w:type="dxa"/>
            <w:bottom w:w="0" w:type="dxa"/>
          </w:tblCellMar>
        </w:tblPrEx>
        <w:tc>
          <w:tcPr>
            <w:tcW w:w="2800" w:type="dxa"/>
            <w:vAlign w:val="center"/>
          </w:tcPr>
          <w:p w:rsidR="0056773E" w:rsidRDefault="00000000">
            <w:pPr>
              <w:spacing w:before="60" w:after="60"/>
            </w:pPr>
            <w:r>
              <w:rPr>
                <w:color w:val="000000"/>
              </w:rPr>
              <w:t>Hapus outlier IQR</w:t>
            </w:r>
          </w:p>
        </w:tc>
        <w:tc>
          <w:tcPr>
            <w:tcW w:w="3200" w:type="dxa"/>
            <w:vAlign w:val="center"/>
          </w:tcPr>
          <w:p w:rsidR="0056773E" w:rsidRDefault="00000000">
            <w:pPr>
              <w:spacing w:before="60" w:after="60"/>
            </w:pPr>
            <w:r>
              <w:rPr>
                <w:color w:val="000000"/>
              </w:rPr>
              <w:t>IQR × 3 pada duration, src_bytes, dst_bytes</w:t>
            </w:r>
          </w:p>
        </w:tc>
        <w:tc>
          <w:tcPr>
            <w:tcW w:w="3000" w:type="dxa"/>
            <w:vAlign w:val="center"/>
          </w:tcPr>
          <w:p w:rsidR="0056773E" w:rsidRDefault="00000000">
            <w:pPr>
              <w:spacing w:before="60" w:after="60"/>
            </w:pPr>
            <w:r>
              <w:rPr>
                <w:color w:val="000000"/>
              </w:rPr>
              <w:t>37.825 baris dihapus → 110.082 record</w:t>
            </w:r>
          </w:p>
        </w:tc>
      </w:tr>
      <w:tr w:rsidR="0056773E">
        <w:tblPrEx>
          <w:tblCellMar>
            <w:top w:w="0" w:type="dxa"/>
            <w:bottom w:w="0" w:type="dxa"/>
          </w:tblCellMar>
        </w:tblPrEx>
        <w:tc>
          <w:tcPr>
            <w:tcW w:w="2800" w:type="dxa"/>
            <w:vAlign w:val="center"/>
          </w:tcPr>
          <w:p w:rsidR="0056773E" w:rsidRDefault="00000000">
            <w:pPr>
              <w:spacing w:before="60" w:after="60"/>
            </w:pPr>
            <w:r>
              <w:rPr>
                <w:color w:val="000000"/>
              </w:rPr>
              <w:t>Label encoding</w:t>
            </w:r>
          </w:p>
        </w:tc>
        <w:tc>
          <w:tcPr>
            <w:tcW w:w="3200" w:type="dxa"/>
            <w:vAlign w:val="center"/>
          </w:tcPr>
          <w:p w:rsidR="0056773E" w:rsidRDefault="00000000">
            <w:pPr>
              <w:spacing w:before="60" w:after="60"/>
            </w:pPr>
            <w:r>
              <w:rPr>
                <w:color w:val="000000"/>
              </w:rPr>
              <w:t>attack→0, normal→1 (LabelEncoder)</w:t>
            </w:r>
          </w:p>
        </w:tc>
        <w:tc>
          <w:tcPr>
            <w:tcW w:w="3000" w:type="dxa"/>
            <w:vAlign w:val="center"/>
          </w:tcPr>
          <w:p w:rsidR="0056773E" w:rsidRDefault="00000000">
            <w:pPr>
              <w:spacing w:before="60" w:after="60"/>
            </w:pPr>
            <w:r>
              <w:rPr>
                <w:color w:val="000000"/>
              </w:rPr>
              <w:t>Label biner</w:t>
            </w:r>
          </w:p>
        </w:tc>
      </w:tr>
      <w:tr w:rsidR="0056773E">
        <w:tblPrEx>
          <w:tblCellMar>
            <w:top w:w="0" w:type="dxa"/>
            <w:bottom w:w="0" w:type="dxa"/>
          </w:tblCellMar>
        </w:tblPrEx>
        <w:tc>
          <w:tcPr>
            <w:tcW w:w="2800" w:type="dxa"/>
            <w:vAlign w:val="center"/>
          </w:tcPr>
          <w:p w:rsidR="0056773E" w:rsidRDefault="00000000">
            <w:pPr>
              <w:spacing w:before="60" w:after="60"/>
            </w:pPr>
            <w:r>
              <w:rPr>
                <w:color w:val="000000"/>
              </w:rPr>
              <w:t>One-hot encoding</w:t>
            </w:r>
          </w:p>
        </w:tc>
        <w:tc>
          <w:tcPr>
            <w:tcW w:w="3200" w:type="dxa"/>
            <w:vAlign w:val="center"/>
          </w:tcPr>
          <w:p w:rsidR="0056773E" w:rsidRDefault="00000000">
            <w:pPr>
              <w:spacing w:before="60" w:after="60"/>
            </w:pPr>
            <w:r>
              <w:rPr>
                <w:color w:val="000000"/>
              </w:rPr>
              <w:t>protocol_type, service, flag (get_dummies)</w:t>
            </w:r>
          </w:p>
        </w:tc>
        <w:tc>
          <w:tcPr>
            <w:tcW w:w="3000" w:type="dxa"/>
            <w:vAlign w:val="center"/>
          </w:tcPr>
          <w:p w:rsidR="0056773E" w:rsidRDefault="00000000">
            <w:pPr>
              <w:spacing w:before="60" w:after="60"/>
            </w:pPr>
            <w:r>
              <w:rPr>
                <w:color w:val="000000"/>
              </w:rPr>
              <w:t>41 → 122 fitur</w:t>
            </w:r>
          </w:p>
        </w:tc>
      </w:tr>
      <w:tr w:rsidR="0056773E">
        <w:tblPrEx>
          <w:tblCellMar>
            <w:top w:w="0" w:type="dxa"/>
            <w:bottom w:w="0" w:type="dxa"/>
          </w:tblCellMar>
        </w:tblPrEx>
        <w:tc>
          <w:tcPr>
            <w:tcW w:w="2800" w:type="dxa"/>
            <w:vAlign w:val="center"/>
          </w:tcPr>
          <w:p w:rsidR="0056773E" w:rsidRDefault="00000000">
            <w:pPr>
              <w:spacing w:before="60" w:after="60"/>
            </w:pPr>
            <w:r>
              <w:rPr>
                <w:color w:val="000000"/>
              </w:rPr>
              <w:t>Train-test split</w:t>
            </w:r>
          </w:p>
        </w:tc>
        <w:tc>
          <w:tcPr>
            <w:tcW w:w="3200" w:type="dxa"/>
            <w:vAlign w:val="center"/>
          </w:tcPr>
          <w:p w:rsidR="0056773E" w:rsidRDefault="00000000">
            <w:pPr>
              <w:spacing w:before="60" w:after="60"/>
            </w:pPr>
            <w:r>
              <w:rPr>
                <w:color w:val="000000"/>
              </w:rPr>
              <w:t>70:30, stratify=y, random_state=42</w:t>
            </w:r>
          </w:p>
        </w:tc>
        <w:tc>
          <w:tcPr>
            <w:tcW w:w="3000" w:type="dxa"/>
            <w:vAlign w:val="center"/>
          </w:tcPr>
          <w:p w:rsidR="0056773E" w:rsidRDefault="00000000">
            <w:pPr>
              <w:spacing w:before="60" w:after="60"/>
            </w:pPr>
            <w:r>
              <w:rPr>
                <w:color w:val="000000"/>
              </w:rPr>
              <w:t>Training: 77.057 / Testing: 33.025</w:t>
            </w:r>
          </w:p>
        </w:tc>
      </w:tr>
      <w:tr w:rsidR="0056773E">
        <w:tblPrEx>
          <w:tblCellMar>
            <w:top w:w="0" w:type="dxa"/>
            <w:bottom w:w="0" w:type="dxa"/>
          </w:tblCellMar>
        </w:tblPrEx>
        <w:tc>
          <w:tcPr>
            <w:tcW w:w="2800" w:type="dxa"/>
            <w:vAlign w:val="center"/>
          </w:tcPr>
          <w:p w:rsidR="0056773E" w:rsidRDefault="00000000">
            <w:pPr>
              <w:spacing w:before="60" w:after="60"/>
            </w:pPr>
            <w:r>
              <w:rPr>
                <w:color w:val="000000"/>
              </w:rPr>
              <w:t>Normalisasi</w:t>
            </w:r>
          </w:p>
        </w:tc>
        <w:tc>
          <w:tcPr>
            <w:tcW w:w="3200" w:type="dxa"/>
            <w:vAlign w:val="center"/>
          </w:tcPr>
          <w:p w:rsidR="0056773E" w:rsidRDefault="00000000">
            <w:pPr>
              <w:spacing w:before="60" w:after="60"/>
            </w:pPr>
            <w:r>
              <w:rPr>
                <w:color w:val="000000"/>
              </w:rPr>
              <w:t>MinMaxScaler, fit pada training saja</w:t>
            </w:r>
          </w:p>
        </w:tc>
        <w:tc>
          <w:tcPr>
            <w:tcW w:w="3000" w:type="dxa"/>
            <w:vAlign w:val="center"/>
          </w:tcPr>
          <w:p w:rsidR="0056773E" w:rsidRDefault="00000000">
            <w:pPr>
              <w:spacing w:before="60" w:after="60"/>
            </w:pPr>
            <w:r>
              <w:rPr>
                <w:color w:val="000000"/>
              </w:rPr>
              <w:t>Seluruh fitur → [0, 1]</w:t>
            </w:r>
          </w:p>
        </w:tc>
      </w:tr>
    </w:tbl>
    <w:p w:rsidR="0056773E" w:rsidRDefault="00000000">
      <w:pPr>
        <w:spacing w:before="60" w:after="200"/>
        <w:jc w:val="center"/>
      </w:pPr>
      <w:r>
        <w:rPr>
          <w:i/>
          <w:iCs/>
        </w:rPr>
        <w:t>Tabel 1. Pipeline Preprocessing Data</w:t>
      </w:r>
    </w:p>
    <w:p w:rsidR="0056773E" w:rsidRDefault="00000000">
      <w:pPr>
        <w:pStyle w:val="Heading2"/>
        <w:spacing w:before="200" w:after="100"/>
      </w:pPr>
      <w:r>
        <w:rPr>
          <w:b/>
          <w:bCs/>
          <w:sz w:val="24"/>
          <w:szCs w:val="24"/>
        </w:rPr>
        <w:t>3.2 Hyperparameter Tuning (GridSearchCV)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2300"/>
        <w:gridCol w:w="1500"/>
      </w:tblGrid>
      <w:tr w:rsidR="0056773E">
        <w:tblPrEx>
          <w:tblCellMar>
            <w:top w:w="0" w:type="dxa"/>
            <w:bottom w:w="0" w:type="dxa"/>
          </w:tblCellMar>
        </w:tblPrEx>
        <w:tc>
          <w:tcPr>
            <w:tcW w:w="2200" w:type="dxa"/>
            <w:shd w:val="clear" w:color="auto" w:fill="2D75B6"/>
            <w:vAlign w:val="center"/>
          </w:tcPr>
          <w:p w:rsidR="0056773E" w:rsidRDefault="00000000">
            <w:pPr>
              <w:spacing w:before="60" w:after="60"/>
            </w:pPr>
            <w:r>
              <w:rPr>
                <w:b/>
                <w:bCs/>
                <w:color w:val="FFFFFF"/>
              </w:rPr>
              <w:t>Model</w:t>
            </w:r>
          </w:p>
        </w:tc>
        <w:tc>
          <w:tcPr>
            <w:tcW w:w="3000" w:type="dxa"/>
            <w:shd w:val="clear" w:color="auto" w:fill="2D75B6"/>
            <w:vAlign w:val="center"/>
          </w:tcPr>
          <w:p w:rsidR="0056773E" w:rsidRDefault="00000000">
            <w:pPr>
              <w:spacing w:before="60" w:after="60"/>
            </w:pPr>
            <w:r>
              <w:rPr>
                <w:b/>
                <w:bCs/>
                <w:color w:val="FFFFFF"/>
              </w:rPr>
              <w:t>Parameter Grid</w:t>
            </w:r>
          </w:p>
        </w:tc>
        <w:tc>
          <w:tcPr>
            <w:tcW w:w="2300" w:type="dxa"/>
            <w:shd w:val="clear" w:color="auto" w:fill="2D75B6"/>
            <w:vAlign w:val="center"/>
          </w:tcPr>
          <w:p w:rsidR="0056773E" w:rsidRDefault="00000000">
            <w:pPr>
              <w:spacing w:before="60" w:after="60"/>
            </w:pPr>
            <w:r>
              <w:rPr>
                <w:b/>
                <w:bCs/>
                <w:color w:val="FFFFFF"/>
              </w:rPr>
              <w:t>Parameter Terbaik</w:t>
            </w:r>
          </w:p>
        </w:tc>
        <w:tc>
          <w:tcPr>
            <w:tcW w:w="1500" w:type="dxa"/>
            <w:shd w:val="clear" w:color="auto" w:fill="2D75B6"/>
            <w:vAlign w:val="center"/>
          </w:tcPr>
          <w:p w:rsidR="0056773E" w:rsidRDefault="00000000">
            <w:pPr>
              <w:spacing w:before="60" w:after="60"/>
              <w:jc w:val="center"/>
            </w:pPr>
            <w:r>
              <w:rPr>
                <w:b/>
                <w:bCs/>
                <w:color w:val="FFFFFF"/>
              </w:rPr>
              <w:t>Waktu</w:t>
            </w:r>
          </w:p>
        </w:tc>
      </w:tr>
      <w:tr w:rsidR="0056773E">
        <w:tblPrEx>
          <w:tblCellMar>
            <w:top w:w="0" w:type="dxa"/>
            <w:bottom w:w="0" w:type="dxa"/>
          </w:tblCellMar>
        </w:tblPrEx>
        <w:tc>
          <w:tcPr>
            <w:tcW w:w="2200" w:type="dxa"/>
            <w:vAlign w:val="center"/>
          </w:tcPr>
          <w:p w:rsidR="0056773E" w:rsidRDefault="00000000">
            <w:pPr>
              <w:spacing w:before="60" w:after="60"/>
            </w:pPr>
            <w:r>
              <w:rPr>
                <w:color w:val="000000"/>
              </w:rPr>
              <w:t>Decision Tree</w:t>
            </w:r>
          </w:p>
        </w:tc>
        <w:tc>
          <w:tcPr>
            <w:tcW w:w="3000" w:type="dxa"/>
            <w:vAlign w:val="center"/>
          </w:tcPr>
          <w:p w:rsidR="0056773E" w:rsidRDefault="00000000">
            <w:pPr>
              <w:spacing w:before="60" w:after="60"/>
            </w:pPr>
            <w:r>
              <w:rPr>
                <w:color w:val="000000"/>
              </w:rPr>
              <w:t>criterion × max_depth</w:t>
            </w:r>
          </w:p>
        </w:tc>
        <w:tc>
          <w:tcPr>
            <w:tcW w:w="2300" w:type="dxa"/>
            <w:vAlign w:val="center"/>
          </w:tcPr>
          <w:p w:rsidR="0056773E" w:rsidRDefault="00000000">
            <w:pPr>
              <w:spacing w:before="60" w:after="60"/>
            </w:pPr>
            <w:r>
              <w:rPr>
                <w:color w:val="000000"/>
              </w:rPr>
              <w:t>entropy, depth=20</w:t>
            </w:r>
          </w:p>
        </w:tc>
        <w:tc>
          <w:tcPr>
            <w:tcW w:w="1500" w:type="dxa"/>
            <w:vAlign w:val="center"/>
          </w:tcPr>
          <w:p w:rsidR="0056773E" w:rsidRDefault="00000000">
            <w:pPr>
              <w:spacing w:before="60" w:after="60"/>
              <w:jc w:val="center"/>
            </w:pPr>
            <w:r>
              <w:rPr>
                <w:color w:val="000000"/>
              </w:rPr>
              <w:t>31,38 dtk</w:t>
            </w:r>
          </w:p>
        </w:tc>
      </w:tr>
      <w:tr w:rsidR="0056773E">
        <w:tblPrEx>
          <w:tblCellMar>
            <w:top w:w="0" w:type="dxa"/>
            <w:bottom w:w="0" w:type="dxa"/>
          </w:tblCellMar>
        </w:tblPrEx>
        <w:tc>
          <w:tcPr>
            <w:tcW w:w="2200" w:type="dxa"/>
            <w:vAlign w:val="center"/>
          </w:tcPr>
          <w:p w:rsidR="0056773E" w:rsidRDefault="00000000">
            <w:pPr>
              <w:spacing w:before="60" w:after="60"/>
            </w:pPr>
            <w:r>
              <w:rPr>
                <w:color w:val="000000"/>
              </w:rPr>
              <w:t>Random Forest</w:t>
            </w:r>
          </w:p>
        </w:tc>
        <w:tc>
          <w:tcPr>
            <w:tcW w:w="3000" w:type="dxa"/>
            <w:vAlign w:val="center"/>
          </w:tcPr>
          <w:p w:rsidR="0056773E" w:rsidRDefault="00000000">
            <w:pPr>
              <w:spacing w:before="60" w:after="60"/>
            </w:pPr>
            <w:r>
              <w:rPr>
                <w:color w:val="000000"/>
              </w:rPr>
              <w:t>n_estimators × max_depth</w:t>
            </w:r>
          </w:p>
        </w:tc>
        <w:tc>
          <w:tcPr>
            <w:tcW w:w="2300" w:type="dxa"/>
            <w:vAlign w:val="center"/>
          </w:tcPr>
          <w:p w:rsidR="0056773E" w:rsidRDefault="00000000">
            <w:pPr>
              <w:spacing w:before="60" w:after="60"/>
            </w:pPr>
            <w:r>
              <w:rPr>
                <w:color w:val="000000"/>
              </w:rPr>
              <w:t>200 trees, depth=None</w:t>
            </w:r>
          </w:p>
        </w:tc>
        <w:tc>
          <w:tcPr>
            <w:tcW w:w="1500" w:type="dxa"/>
            <w:vAlign w:val="center"/>
          </w:tcPr>
          <w:p w:rsidR="0056773E" w:rsidRDefault="00000000">
            <w:pPr>
              <w:spacing w:before="60" w:after="60"/>
              <w:jc w:val="center"/>
            </w:pPr>
            <w:r>
              <w:rPr>
                <w:color w:val="000000"/>
              </w:rPr>
              <w:t>233,12 dtk</w:t>
            </w:r>
          </w:p>
        </w:tc>
      </w:tr>
      <w:tr w:rsidR="0056773E">
        <w:tblPrEx>
          <w:tblCellMar>
            <w:top w:w="0" w:type="dxa"/>
            <w:bottom w:w="0" w:type="dxa"/>
          </w:tblCellMar>
        </w:tblPrEx>
        <w:tc>
          <w:tcPr>
            <w:tcW w:w="2200" w:type="dxa"/>
            <w:vAlign w:val="center"/>
          </w:tcPr>
          <w:p w:rsidR="0056773E" w:rsidRDefault="00000000">
            <w:pPr>
              <w:spacing w:before="60" w:after="60"/>
            </w:pPr>
            <w:r>
              <w:rPr>
                <w:color w:val="000000"/>
              </w:rPr>
              <w:t>SVM (subset 15rb)</w:t>
            </w:r>
          </w:p>
        </w:tc>
        <w:tc>
          <w:tcPr>
            <w:tcW w:w="3000" w:type="dxa"/>
            <w:vAlign w:val="center"/>
          </w:tcPr>
          <w:p w:rsidR="0056773E" w:rsidRDefault="00000000">
            <w:pPr>
              <w:spacing w:before="60" w:after="60"/>
            </w:pPr>
            <w:r>
              <w:rPr>
                <w:color w:val="000000"/>
              </w:rPr>
              <w:t>C × gamma</w:t>
            </w:r>
          </w:p>
        </w:tc>
        <w:tc>
          <w:tcPr>
            <w:tcW w:w="2300" w:type="dxa"/>
            <w:vAlign w:val="center"/>
          </w:tcPr>
          <w:p w:rsidR="0056773E" w:rsidRDefault="00000000">
            <w:pPr>
              <w:spacing w:before="60" w:after="60"/>
            </w:pPr>
            <w:r>
              <w:rPr>
                <w:color w:val="000000"/>
              </w:rPr>
              <w:t>C=10, gamma=scale</w:t>
            </w:r>
          </w:p>
        </w:tc>
        <w:tc>
          <w:tcPr>
            <w:tcW w:w="1500" w:type="dxa"/>
            <w:vAlign w:val="center"/>
          </w:tcPr>
          <w:p w:rsidR="0056773E" w:rsidRDefault="00000000">
            <w:pPr>
              <w:spacing w:before="60" w:after="60"/>
              <w:jc w:val="center"/>
            </w:pPr>
            <w:r>
              <w:rPr>
                <w:color w:val="000000"/>
              </w:rPr>
              <w:t>179,97 dtk</w:t>
            </w:r>
          </w:p>
        </w:tc>
      </w:tr>
    </w:tbl>
    <w:p w:rsidR="0056773E" w:rsidRDefault="00000000">
      <w:pPr>
        <w:spacing w:before="60" w:after="200"/>
        <w:jc w:val="center"/>
      </w:pPr>
      <w:r>
        <w:rPr>
          <w:i/>
          <w:iCs/>
        </w:rPr>
        <w:t>Tabel 2. Hasil Hyperparameter Tuning Grid Search</w:t>
      </w:r>
    </w:p>
    <w:p w:rsidR="0056773E" w:rsidRDefault="00000000">
      <w:r>
        <w:br w:type="page"/>
      </w:r>
    </w:p>
    <w:p w:rsidR="0056773E" w:rsidRDefault="00000000">
      <w:pPr>
        <w:pStyle w:val="Heading1"/>
        <w:spacing w:before="280" w:after="140"/>
      </w:pPr>
      <w:r>
        <w:rPr>
          <w:b/>
          <w:bCs/>
          <w:sz w:val="28"/>
          <w:szCs w:val="28"/>
        </w:rPr>
        <w:lastRenderedPageBreak/>
        <w:t>4. Hasil Penelitian</w:t>
      </w:r>
    </w:p>
    <w:p w:rsidR="0056773E" w:rsidRDefault="00000000">
      <w:pPr>
        <w:pStyle w:val="Heading2"/>
        <w:spacing w:before="200" w:after="100"/>
      </w:pPr>
      <w:r>
        <w:rPr>
          <w:b/>
          <w:bCs/>
          <w:sz w:val="24"/>
          <w:szCs w:val="24"/>
        </w:rPr>
        <w:t>4.1 Evaluasi 10-Fold Cross-Validation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500"/>
        <w:gridCol w:w="1600"/>
        <w:gridCol w:w="1800"/>
      </w:tblGrid>
      <w:tr w:rsidR="0056773E">
        <w:tblPrEx>
          <w:tblCellMar>
            <w:top w:w="0" w:type="dxa"/>
            <w:bottom w:w="0" w:type="dxa"/>
          </w:tblCellMar>
        </w:tblPrEx>
        <w:tc>
          <w:tcPr>
            <w:tcW w:w="2400" w:type="dxa"/>
            <w:shd w:val="clear" w:color="auto" w:fill="2D75B6"/>
            <w:vAlign w:val="center"/>
          </w:tcPr>
          <w:p w:rsidR="0056773E" w:rsidRDefault="00000000">
            <w:pPr>
              <w:spacing w:before="60" w:after="60"/>
            </w:pPr>
            <w:r>
              <w:rPr>
                <w:b/>
                <w:bCs/>
                <w:color w:val="FFFFFF"/>
              </w:rPr>
              <w:t>Model</w:t>
            </w:r>
          </w:p>
        </w:tc>
        <w:tc>
          <w:tcPr>
            <w:tcW w:w="1700" w:type="dxa"/>
            <w:shd w:val="clear" w:color="auto" w:fill="2D75B6"/>
            <w:vAlign w:val="center"/>
          </w:tcPr>
          <w:p w:rsidR="0056773E" w:rsidRDefault="00000000">
            <w:pPr>
              <w:spacing w:before="60" w:after="60"/>
              <w:jc w:val="center"/>
            </w:pPr>
            <w:r>
              <w:rPr>
                <w:b/>
                <w:bCs/>
                <w:color w:val="FFFFFF"/>
              </w:rPr>
              <w:t>Mean Acc</w:t>
            </w:r>
          </w:p>
        </w:tc>
        <w:tc>
          <w:tcPr>
            <w:tcW w:w="1500" w:type="dxa"/>
            <w:shd w:val="clear" w:color="auto" w:fill="2D75B6"/>
            <w:vAlign w:val="center"/>
          </w:tcPr>
          <w:p w:rsidR="0056773E" w:rsidRDefault="00000000">
            <w:pPr>
              <w:spacing w:before="60" w:after="60"/>
              <w:jc w:val="center"/>
            </w:pPr>
            <w:r>
              <w:rPr>
                <w:b/>
                <w:bCs/>
                <w:color w:val="FFFFFF"/>
              </w:rPr>
              <w:t>Std</w:t>
            </w:r>
          </w:p>
        </w:tc>
        <w:tc>
          <w:tcPr>
            <w:tcW w:w="1600" w:type="dxa"/>
            <w:shd w:val="clear" w:color="auto" w:fill="2D75B6"/>
            <w:vAlign w:val="center"/>
          </w:tcPr>
          <w:p w:rsidR="0056773E" w:rsidRDefault="00000000">
            <w:pPr>
              <w:spacing w:before="60" w:after="60"/>
              <w:jc w:val="center"/>
            </w:pPr>
            <w:r>
              <w:rPr>
                <w:b/>
                <w:bCs/>
                <w:color w:val="FFFFFF"/>
              </w:rPr>
              <w:t>Min</w:t>
            </w:r>
          </w:p>
        </w:tc>
        <w:tc>
          <w:tcPr>
            <w:tcW w:w="1800" w:type="dxa"/>
            <w:shd w:val="clear" w:color="auto" w:fill="2D75B6"/>
            <w:vAlign w:val="center"/>
          </w:tcPr>
          <w:p w:rsidR="0056773E" w:rsidRDefault="00000000">
            <w:pPr>
              <w:spacing w:before="60" w:after="60"/>
              <w:jc w:val="center"/>
            </w:pPr>
            <w:r>
              <w:rPr>
                <w:b/>
                <w:bCs/>
                <w:color w:val="FFFFFF"/>
              </w:rPr>
              <w:t>Max</w:t>
            </w:r>
          </w:p>
        </w:tc>
      </w:tr>
      <w:tr w:rsidR="0056773E">
        <w:tblPrEx>
          <w:tblCellMar>
            <w:top w:w="0" w:type="dxa"/>
            <w:bottom w:w="0" w:type="dxa"/>
          </w:tblCellMar>
        </w:tblPrEx>
        <w:tc>
          <w:tcPr>
            <w:tcW w:w="2400" w:type="dxa"/>
            <w:vAlign w:val="center"/>
          </w:tcPr>
          <w:p w:rsidR="0056773E" w:rsidRDefault="00000000">
            <w:pPr>
              <w:spacing w:before="60" w:after="60"/>
            </w:pPr>
            <w:r>
              <w:rPr>
                <w:color w:val="000000"/>
              </w:rPr>
              <w:t>Decision Tree</w:t>
            </w:r>
          </w:p>
        </w:tc>
        <w:tc>
          <w:tcPr>
            <w:tcW w:w="1700" w:type="dxa"/>
            <w:vAlign w:val="center"/>
          </w:tcPr>
          <w:p w:rsidR="0056773E" w:rsidRDefault="00000000">
            <w:pPr>
              <w:spacing w:before="60" w:after="60"/>
              <w:jc w:val="center"/>
            </w:pPr>
            <w:r>
              <w:rPr>
                <w:color w:val="000000"/>
              </w:rPr>
              <w:t>99,49%</w:t>
            </w:r>
          </w:p>
        </w:tc>
        <w:tc>
          <w:tcPr>
            <w:tcW w:w="1500" w:type="dxa"/>
            <w:vAlign w:val="center"/>
          </w:tcPr>
          <w:p w:rsidR="0056773E" w:rsidRDefault="00000000">
            <w:pPr>
              <w:spacing w:before="60" w:after="60"/>
              <w:jc w:val="center"/>
            </w:pPr>
            <w:r>
              <w:rPr>
                <w:color w:val="000000"/>
              </w:rPr>
              <w:t>±0,07%</w:t>
            </w:r>
          </w:p>
        </w:tc>
        <w:tc>
          <w:tcPr>
            <w:tcW w:w="1600" w:type="dxa"/>
            <w:vAlign w:val="center"/>
          </w:tcPr>
          <w:p w:rsidR="0056773E" w:rsidRDefault="00000000">
            <w:pPr>
              <w:spacing w:before="60" w:after="60"/>
              <w:jc w:val="center"/>
            </w:pPr>
            <w:r>
              <w:rPr>
                <w:color w:val="000000"/>
              </w:rPr>
              <w:t>99,36%</w:t>
            </w:r>
          </w:p>
        </w:tc>
        <w:tc>
          <w:tcPr>
            <w:tcW w:w="1800" w:type="dxa"/>
            <w:vAlign w:val="center"/>
          </w:tcPr>
          <w:p w:rsidR="0056773E" w:rsidRDefault="00000000">
            <w:pPr>
              <w:spacing w:before="60" w:after="60"/>
              <w:jc w:val="center"/>
            </w:pPr>
            <w:r>
              <w:rPr>
                <w:color w:val="000000"/>
              </w:rPr>
              <w:t>99,61%</w:t>
            </w:r>
          </w:p>
        </w:tc>
      </w:tr>
      <w:tr w:rsidR="0056773E">
        <w:tblPrEx>
          <w:tblCellMar>
            <w:top w:w="0" w:type="dxa"/>
            <w:bottom w:w="0" w:type="dxa"/>
          </w:tblCellMar>
        </w:tblPrEx>
        <w:tc>
          <w:tcPr>
            <w:tcW w:w="2400" w:type="dxa"/>
            <w:vAlign w:val="center"/>
          </w:tcPr>
          <w:p w:rsidR="0056773E" w:rsidRDefault="00000000">
            <w:pPr>
              <w:spacing w:before="60" w:after="60"/>
            </w:pPr>
            <w:r>
              <w:rPr>
                <w:b/>
                <w:bCs/>
                <w:color w:val="000000"/>
              </w:rPr>
              <w:t>Random Forest</w:t>
            </w:r>
          </w:p>
        </w:tc>
        <w:tc>
          <w:tcPr>
            <w:tcW w:w="1700" w:type="dxa"/>
            <w:vAlign w:val="center"/>
          </w:tcPr>
          <w:p w:rsidR="0056773E" w:rsidRDefault="00000000">
            <w:pPr>
              <w:spacing w:before="60" w:after="60"/>
              <w:jc w:val="center"/>
            </w:pPr>
            <w:r>
              <w:rPr>
                <w:b/>
                <w:bCs/>
                <w:color w:val="000000"/>
              </w:rPr>
              <w:t>99,57%</w:t>
            </w:r>
          </w:p>
        </w:tc>
        <w:tc>
          <w:tcPr>
            <w:tcW w:w="1500" w:type="dxa"/>
            <w:vAlign w:val="center"/>
          </w:tcPr>
          <w:p w:rsidR="0056773E" w:rsidRDefault="00000000">
            <w:pPr>
              <w:spacing w:before="60" w:after="60"/>
              <w:jc w:val="center"/>
            </w:pPr>
            <w:r>
              <w:rPr>
                <w:b/>
                <w:bCs/>
                <w:color w:val="000000"/>
              </w:rPr>
              <w:t>±0,05%</w:t>
            </w:r>
          </w:p>
        </w:tc>
        <w:tc>
          <w:tcPr>
            <w:tcW w:w="1600" w:type="dxa"/>
            <w:vAlign w:val="center"/>
          </w:tcPr>
          <w:p w:rsidR="0056773E" w:rsidRDefault="00000000">
            <w:pPr>
              <w:spacing w:before="60" w:after="60"/>
              <w:jc w:val="center"/>
            </w:pPr>
            <w:r>
              <w:rPr>
                <w:b/>
                <w:bCs/>
                <w:color w:val="000000"/>
              </w:rPr>
              <w:t>99,47%</w:t>
            </w:r>
          </w:p>
        </w:tc>
        <w:tc>
          <w:tcPr>
            <w:tcW w:w="1800" w:type="dxa"/>
            <w:vAlign w:val="center"/>
          </w:tcPr>
          <w:p w:rsidR="0056773E" w:rsidRDefault="00000000">
            <w:pPr>
              <w:spacing w:before="60" w:after="60"/>
              <w:jc w:val="center"/>
            </w:pPr>
            <w:r>
              <w:rPr>
                <w:b/>
                <w:bCs/>
                <w:color w:val="000000"/>
              </w:rPr>
              <w:t>99,64%</w:t>
            </w:r>
          </w:p>
        </w:tc>
      </w:tr>
      <w:tr w:rsidR="0056773E">
        <w:tblPrEx>
          <w:tblCellMar>
            <w:top w:w="0" w:type="dxa"/>
            <w:bottom w:w="0" w:type="dxa"/>
          </w:tblCellMar>
        </w:tblPrEx>
        <w:tc>
          <w:tcPr>
            <w:tcW w:w="2400" w:type="dxa"/>
            <w:vAlign w:val="center"/>
          </w:tcPr>
          <w:p w:rsidR="0056773E" w:rsidRDefault="00000000">
            <w:pPr>
              <w:spacing w:before="60" w:after="60"/>
            </w:pPr>
            <w:r>
              <w:rPr>
                <w:color w:val="000000"/>
              </w:rPr>
              <w:t>SVM</w:t>
            </w:r>
          </w:p>
        </w:tc>
        <w:tc>
          <w:tcPr>
            <w:tcW w:w="1700" w:type="dxa"/>
            <w:vAlign w:val="center"/>
          </w:tcPr>
          <w:p w:rsidR="0056773E" w:rsidRDefault="00000000">
            <w:pPr>
              <w:spacing w:before="60" w:after="60"/>
              <w:jc w:val="center"/>
            </w:pPr>
            <w:r>
              <w:rPr>
                <w:color w:val="000000"/>
              </w:rPr>
              <w:t>98,29%</w:t>
            </w:r>
          </w:p>
        </w:tc>
        <w:tc>
          <w:tcPr>
            <w:tcW w:w="1500" w:type="dxa"/>
            <w:vAlign w:val="center"/>
          </w:tcPr>
          <w:p w:rsidR="0056773E" w:rsidRDefault="00000000">
            <w:pPr>
              <w:spacing w:before="60" w:after="60"/>
              <w:jc w:val="center"/>
            </w:pPr>
            <w:r>
              <w:rPr>
                <w:color w:val="000000"/>
              </w:rPr>
              <w:t>±0,30%</w:t>
            </w:r>
          </w:p>
        </w:tc>
        <w:tc>
          <w:tcPr>
            <w:tcW w:w="1600" w:type="dxa"/>
            <w:vAlign w:val="center"/>
          </w:tcPr>
          <w:p w:rsidR="0056773E" w:rsidRDefault="00000000">
            <w:pPr>
              <w:spacing w:before="60" w:after="60"/>
              <w:jc w:val="center"/>
            </w:pPr>
            <w:r>
              <w:rPr>
                <w:color w:val="000000"/>
              </w:rPr>
              <w:t>97,80%</w:t>
            </w:r>
          </w:p>
        </w:tc>
        <w:tc>
          <w:tcPr>
            <w:tcW w:w="1800" w:type="dxa"/>
            <w:vAlign w:val="center"/>
          </w:tcPr>
          <w:p w:rsidR="0056773E" w:rsidRDefault="00000000">
            <w:pPr>
              <w:spacing w:before="60" w:after="60"/>
              <w:jc w:val="center"/>
            </w:pPr>
            <w:r>
              <w:rPr>
                <w:color w:val="000000"/>
              </w:rPr>
              <w:t>98,67%</w:t>
            </w:r>
          </w:p>
        </w:tc>
      </w:tr>
    </w:tbl>
    <w:p w:rsidR="0056773E" w:rsidRDefault="00000000">
      <w:pPr>
        <w:spacing w:before="60" w:after="200"/>
        <w:jc w:val="center"/>
      </w:pPr>
      <w:r>
        <w:rPr>
          <w:i/>
          <w:iCs/>
        </w:rPr>
        <w:t>Tabel 3. Hasil 10-Fold Cross-Validation per Model (n=10)</w:t>
      </w:r>
    </w:p>
    <w:p w:rsidR="0056773E" w:rsidRDefault="00000000">
      <w:pPr>
        <w:pStyle w:val="Heading2"/>
        <w:spacing w:before="200" w:after="100"/>
      </w:pPr>
      <w:r>
        <w:rPr>
          <w:b/>
          <w:bCs/>
          <w:sz w:val="24"/>
          <w:szCs w:val="24"/>
        </w:rPr>
        <w:t>4.2 Evaluasi pada Data Testing (30%)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1338"/>
        <w:gridCol w:w="1336"/>
        <w:gridCol w:w="1320"/>
        <w:gridCol w:w="1320"/>
        <w:gridCol w:w="1042"/>
        <w:gridCol w:w="868"/>
      </w:tblGrid>
      <w:tr w:rsidR="0056773E">
        <w:tblPrEx>
          <w:tblCellMar>
            <w:top w:w="0" w:type="dxa"/>
            <w:bottom w:w="0" w:type="dxa"/>
          </w:tblCellMar>
        </w:tblPrEx>
        <w:tc>
          <w:tcPr>
            <w:tcW w:w="1900" w:type="dxa"/>
            <w:shd w:val="clear" w:color="auto" w:fill="2D75B6"/>
            <w:vAlign w:val="center"/>
          </w:tcPr>
          <w:p w:rsidR="0056773E" w:rsidRDefault="00000000">
            <w:pPr>
              <w:spacing w:before="60" w:after="60"/>
            </w:pPr>
            <w:r>
              <w:rPr>
                <w:b/>
                <w:bCs/>
                <w:color w:val="FFFFFF"/>
              </w:rPr>
              <w:t>Model</w:t>
            </w:r>
          </w:p>
        </w:tc>
        <w:tc>
          <w:tcPr>
            <w:tcW w:w="1400" w:type="dxa"/>
            <w:shd w:val="clear" w:color="auto" w:fill="2D75B6"/>
            <w:vAlign w:val="center"/>
          </w:tcPr>
          <w:p w:rsidR="0056773E" w:rsidRDefault="00000000">
            <w:pPr>
              <w:spacing w:before="60" w:after="60"/>
              <w:jc w:val="center"/>
            </w:pPr>
            <w:r>
              <w:rPr>
                <w:b/>
                <w:bCs/>
                <w:color w:val="FFFFFF"/>
              </w:rPr>
              <w:t>Accuracy</w:t>
            </w:r>
          </w:p>
        </w:tc>
        <w:tc>
          <w:tcPr>
            <w:tcW w:w="1400" w:type="dxa"/>
            <w:shd w:val="clear" w:color="auto" w:fill="2D75B6"/>
            <w:vAlign w:val="center"/>
          </w:tcPr>
          <w:p w:rsidR="0056773E" w:rsidRDefault="00000000">
            <w:pPr>
              <w:spacing w:before="60" w:after="60"/>
              <w:jc w:val="center"/>
            </w:pPr>
            <w:r>
              <w:rPr>
                <w:b/>
                <w:bCs/>
                <w:color w:val="FFFFFF"/>
              </w:rPr>
              <w:t>Precision</w:t>
            </w:r>
          </w:p>
        </w:tc>
        <w:tc>
          <w:tcPr>
            <w:tcW w:w="1400" w:type="dxa"/>
            <w:shd w:val="clear" w:color="auto" w:fill="2D75B6"/>
            <w:vAlign w:val="center"/>
          </w:tcPr>
          <w:p w:rsidR="0056773E" w:rsidRDefault="00000000">
            <w:pPr>
              <w:spacing w:before="60" w:after="60"/>
              <w:jc w:val="center"/>
            </w:pPr>
            <w:r>
              <w:rPr>
                <w:b/>
                <w:bCs/>
                <w:color w:val="FFFFFF"/>
              </w:rPr>
              <w:t>Recall</w:t>
            </w:r>
          </w:p>
        </w:tc>
        <w:tc>
          <w:tcPr>
            <w:tcW w:w="1400" w:type="dxa"/>
            <w:shd w:val="clear" w:color="auto" w:fill="2D75B6"/>
            <w:vAlign w:val="center"/>
          </w:tcPr>
          <w:p w:rsidR="0056773E" w:rsidRDefault="00000000">
            <w:pPr>
              <w:spacing w:before="60" w:after="60"/>
              <w:jc w:val="center"/>
            </w:pPr>
            <w:r>
              <w:rPr>
                <w:b/>
                <w:bCs/>
                <w:color w:val="FFFFFF"/>
              </w:rPr>
              <w:t>F1-Score</w:t>
            </w:r>
          </w:p>
        </w:tc>
        <w:tc>
          <w:tcPr>
            <w:tcW w:w="1100" w:type="dxa"/>
            <w:shd w:val="clear" w:color="auto" w:fill="2D75B6"/>
            <w:vAlign w:val="center"/>
          </w:tcPr>
          <w:p w:rsidR="0056773E" w:rsidRDefault="00000000">
            <w:pPr>
              <w:spacing w:before="60" w:after="60"/>
              <w:jc w:val="center"/>
            </w:pPr>
            <w:r>
              <w:rPr>
                <w:b/>
                <w:bCs/>
                <w:color w:val="FFFFFF"/>
              </w:rPr>
              <w:t>AUC</w:t>
            </w:r>
          </w:p>
        </w:tc>
        <w:tc>
          <w:tcPr>
            <w:tcW w:w="900" w:type="dxa"/>
            <w:shd w:val="clear" w:color="auto" w:fill="2D75B6"/>
            <w:vAlign w:val="center"/>
          </w:tcPr>
          <w:p w:rsidR="0056773E" w:rsidRDefault="00000000">
            <w:pPr>
              <w:spacing w:before="60" w:after="60"/>
              <w:jc w:val="center"/>
            </w:pPr>
            <w:r>
              <w:rPr>
                <w:b/>
                <w:bCs/>
                <w:color w:val="FFFFFF"/>
              </w:rPr>
              <w:t>Waktu</w:t>
            </w:r>
          </w:p>
        </w:tc>
      </w:tr>
      <w:tr w:rsidR="0056773E">
        <w:tblPrEx>
          <w:tblCellMar>
            <w:top w:w="0" w:type="dxa"/>
            <w:bottom w:w="0" w:type="dxa"/>
          </w:tblCellMar>
        </w:tblPrEx>
        <w:tc>
          <w:tcPr>
            <w:tcW w:w="1900" w:type="dxa"/>
            <w:vAlign w:val="center"/>
          </w:tcPr>
          <w:p w:rsidR="0056773E" w:rsidRDefault="00000000">
            <w:pPr>
              <w:spacing w:before="60" w:after="60"/>
            </w:pPr>
            <w:r>
              <w:rPr>
                <w:color w:val="000000"/>
              </w:rPr>
              <w:t>Decision Tree</w:t>
            </w:r>
          </w:p>
        </w:tc>
        <w:tc>
          <w:tcPr>
            <w:tcW w:w="1400" w:type="dxa"/>
            <w:vAlign w:val="center"/>
          </w:tcPr>
          <w:p w:rsidR="0056773E" w:rsidRDefault="00000000">
            <w:pPr>
              <w:spacing w:before="60" w:after="60"/>
              <w:jc w:val="center"/>
            </w:pPr>
            <w:r>
              <w:rPr>
                <w:color w:val="000000"/>
              </w:rPr>
              <w:t>99,58%</w:t>
            </w:r>
          </w:p>
        </w:tc>
        <w:tc>
          <w:tcPr>
            <w:tcW w:w="1400" w:type="dxa"/>
            <w:vAlign w:val="center"/>
          </w:tcPr>
          <w:p w:rsidR="0056773E" w:rsidRDefault="00000000">
            <w:pPr>
              <w:spacing w:before="60" w:after="60"/>
              <w:jc w:val="center"/>
            </w:pPr>
            <w:r>
              <w:rPr>
                <w:color w:val="000000"/>
              </w:rPr>
              <w:t>99,54%</w:t>
            </w:r>
          </w:p>
        </w:tc>
        <w:tc>
          <w:tcPr>
            <w:tcW w:w="1400" w:type="dxa"/>
            <w:vAlign w:val="center"/>
          </w:tcPr>
          <w:p w:rsidR="0056773E" w:rsidRDefault="00000000">
            <w:pPr>
              <w:spacing w:before="60" w:after="60"/>
              <w:jc w:val="center"/>
            </w:pPr>
            <w:r>
              <w:rPr>
                <w:color w:val="000000"/>
              </w:rPr>
              <w:t>99,49%</w:t>
            </w:r>
          </w:p>
        </w:tc>
        <w:tc>
          <w:tcPr>
            <w:tcW w:w="1400" w:type="dxa"/>
            <w:vAlign w:val="center"/>
          </w:tcPr>
          <w:p w:rsidR="0056773E" w:rsidRDefault="00000000">
            <w:pPr>
              <w:spacing w:before="60" w:after="60"/>
              <w:jc w:val="center"/>
            </w:pPr>
            <w:r>
              <w:rPr>
                <w:color w:val="000000"/>
              </w:rPr>
              <w:t>99,52%</w:t>
            </w:r>
          </w:p>
        </w:tc>
        <w:tc>
          <w:tcPr>
            <w:tcW w:w="1100" w:type="dxa"/>
            <w:vAlign w:val="center"/>
          </w:tcPr>
          <w:p w:rsidR="0056773E" w:rsidRDefault="00000000">
            <w:pPr>
              <w:spacing w:before="60" w:after="60"/>
              <w:jc w:val="center"/>
            </w:pPr>
            <w:r>
              <w:rPr>
                <w:color w:val="000000"/>
              </w:rPr>
              <w:t>0,9961</w:t>
            </w:r>
          </w:p>
        </w:tc>
        <w:tc>
          <w:tcPr>
            <w:tcW w:w="900" w:type="dxa"/>
            <w:vAlign w:val="center"/>
          </w:tcPr>
          <w:p w:rsidR="0056773E" w:rsidRDefault="00000000">
            <w:pPr>
              <w:spacing w:before="60" w:after="60"/>
              <w:jc w:val="center"/>
            </w:pPr>
            <w:r>
              <w:rPr>
                <w:color w:val="000000"/>
              </w:rPr>
              <w:t>0,66 dtk</w:t>
            </w:r>
          </w:p>
        </w:tc>
      </w:tr>
      <w:tr w:rsidR="0056773E">
        <w:tblPrEx>
          <w:tblCellMar>
            <w:top w:w="0" w:type="dxa"/>
            <w:bottom w:w="0" w:type="dxa"/>
          </w:tblCellMar>
        </w:tblPrEx>
        <w:tc>
          <w:tcPr>
            <w:tcW w:w="1900" w:type="dxa"/>
            <w:vAlign w:val="center"/>
          </w:tcPr>
          <w:p w:rsidR="0056773E" w:rsidRDefault="00000000">
            <w:pPr>
              <w:spacing w:before="60" w:after="60"/>
            </w:pPr>
            <w:r>
              <w:rPr>
                <w:b/>
                <w:bCs/>
                <w:color w:val="000000"/>
              </w:rPr>
              <w:t>Random Forest</w:t>
            </w:r>
          </w:p>
        </w:tc>
        <w:tc>
          <w:tcPr>
            <w:tcW w:w="1400" w:type="dxa"/>
            <w:vAlign w:val="center"/>
          </w:tcPr>
          <w:p w:rsidR="0056773E" w:rsidRDefault="00000000">
            <w:pPr>
              <w:spacing w:before="60" w:after="60"/>
              <w:jc w:val="center"/>
            </w:pPr>
            <w:r>
              <w:rPr>
                <w:b/>
                <w:bCs/>
                <w:color w:val="000000"/>
              </w:rPr>
              <w:t>99,61%</w:t>
            </w:r>
          </w:p>
        </w:tc>
        <w:tc>
          <w:tcPr>
            <w:tcW w:w="1400" w:type="dxa"/>
            <w:vAlign w:val="center"/>
          </w:tcPr>
          <w:p w:rsidR="0056773E" w:rsidRDefault="00000000">
            <w:pPr>
              <w:spacing w:before="60" w:after="60"/>
              <w:jc w:val="center"/>
            </w:pPr>
            <w:r>
              <w:rPr>
                <w:b/>
                <w:bCs/>
                <w:color w:val="000000"/>
              </w:rPr>
              <w:t>99,55%</w:t>
            </w:r>
          </w:p>
        </w:tc>
        <w:tc>
          <w:tcPr>
            <w:tcW w:w="1400" w:type="dxa"/>
            <w:vAlign w:val="center"/>
          </w:tcPr>
          <w:p w:rsidR="0056773E" w:rsidRDefault="00000000">
            <w:pPr>
              <w:spacing w:before="60" w:after="60"/>
              <w:jc w:val="center"/>
            </w:pPr>
            <w:r>
              <w:rPr>
                <w:b/>
                <w:bCs/>
                <w:color w:val="000000"/>
              </w:rPr>
              <w:t>99,56%</w:t>
            </w:r>
          </w:p>
        </w:tc>
        <w:tc>
          <w:tcPr>
            <w:tcW w:w="1400" w:type="dxa"/>
            <w:vAlign w:val="center"/>
          </w:tcPr>
          <w:p w:rsidR="0056773E" w:rsidRDefault="00000000">
            <w:pPr>
              <w:spacing w:before="60" w:after="60"/>
              <w:jc w:val="center"/>
            </w:pPr>
            <w:r>
              <w:rPr>
                <w:b/>
                <w:bCs/>
                <w:color w:val="000000"/>
              </w:rPr>
              <w:t>99,55%</w:t>
            </w:r>
          </w:p>
        </w:tc>
        <w:tc>
          <w:tcPr>
            <w:tcW w:w="1100" w:type="dxa"/>
            <w:vAlign w:val="center"/>
          </w:tcPr>
          <w:p w:rsidR="0056773E" w:rsidRDefault="00000000">
            <w:pPr>
              <w:spacing w:before="60" w:after="60"/>
              <w:jc w:val="center"/>
            </w:pPr>
            <w:r>
              <w:rPr>
                <w:b/>
                <w:bCs/>
                <w:color w:val="000000"/>
              </w:rPr>
              <w:t>0,9997</w:t>
            </w:r>
          </w:p>
        </w:tc>
        <w:tc>
          <w:tcPr>
            <w:tcW w:w="900" w:type="dxa"/>
            <w:vAlign w:val="center"/>
          </w:tcPr>
          <w:p w:rsidR="0056773E" w:rsidRDefault="00000000">
            <w:pPr>
              <w:spacing w:before="60" w:after="60"/>
              <w:jc w:val="center"/>
            </w:pPr>
            <w:r>
              <w:rPr>
                <w:b/>
                <w:bCs/>
                <w:color w:val="000000"/>
              </w:rPr>
              <w:t>16,58 dtk</w:t>
            </w:r>
          </w:p>
        </w:tc>
      </w:tr>
      <w:tr w:rsidR="0056773E">
        <w:tblPrEx>
          <w:tblCellMar>
            <w:top w:w="0" w:type="dxa"/>
            <w:bottom w:w="0" w:type="dxa"/>
          </w:tblCellMar>
        </w:tblPrEx>
        <w:tc>
          <w:tcPr>
            <w:tcW w:w="1900" w:type="dxa"/>
            <w:vAlign w:val="center"/>
          </w:tcPr>
          <w:p w:rsidR="0056773E" w:rsidRDefault="00000000">
            <w:pPr>
              <w:spacing w:before="60" w:after="60"/>
            </w:pPr>
            <w:r>
              <w:rPr>
                <w:color w:val="000000"/>
              </w:rPr>
              <w:t>SVM</w:t>
            </w:r>
          </w:p>
        </w:tc>
        <w:tc>
          <w:tcPr>
            <w:tcW w:w="1400" w:type="dxa"/>
            <w:vAlign w:val="center"/>
          </w:tcPr>
          <w:p w:rsidR="0056773E" w:rsidRDefault="00000000">
            <w:pPr>
              <w:spacing w:before="60" w:after="60"/>
              <w:jc w:val="center"/>
            </w:pPr>
            <w:r>
              <w:rPr>
                <w:color w:val="000000"/>
              </w:rPr>
              <w:t>99,09%</w:t>
            </w:r>
          </w:p>
        </w:tc>
        <w:tc>
          <w:tcPr>
            <w:tcW w:w="1400" w:type="dxa"/>
            <w:vAlign w:val="center"/>
          </w:tcPr>
          <w:p w:rsidR="0056773E" w:rsidRDefault="00000000">
            <w:pPr>
              <w:spacing w:before="60" w:after="60"/>
              <w:jc w:val="center"/>
            </w:pPr>
            <w:r>
              <w:rPr>
                <w:color w:val="000000"/>
              </w:rPr>
              <w:t>99,29%</w:t>
            </w:r>
          </w:p>
        </w:tc>
        <w:tc>
          <w:tcPr>
            <w:tcW w:w="1400" w:type="dxa"/>
            <w:vAlign w:val="center"/>
          </w:tcPr>
          <w:p w:rsidR="0056773E" w:rsidRDefault="00000000">
            <w:pPr>
              <w:spacing w:before="60" w:after="60"/>
              <w:jc w:val="center"/>
            </w:pPr>
            <w:r>
              <w:rPr>
                <w:color w:val="000000"/>
              </w:rPr>
              <w:t>98,63%</w:t>
            </w:r>
          </w:p>
        </w:tc>
        <w:tc>
          <w:tcPr>
            <w:tcW w:w="1400" w:type="dxa"/>
            <w:vAlign w:val="center"/>
          </w:tcPr>
          <w:p w:rsidR="0056773E" w:rsidRDefault="00000000">
            <w:pPr>
              <w:spacing w:before="60" w:after="60"/>
              <w:jc w:val="center"/>
            </w:pPr>
            <w:r>
              <w:rPr>
                <w:color w:val="000000"/>
              </w:rPr>
              <w:t>98,96%</w:t>
            </w:r>
          </w:p>
        </w:tc>
        <w:tc>
          <w:tcPr>
            <w:tcW w:w="1100" w:type="dxa"/>
            <w:vAlign w:val="center"/>
          </w:tcPr>
          <w:p w:rsidR="0056773E" w:rsidRDefault="00000000">
            <w:pPr>
              <w:spacing w:before="60" w:after="60"/>
              <w:jc w:val="center"/>
            </w:pPr>
            <w:r>
              <w:rPr>
                <w:color w:val="000000"/>
              </w:rPr>
              <w:t>0,9993</w:t>
            </w:r>
          </w:p>
        </w:tc>
        <w:tc>
          <w:tcPr>
            <w:tcW w:w="900" w:type="dxa"/>
            <w:vAlign w:val="center"/>
          </w:tcPr>
          <w:p w:rsidR="0056773E" w:rsidRDefault="00000000">
            <w:pPr>
              <w:spacing w:before="60" w:after="60"/>
              <w:jc w:val="center"/>
            </w:pPr>
            <w:r>
              <w:rPr>
                <w:color w:val="000000"/>
              </w:rPr>
              <w:t>46,10 dtk</w:t>
            </w:r>
          </w:p>
        </w:tc>
      </w:tr>
    </w:tbl>
    <w:p w:rsidR="0056773E" w:rsidRDefault="00000000">
      <w:pPr>
        <w:spacing w:before="60" w:after="200"/>
        <w:jc w:val="center"/>
      </w:pPr>
      <w:r>
        <w:rPr>
          <w:i/>
          <w:iCs/>
        </w:rPr>
        <w:t>Tabel 4. Hasil Evaluasi Model pada Data Testing (nilai terbaik dicetak tebal)</w:t>
      </w:r>
    </w:p>
    <w:p w:rsidR="0056773E" w:rsidRDefault="00000000">
      <w:pPr>
        <w:pStyle w:val="Heading2"/>
        <w:spacing w:before="200" w:after="100"/>
      </w:pPr>
      <w:r>
        <w:rPr>
          <w:b/>
          <w:bCs/>
          <w:sz w:val="24"/>
          <w:szCs w:val="24"/>
        </w:rPr>
        <w:t>4.3 Confusion Matrix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1452"/>
        <w:gridCol w:w="1452"/>
        <w:gridCol w:w="1416"/>
        <w:gridCol w:w="1416"/>
        <w:gridCol w:w="1273"/>
      </w:tblGrid>
      <w:tr w:rsidR="0056773E">
        <w:tblPrEx>
          <w:tblCellMar>
            <w:top w:w="0" w:type="dxa"/>
            <w:bottom w:w="0" w:type="dxa"/>
          </w:tblCellMar>
        </w:tblPrEx>
        <w:tc>
          <w:tcPr>
            <w:tcW w:w="2200" w:type="dxa"/>
            <w:shd w:val="clear" w:color="auto" w:fill="2D75B6"/>
            <w:vAlign w:val="center"/>
          </w:tcPr>
          <w:p w:rsidR="0056773E" w:rsidRDefault="00000000">
            <w:pPr>
              <w:spacing w:before="60" w:after="60"/>
            </w:pPr>
            <w:r>
              <w:rPr>
                <w:b/>
                <w:bCs/>
                <w:color w:val="FFFFFF"/>
              </w:rPr>
              <w:t>Model</w:t>
            </w:r>
          </w:p>
        </w:tc>
        <w:tc>
          <w:tcPr>
            <w:tcW w:w="1600" w:type="dxa"/>
            <w:shd w:val="clear" w:color="auto" w:fill="2D75B6"/>
            <w:vAlign w:val="center"/>
          </w:tcPr>
          <w:p w:rsidR="0056773E" w:rsidRDefault="00000000">
            <w:pPr>
              <w:spacing w:before="60" w:after="60"/>
              <w:jc w:val="center"/>
            </w:pPr>
            <w:r>
              <w:rPr>
                <w:b/>
                <w:bCs/>
                <w:color w:val="FFFFFF"/>
              </w:rPr>
              <w:t>TP</w:t>
            </w:r>
          </w:p>
        </w:tc>
        <w:tc>
          <w:tcPr>
            <w:tcW w:w="1600" w:type="dxa"/>
            <w:shd w:val="clear" w:color="auto" w:fill="2D75B6"/>
            <w:vAlign w:val="center"/>
          </w:tcPr>
          <w:p w:rsidR="0056773E" w:rsidRDefault="00000000">
            <w:pPr>
              <w:spacing w:before="60" w:after="60"/>
              <w:jc w:val="center"/>
            </w:pPr>
            <w:r>
              <w:rPr>
                <w:b/>
                <w:bCs/>
                <w:color w:val="FFFFFF"/>
              </w:rPr>
              <w:t>TN</w:t>
            </w:r>
          </w:p>
        </w:tc>
        <w:tc>
          <w:tcPr>
            <w:tcW w:w="1600" w:type="dxa"/>
            <w:shd w:val="clear" w:color="auto" w:fill="2D75B6"/>
            <w:vAlign w:val="center"/>
          </w:tcPr>
          <w:p w:rsidR="0056773E" w:rsidRDefault="00000000">
            <w:pPr>
              <w:spacing w:before="60" w:after="60"/>
              <w:jc w:val="center"/>
            </w:pPr>
            <w:r>
              <w:rPr>
                <w:b/>
                <w:bCs/>
                <w:color w:val="FFFFFF"/>
              </w:rPr>
              <w:t>FP</w:t>
            </w:r>
          </w:p>
        </w:tc>
        <w:tc>
          <w:tcPr>
            <w:tcW w:w="1600" w:type="dxa"/>
            <w:shd w:val="clear" w:color="auto" w:fill="2D75B6"/>
            <w:vAlign w:val="center"/>
          </w:tcPr>
          <w:p w:rsidR="0056773E" w:rsidRDefault="00000000">
            <w:pPr>
              <w:spacing w:before="60" w:after="60"/>
              <w:jc w:val="center"/>
            </w:pPr>
            <w:r>
              <w:rPr>
                <w:b/>
                <w:bCs/>
                <w:color w:val="FFFFFF"/>
              </w:rPr>
              <w:t>FN</w:t>
            </w:r>
          </w:p>
        </w:tc>
        <w:tc>
          <w:tcPr>
            <w:tcW w:w="1400" w:type="dxa"/>
            <w:shd w:val="clear" w:color="auto" w:fill="2D75B6"/>
            <w:vAlign w:val="center"/>
          </w:tcPr>
          <w:p w:rsidR="0056773E" w:rsidRDefault="00000000">
            <w:pPr>
              <w:spacing w:before="60" w:after="60"/>
              <w:jc w:val="center"/>
            </w:pPr>
            <w:r>
              <w:rPr>
                <w:b/>
                <w:bCs/>
                <w:color w:val="FFFFFF"/>
              </w:rPr>
              <w:t>Error</w:t>
            </w:r>
          </w:p>
        </w:tc>
      </w:tr>
      <w:tr w:rsidR="0056773E">
        <w:tblPrEx>
          <w:tblCellMar>
            <w:top w:w="0" w:type="dxa"/>
            <w:bottom w:w="0" w:type="dxa"/>
          </w:tblCellMar>
        </w:tblPrEx>
        <w:tc>
          <w:tcPr>
            <w:tcW w:w="2200" w:type="dxa"/>
            <w:vAlign w:val="center"/>
          </w:tcPr>
          <w:p w:rsidR="0056773E" w:rsidRDefault="00000000">
            <w:pPr>
              <w:spacing w:before="60" w:after="60"/>
            </w:pPr>
            <w:r>
              <w:rPr>
                <w:color w:val="000000"/>
              </w:rPr>
              <w:t>Decision Tree</w:t>
            </w:r>
          </w:p>
        </w:tc>
        <w:tc>
          <w:tcPr>
            <w:tcW w:w="1600" w:type="dxa"/>
            <w:vAlign w:val="center"/>
          </w:tcPr>
          <w:p w:rsidR="0056773E" w:rsidRDefault="00000000">
            <w:pPr>
              <w:spacing w:before="60" w:after="60"/>
              <w:jc w:val="center"/>
            </w:pPr>
            <w:r>
              <w:rPr>
                <w:color w:val="000000"/>
              </w:rPr>
              <w:t>18.483</w:t>
            </w:r>
          </w:p>
        </w:tc>
        <w:tc>
          <w:tcPr>
            <w:tcW w:w="1600" w:type="dxa"/>
            <w:vAlign w:val="center"/>
          </w:tcPr>
          <w:p w:rsidR="0056773E" w:rsidRDefault="00000000">
            <w:pPr>
              <w:spacing w:before="60" w:after="60"/>
              <w:jc w:val="center"/>
            </w:pPr>
            <w:r>
              <w:rPr>
                <w:color w:val="000000"/>
              </w:rPr>
              <w:t>14.402</w:t>
            </w:r>
          </w:p>
        </w:tc>
        <w:tc>
          <w:tcPr>
            <w:tcW w:w="1600" w:type="dxa"/>
            <w:vAlign w:val="center"/>
          </w:tcPr>
          <w:p w:rsidR="0056773E" w:rsidRDefault="00000000">
            <w:pPr>
              <w:spacing w:before="60" w:after="60"/>
              <w:jc w:val="center"/>
            </w:pPr>
            <w:r>
              <w:rPr>
                <w:color w:val="000000"/>
              </w:rPr>
              <w:t>66</w:t>
            </w:r>
          </w:p>
        </w:tc>
        <w:tc>
          <w:tcPr>
            <w:tcW w:w="1600" w:type="dxa"/>
            <w:vAlign w:val="center"/>
          </w:tcPr>
          <w:p w:rsidR="0056773E" w:rsidRDefault="00000000">
            <w:pPr>
              <w:spacing w:before="60" w:after="60"/>
              <w:jc w:val="center"/>
            </w:pPr>
            <w:r>
              <w:rPr>
                <w:color w:val="000000"/>
              </w:rPr>
              <w:t>74</w:t>
            </w:r>
          </w:p>
        </w:tc>
        <w:tc>
          <w:tcPr>
            <w:tcW w:w="1400" w:type="dxa"/>
            <w:vAlign w:val="center"/>
          </w:tcPr>
          <w:p w:rsidR="0056773E" w:rsidRDefault="00000000">
            <w:pPr>
              <w:spacing w:before="60" w:after="60"/>
              <w:jc w:val="center"/>
            </w:pPr>
            <w:r>
              <w:rPr>
                <w:color w:val="000000"/>
              </w:rPr>
              <w:t>140</w:t>
            </w:r>
          </w:p>
        </w:tc>
      </w:tr>
      <w:tr w:rsidR="0056773E">
        <w:tblPrEx>
          <w:tblCellMar>
            <w:top w:w="0" w:type="dxa"/>
            <w:bottom w:w="0" w:type="dxa"/>
          </w:tblCellMar>
        </w:tblPrEx>
        <w:tc>
          <w:tcPr>
            <w:tcW w:w="2200" w:type="dxa"/>
            <w:vAlign w:val="center"/>
          </w:tcPr>
          <w:p w:rsidR="0056773E" w:rsidRDefault="00000000">
            <w:pPr>
              <w:spacing w:before="60" w:after="60"/>
            </w:pPr>
            <w:r>
              <w:rPr>
                <w:b/>
                <w:bCs/>
                <w:color w:val="000000"/>
              </w:rPr>
              <w:t>Random Forest</w:t>
            </w:r>
          </w:p>
        </w:tc>
        <w:tc>
          <w:tcPr>
            <w:tcW w:w="1600" w:type="dxa"/>
            <w:vAlign w:val="center"/>
          </w:tcPr>
          <w:p w:rsidR="0056773E" w:rsidRDefault="00000000">
            <w:pPr>
              <w:spacing w:before="60" w:after="60"/>
              <w:jc w:val="center"/>
            </w:pPr>
            <w:r>
              <w:rPr>
                <w:b/>
                <w:bCs/>
                <w:color w:val="000000"/>
              </w:rPr>
              <w:t>18.484</w:t>
            </w:r>
          </w:p>
        </w:tc>
        <w:tc>
          <w:tcPr>
            <w:tcW w:w="1600" w:type="dxa"/>
            <w:vAlign w:val="center"/>
          </w:tcPr>
          <w:p w:rsidR="0056773E" w:rsidRDefault="00000000">
            <w:pPr>
              <w:spacing w:before="60" w:after="60"/>
              <w:jc w:val="center"/>
            </w:pPr>
            <w:r>
              <w:rPr>
                <w:b/>
                <w:bCs/>
                <w:color w:val="000000"/>
              </w:rPr>
              <w:t>14.412</w:t>
            </w:r>
          </w:p>
        </w:tc>
        <w:tc>
          <w:tcPr>
            <w:tcW w:w="1600" w:type="dxa"/>
            <w:vAlign w:val="center"/>
          </w:tcPr>
          <w:p w:rsidR="0056773E" w:rsidRDefault="00000000">
            <w:pPr>
              <w:spacing w:before="60" w:after="60"/>
              <w:jc w:val="center"/>
            </w:pPr>
            <w:r>
              <w:rPr>
                <w:b/>
                <w:bCs/>
                <w:color w:val="000000"/>
              </w:rPr>
              <w:t>65</w:t>
            </w:r>
          </w:p>
        </w:tc>
        <w:tc>
          <w:tcPr>
            <w:tcW w:w="1600" w:type="dxa"/>
            <w:vAlign w:val="center"/>
          </w:tcPr>
          <w:p w:rsidR="0056773E" w:rsidRDefault="00000000">
            <w:pPr>
              <w:spacing w:before="60" w:after="60"/>
              <w:jc w:val="center"/>
            </w:pPr>
            <w:r>
              <w:rPr>
                <w:b/>
                <w:bCs/>
                <w:color w:val="000000"/>
              </w:rPr>
              <w:t>64</w:t>
            </w:r>
          </w:p>
        </w:tc>
        <w:tc>
          <w:tcPr>
            <w:tcW w:w="1400" w:type="dxa"/>
            <w:vAlign w:val="center"/>
          </w:tcPr>
          <w:p w:rsidR="0056773E" w:rsidRDefault="00000000">
            <w:pPr>
              <w:spacing w:before="60" w:after="60"/>
              <w:jc w:val="center"/>
            </w:pPr>
            <w:r>
              <w:rPr>
                <w:b/>
                <w:bCs/>
                <w:color w:val="000000"/>
              </w:rPr>
              <w:t>129</w:t>
            </w:r>
          </w:p>
        </w:tc>
      </w:tr>
      <w:tr w:rsidR="0056773E">
        <w:tblPrEx>
          <w:tblCellMar>
            <w:top w:w="0" w:type="dxa"/>
            <w:bottom w:w="0" w:type="dxa"/>
          </w:tblCellMar>
        </w:tblPrEx>
        <w:tc>
          <w:tcPr>
            <w:tcW w:w="2200" w:type="dxa"/>
            <w:vAlign w:val="center"/>
          </w:tcPr>
          <w:p w:rsidR="0056773E" w:rsidRDefault="00000000">
            <w:pPr>
              <w:spacing w:before="60" w:after="60"/>
            </w:pPr>
            <w:r>
              <w:rPr>
                <w:color w:val="000000"/>
              </w:rPr>
              <w:t>SVM</w:t>
            </w:r>
          </w:p>
        </w:tc>
        <w:tc>
          <w:tcPr>
            <w:tcW w:w="1600" w:type="dxa"/>
            <w:vAlign w:val="center"/>
          </w:tcPr>
          <w:p w:rsidR="0056773E" w:rsidRDefault="00000000">
            <w:pPr>
              <w:spacing w:before="60" w:after="60"/>
              <w:jc w:val="center"/>
            </w:pPr>
            <w:r>
              <w:rPr>
                <w:color w:val="000000"/>
              </w:rPr>
              <w:t>18.447</w:t>
            </w:r>
          </w:p>
        </w:tc>
        <w:tc>
          <w:tcPr>
            <w:tcW w:w="1600" w:type="dxa"/>
            <w:vAlign w:val="center"/>
          </w:tcPr>
          <w:p w:rsidR="0056773E" w:rsidRDefault="00000000">
            <w:pPr>
              <w:spacing w:before="60" w:after="60"/>
              <w:jc w:val="center"/>
            </w:pPr>
            <w:r>
              <w:rPr>
                <w:color w:val="000000"/>
              </w:rPr>
              <w:t>14.278</w:t>
            </w:r>
          </w:p>
        </w:tc>
        <w:tc>
          <w:tcPr>
            <w:tcW w:w="1600" w:type="dxa"/>
            <w:vAlign w:val="center"/>
          </w:tcPr>
          <w:p w:rsidR="0056773E" w:rsidRDefault="00000000">
            <w:pPr>
              <w:spacing w:before="60" w:after="60"/>
              <w:jc w:val="center"/>
            </w:pPr>
            <w:r>
              <w:rPr>
                <w:color w:val="000000"/>
              </w:rPr>
              <w:t>102</w:t>
            </w:r>
          </w:p>
        </w:tc>
        <w:tc>
          <w:tcPr>
            <w:tcW w:w="1600" w:type="dxa"/>
            <w:vAlign w:val="center"/>
          </w:tcPr>
          <w:p w:rsidR="0056773E" w:rsidRDefault="00000000">
            <w:pPr>
              <w:spacing w:before="60" w:after="60"/>
              <w:jc w:val="center"/>
            </w:pPr>
            <w:r>
              <w:rPr>
                <w:color w:val="000000"/>
              </w:rPr>
              <w:t>198</w:t>
            </w:r>
          </w:p>
        </w:tc>
        <w:tc>
          <w:tcPr>
            <w:tcW w:w="1400" w:type="dxa"/>
            <w:vAlign w:val="center"/>
          </w:tcPr>
          <w:p w:rsidR="0056773E" w:rsidRDefault="00000000">
            <w:pPr>
              <w:spacing w:before="60" w:after="60"/>
              <w:jc w:val="center"/>
            </w:pPr>
            <w:r>
              <w:rPr>
                <w:color w:val="000000"/>
              </w:rPr>
              <w:t>300</w:t>
            </w:r>
          </w:p>
        </w:tc>
      </w:tr>
    </w:tbl>
    <w:p w:rsidR="0056773E" w:rsidRDefault="00000000">
      <w:pPr>
        <w:spacing w:before="60" w:after="200"/>
        <w:jc w:val="center"/>
      </w:pPr>
      <w:r>
        <w:rPr>
          <w:i/>
          <w:iCs/>
        </w:rPr>
        <w:t>Tabel 5. Confusion Matrix pada Data Testing (FN = serangan tidak terdeteksi)</w:t>
      </w:r>
    </w:p>
    <w:p w:rsidR="0056773E" w:rsidRDefault="00000000">
      <w:r>
        <w:br w:type="page"/>
      </w:r>
    </w:p>
    <w:p w:rsidR="0056773E" w:rsidRDefault="00000000">
      <w:pPr>
        <w:pStyle w:val="Heading2"/>
        <w:spacing w:before="200" w:after="100"/>
      </w:pPr>
      <w:r>
        <w:rPr>
          <w:b/>
          <w:bCs/>
          <w:sz w:val="24"/>
          <w:szCs w:val="24"/>
        </w:rPr>
        <w:lastRenderedPageBreak/>
        <w:t>4.4 Visualisasi Hasil</w:t>
      </w:r>
    </w:p>
    <w:p w:rsidR="0056773E" w:rsidRDefault="00000000">
      <w:pPr>
        <w:spacing w:after="120"/>
        <w:jc w:val="both"/>
      </w:pPr>
      <w:r>
        <w:rPr>
          <w:sz w:val="24"/>
          <w:szCs w:val="24"/>
        </w:rPr>
        <w:t>Gambar 1 menunjukkan perbandingan accuracy ketiga model. Karena semua model memiliki accuracy di atas 99%, perbedaan antar bar tampak kecil secara visual — detail perbedaan dapat dilihat pada Tabel 4.</w:t>
      </w:r>
    </w:p>
    <w:p w:rsidR="0056773E" w:rsidRDefault="0056773E">
      <w:pPr>
        <w:spacing w:after="80"/>
      </w:pPr>
    </w:p>
    <w:p w:rsidR="0056773E" w:rsidRDefault="00000000">
      <w:pPr>
        <w:spacing w:before="120" w:after="60"/>
        <w:jc w:val="center"/>
      </w:pPr>
      <w:r>
        <w:rPr>
          <w:noProof/>
        </w:rPr>
        <w:drawing>
          <wp:inline distT="0" distB="0" distL="0" distR="0">
            <wp:extent cx="49530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3200400"/>
                    </a:xfrm>
                    <a:prstGeom prst="rect">
                      <a:avLst/>
                    </a:prstGeom>
                  </pic:spPr>
                </pic:pic>
              </a:graphicData>
            </a:graphic>
          </wp:inline>
        </w:drawing>
      </w:r>
    </w:p>
    <w:p w:rsidR="0056773E" w:rsidRDefault="00000000">
      <w:pPr>
        <w:spacing w:before="60" w:after="200"/>
        <w:jc w:val="center"/>
      </w:pPr>
      <w:r>
        <w:rPr>
          <w:i/>
          <w:iCs/>
        </w:rPr>
        <w:t>Gambar 1. Perbandingan Accuracy Decision Tree, Random Forest, dan SVM</w:t>
      </w:r>
    </w:p>
    <w:p w:rsidR="0056773E" w:rsidRDefault="00000000">
      <w:pPr>
        <w:spacing w:after="120"/>
        <w:jc w:val="both"/>
      </w:pPr>
      <w:r>
        <w:rPr>
          <w:sz w:val="24"/>
          <w:szCs w:val="24"/>
        </w:rPr>
        <w:t>Gambar 2 menunjukkan ROC Curve ketiga model. Kurva Random Forest dan Decision Tree hampir berhimpit mendekati sudut kiri atas (ideal), sementara SVM berada sedikit di bawahnya. Nilai AUC Random Forest (0,9997) tertinggi, diikuti SVM (0,9993) dan Decision Tree (0,9961).</w:t>
      </w:r>
    </w:p>
    <w:p w:rsidR="0056773E" w:rsidRDefault="0056773E">
      <w:pPr>
        <w:spacing w:after="80"/>
      </w:pPr>
    </w:p>
    <w:p w:rsidR="0056773E" w:rsidRDefault="00000000">
      <w:pPr>
        <w:spacing w:before="120" w:after="60"/>
        <w:jc w:val="center"/>
      </w:pPr>
      <w:r>
        <w:rPr>
          <w:noProof/>
        </w:rPr>
        <w:lastRenderedPageBreak/>
        <w:drawing>
          <wp:inline distT="0" distB="0" distL="0" distR="0">
            <wp:extent cx="4572000" cy="3609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3609975"/>
                    </a:xfrm>
                    <a:prstGeom prst="rect">
                      <a:avLst/>
                    </a:prstGeom>
                  </pic:spPr>
                </pic:pic>
              </a:graphicData>
            </a:graphic>
          </wp:inline>
        </w:drawing>
      </w:r>
    </w:p>
    <w:p w:rsidR="0056773E" w:rsidRDefault="00000000">
      <w:pPr>
        <w:spacing w:before="60" w:after="200"/>
        <w:jc w:val="center"/>
      </w:pPr>
      <w:r>
        <w:rPr>
          <w:i/>
          <w:iCs/>
        </w:rPr>
        <w:t>Gambar 2. ROC Curve Perbandingan Ketiga Model</w:t>
      </w:r>
    </w:p>
    <w:p w:rsidR="0056773E" w:rsidRDefault="00000000">
      <w:r>
        <w:br w:type="page"/>
      </w:r>
    </w:p>
    <w:p w:rsidR="0056773E" w:rsidRDefault="00000000">
      <w:pPr>
        <w:pStyle w:val="Heading1"/>
        <w:spacing w:before="280" w:after="140"/>
      </w:pPr>
      <w:r>
        <w:rPr>
          <w:b/>
          <w:bCs/>
          <w:sz w:val="28"/>
          <w:szCs w:val="28"/>
        </w:rPr>
        <w:lastRenderedPageBreak/>
        <w:t>5. Analisis Statistik</w:t>
      </w:r>
    </w:p>
    <w:p w:rsidR="0056773E" w:rsidRDefault="00000000">
      <w:pPr>
        <w:spacing w:after="120"/>
        <w:jc w:val="both"/>
      </w:pPr>
      <w:r>
        <w:rPr>
          <w:sz w:val="24"/>
          <w:szCs w:val="24"/>
        </w:rPr>
        <w:t>Untuk membuktikan bahwa perbedaan performa bukan kebetulan, dilakukan serangkaian uji statistik menggunakan data 10-fold cross-validation (n=10 per model).</w:t>
      </w:r>
    </w:p>
    <w:p w:rsidR="0056773E" w:rsidRDefault="00000000">
      <w:pPr>
        <w:pStyle w:val="Heading2"/>
        <w:spacing w:before="200" w:after="100"/>
      </w:pPr>
      <w:r>
        <w:rPr>
          <w:b/>
          <w:bCs/>
          <w:sz w:val="24"/>
          <w:szCs w:val="24"/>
        </w:rPr>
        <w:t>5.1 Uji Normalitas (Shapiro-Wilk)</w:t>
      </w:r>
    </w:p>
    <w:p w:rsidR="0056773E" w:rsidRDefault="00000000">
      <w:pPr>
        <w:spacing w:after="120"/>
        <w:jc w:val="both"/>
      </w:pPr>
      <w:r>
        <w:rPr>
          <w:sz w:val="24"/>
          <w:szCs w:val="24"/>
        </w:rPr>
        <w:t>Ketiga model terbukti berdistribusi normal (p &gt; 0,05 untuk DT, RF, dan SVM), memenuhi syarat untuk uji parametrik.</w:t>
      </w:r>
    </w:p>
    <w:p w:rsidR="0056773E" w:rsidRDefault="00000000">
      <w:pPr>
        <w:pStyle w:val="Heading2"/>
        <w:spacing w:before="200" w:after="100"/>
      </w:pPr>
      <w:r>
        <w:rPr>
          <w:b/>
          <w:bCs/>
          <w:sz w:val="24"/>
          <w:szCs w:val="24"/>
        </w:rPr>
        <w:t>5.2 Friedman Test dan Repeated-Measures ANOVA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000"/>
      </w:tblGrid>
      <w:tr w:rsidR="0056773E">
        <w:tblPrEx>
          <w:tblCellMar>
            <w:top w:w="0" w:type="dxa"/>
            <w:bottom w:w="0" w:type="dxa"/>
          </w:tblCellMar>
        </w:tblPrEx>
        <w:tc>
          <w:tcPr>
            <w:tcW w:w="3500" w:type="dxa"/>
            <w:shd w:val="clear" w:color="auto" w:fill="2D75B6"/>
            <w:vAlign w:val="center"/>
          </w:tcPr>
          <w:p w:rsidR="0056773E" w:rsidRDefault="00000000">
            <w:pPr>
              <w:spacing w:before="60" w:after="60"/>
            </w:pPr>
            <w:r>
              <w:rPr>
                <w:b/>
                <w:bCs/>
                <w:color w:val="FFFFFF"/>
              </w:rPr>
              <w:t>Uji Statistik</w:t>
            </w:r>
          </w:p>
        </w:tc>
        <w:tc>
          <w:tcPr>
            <w:tcW w:w="2500" w:type="dxa"/>
            <w:shd w:val="clear" w:color="auto" w:fill="2D75B6"/>
            <w:vAlign w:val="center"/>
          </w:tcPr>
          <w:p w:rsidR="0056773E" w:rsidRDefault="00000000">
            <w:pPr>
              <w:spacing w:before="60" w:after="60"/>
              <w:jc w:val="center"/>
            </w:pPr>
            <w:r>
              <w:rPr>
                <w:b/>
                <w:bCs/>
                <w:color w:val="FFFFFF"/>
              </w:rPr>
              <w:t>Statistik</w:t>
            </w:r>
          </w:p>
        </w:tc>
        <w:tc>
          <w:tcPr>
            <w:tcW w:w="3000" w:type="dxa"/>
            <w:shd w:val="clear" w:color="auto" w:fill="2D75B6"/>
            <w:vAlign w:val="center"/>
          </w:tcPr>
          <w:p w:rsidR="0056773E" w:rsidRDefault="00000000">
            <w:pPr>
              <w:spacing w:before="60" w:after="60"/>
              <w:jc w:val="center"/>
            </w:pPr>
            <w:r>
              <w:rPr>
                <w:b/>
                <w:bCs/>
                <w:color w:val="FFFFFF"/>
              </w:rPr>
              <w:t>p-value</w:t>
            </w:r>
          </w:p>
        </w:tc>
      </w:tr>
      <w:tr w:rsidR="0056773E">
        <w:tblPrEx>
          <w:tblCellMar>
            <w:top w:w="0" w:type="dxa"/>
            <w:bottom w:w="0" w:type="dxa"/>
          </w:tblCellMar>
        </w:tblPrEx>
        <w:tc>
          <w:tcPr>
            <w:tcW w:w="3500" w:type="dxa"/>
            <w:vAlign w:val="center"/>
          </w:tcPr>
          <w:p w:rsidR="0056773E" w:rsidRDefault="00000000">
            <w:pPr>
              <w:spacing w:before="60" w:after="60"/>
            </w:pPr>
            <w:r>
              <w:rPr>
                <w:color w:val="000000"/>
              </w:rPr>
              <w:t>Friedman Test</w:t>
            </w:r>
          </w:p>
        </w:tc>
        <w:tc>
          <w:tcPr>
            <w:tcW w:w="2500" w:type="dxa"/>
            <w:vAlign w:val="center"/>
          </w:tcPr>
          <w:p w:rsidR="0056773E" w:rsidRDefault="00000000">
            <w:pPr>
              <w:spacing w:before="60" w:after="60"/>
              <w:jc w:val="center"/>
            </w:pPr>
            <w:r>
              <w:rPr>
                <w:color w:val="000000"/>
              </w:rPr>
              <w:t>χ² = 17,897</w:t>
            </w:r>
          </w:p>
        </w:tc>
        <w:tc>
          <w:tcPr>
            <w:tcW w:w="3000" w:type="dxa"/>
            <w:vAlign w:val="center"/>
          </w:tcPr>
          <w:p w:rsidR="0056773E" w:rsidRDefault="00000000">
            <w:pPr>
              <w:spacing w:before="60" w:after="60"/>
              <w:jc w:val="center"/>
            </w:pPr>
            <w:r>
              <w:rPr>
                <w:color w:val="000000"/>
              </w:rPr>
              <w:t>0,00013 (&lt; 0,001)</w:t>
            </w:r>
          </w:p>
        </w:tc>
      </w:tr>
      <w:tr w:rsidR="0056773E">
        <w:tblPrEx>
          <w:tblCellMar>
            <w:top w:w="0" w:type="dxa"/>
            <w:bottom w:w="0" w:type="dxa"/>
          </w:tblCellMar>
        </w:tblPrEx>
        <w:tc>
          <w:tcPr>
            <w:tcW w:w="3500" w:type="dxa"/>
            <w:vAlign w:val="center"/>
          </w:tcPr>
          <w:p w:rsidR="0056773E" w:rsidRDefault="00000000">
            <w:pPr>
              <w:spacing w:before="60" w:after="60"/>
            </w:pPr>
            <w:r>
              <w:rPr>
                <w:color w:val="000000"/>
              </w:rPr>
              <w:t>Repeated-Measures ANOVA</w:t>
            </w:r>
          </w:p>
        </w:tc>
        <w:tc>
          <w:tcPr>
            <w:tcW w:w="2500" w:type="dxa"/>
            <w:vAlign w:val="center"/>
          </w:tcPr>
          <w:p w:rsidR="0056773E" w:rsidRDefault="00000000">
            <w:pPr>
              <w:spacing w:before="60" w:after="60"/>
              <w:jc w:val="center"/>
            </w:pPr>
            <w:r>
              <w:rPr>
                <w:color w:val="000000"/>
              </w:rPr>
              <w:t>F = 156,49</w:t>
            </w:r>
          </w:p>
        </w:tc>
        <w:tc>
          <w:tcPr>
            <w:tcW w:w="3000" w:type="dxa"/>
            <w:vAlign w:val="center"/>
          </w:tcPr>
          <w:p w:rsidR="0056773E" w:rsidRDefault="00000000">
            <w:pPr>
              <w:spacing w:before="60" w:after="60"/>
              <w:jc w:val="center"/>
            </w:pPr>
            <w:r>
              <w:rPr>
                <w:color w:val="000000"/>
              </w:rPr>
              <w:t>&lt; 0,0001</w:t>
            </w:r>
          </w:p>
        </w:tc>
      </w:tr>
      <w:tr w:rsidR="0056773E">
        <w:tblPrEx>
          <w:tblCellMar>
            <w:top w:w="0" w:type="dxa"/>
            <w:bottom w:w="0" w:type="dxa"/>
          </w:tblCellMar>
        </w:tblPrEx>
        <w:tc>
          <w:tcPr>
            <w:tcW w:w="3500" w:type="dxa"/>
            <w:vAlign w:val="center"/>
          </w:tcPr>
          <w:p w:rsidR="0056773E" w:rsidRDefault="00000000">
            <w:pPr>
              <w:spacing w:before="60" w:after="60"/>
            </w:pPr>
            <w:r>
              <w:rPr>
                <w:color w:val="000000"/>
              </w:rPr>
              <w:t>Kendall's W (effect size)</w:t>
            </w:r>
          </w:p>
        </w:tc>
        <w:tc>
          <w:tcPr>
            <w:tcW w:w="2500" w:type="dxa"/>
            <w:vAlign w:val="center"/>
          </w:tcPr>
          <w:p w:rsidR="0056773E" w:rsidRDefault="00000000">
            <w:pPr>
              <w:spacing w:before="60" w:after="60"/>
              <w:jc w:val="center"/>
            </w:pPr>
            <w:r>
              <w:rPr>
                <w:color w:val="000000"/>
              </w:rPr>
              <w:t>W = 0,895</w:t>
            </w:r>
          </w:p>
        </w:tc>
        <w:tc>
          <w:tcPr>
            <w:tcW w:w="3000" w:type="dxa"/>
            <w:vAlign w:val="center"/>
          </w:tcPr>
          <w:p w:rsidR="0056773E" w:rsidRDefault="00000000">
            <w:pPr>
              <w:spacing w:before="60" w:after="60"/>
              <w:jc w:val="center"/>
            </w:pPr>
            <w:r>
              <w:rPr>
                <w:color w:val="000000"/>
              </w:rPr>
              <w:t>Large effect</w:t>
            </w:r>
          </w:p>
        </w:tc>
      </w:tr>
    </w:tbl>
    <w:p w:rsidR="0056773E" w:rsidRDefault="00000000">
      <w:pPr>
        <w:spacing w:before="60" w:after="200"/>
        <w:jc w:val="center"/>
      </w:pPr>
      <w:r>
        <w:rPr>
          <w:i/>
          <w:iCs/>
        </w:rPr>
        <w:t>Tabel 6. Hasil Uji Statistik Perbandingan Performa Model</w:t>
      </w:r>
    </w:p>
    <w:p w:rsidR="0056773E" w:rsidRDefault="00000000">
      <w:pPr>
        <w:pStyle w:val="Heading2"/>
        <w:spacing w:before="200" w:after="100"/>
      </w:pPr>
      <w:r>
        <w:rPr>
          <w:b/>
          <w:bCs/>
          <w:sz w:val="24"/>
          <w:szCs w:val="24"/>
        </w:rPr>
        <w:t>5.3 Post-hoc Wilcoxon (Bonferroni α = 0,0167)</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1700"/>
        <w:gridCol w:w="1600"/>
        <w:gridCol w:w="1000"/>
      </w:tblGrid>
      <w:tr w:rsidR="0056773E">
        <w:tblPrEx>
          <w:tblCellMar>
            <w:top w:w="0" w:type="dxa"/>
            <w:bottom w:w="0" w:type="dxa"/>
          </w:tblCellMar>
        </w:tblPrEx>
        <w:tc>
          <w:tcPr>
            <w:tcW w:w="3000" w:type="dxa"/>
            <w:shd w:val="clear" w:color="auto" w:fill="2D75B6"/>
            <w:vAlign w:val="center"/>
          </w:tcPr>
          <w:p w:rsidR="0056773E" w:rsidRDefault="00000000">
            <w:pPr>
              <w:spacing w:before="60" w:after="60"/>
            </w:pPr>
            <w:r>
              <w:rPr>
                <w:b/>
                <w:bCs/>
                <w:color w:val="FFFFFF"/>
              </w:rPr>
              <w:t>Perbandingan</w:t>
            </w:r>
          </w:p>
        </w:tc>
        <w:tc>
          <w:tcPr>
            <w:tcW w:w="1700" w:type="dxa"/>
            <w:shd w:val="clear" w:color="auto" w:fill="2D75B6"/>
            <w:vAlign w:val="center"/>
          </w:tcPr>
          <w:p w:rsidR="0056773E" w:rsidRDefault="00000000">
            <w:pPr>
              <w:spacing w:before="60" w:after="60"/>
              <w:jc w:val="center"/>
            </w:pPr>
            <w:r>
              <w:rPr>
                <w:b/>
                <w:bCs/>
                <w:color w:val="FFFFFF"/>
              </w:rPr>
              <w:t>p-value</w:t>
            </w:r>
          </w:p>
        </w:tc>
        <w:tc>
          <w:tcPr>
            <w:tcW w:w="1700" w:type="dxa"/>
            <w:shd w:val="clear" w:color="auto" w:fill="2D75B6"/>
            <w:vAlign w:val="center"/>
          </w:tcPr>
          <w:p w:rsidR="0056773E" w:rsidRDefault="00000000">
            <w:pPr>
              <w:spacing w:before="60" w:after="60"/>
              <w:jc w:val="center"/>
            </w:pPr>
            <w:r>
              <w:rPr>
                <w:b/>
                <w:bCs/>
                <w:color w:val="FFFFFF"/>
              </w:rPr>
              <w:t>Cohen's d</w:t>
            </w:r>
          </w:p>
        </w:tc>
        <w:tc>
          <w:tcPr>
            <w:tcW w:w="1600" w:type="dxa"/>
            <w:shd w:val="clear" w:color="auto" w:fill="2D75B6"/>
            <w:vAlign w:val="center"/>
          </w:tcPr>
          <w:p w:rsidR="0056773E" w:rsidRDefault="00000000">
            <w:pPr>
              <w:spacing w:before="60" w:after="60"/>
              <w:jc w:val="center"/>
            </w:pPr>
            <w:r>
              <w:rPr>
                <w:b/>
                <w:bCs/>
                <w:color w:val="FFFFFF"/>
              </w:rPr>
              <w:t>Signifikan?</w:t>
            </w:r>
          </w:p>
        </w:tc>
        <w:tc>
          <w:tcPr>
            <w:tcW w:w="1000" w:type="dxa"/>
            <w:shd w:val="clear" w:color="auto" w:fill="2D75B6"/>
            <w:vAlign w:val="center"/>
          </w:tcPr>
          <w:p w:rsidR="0056773E" w:rsidRDefault="0056773E">
            <w:pPr>
              <w:spacing w:before="60" w:after="60"/>
              <w:jc w:val="center"/>
            </w:pPr>
          </w:p>
        </w:tc>
      </w:tr>
      <w:tr w:rsidR="0056773E">
        <w:tblPrEx>
          <w:tblCellMar>
            <w:top w:w="0" w:type="dxa"/>
            <w:bottom w:w="0" w:type="dxa"/>
          </w:tblCellMar>
        </w:tblPrEx>
        <w:tc>
          <w:tcPr>
            <w:tcW w:w="3000" w:type="dxa"/>
            <w:vAlign w:val="center"/>
          </w:tcPr>
          <w:p w:rsidR="0056773E" w:rsidRDefault="00000000">
            <w:pPr>
              <w:spacing w:before="60" w:after="60"/>
            </w:pPr>
            <w:r>
              <w:rPr>
                <w:color w:val="000000"/>
              </w:rPr>
              <w:t>Random Forest vs Decision Tree</w:t>
            </w:r>
          </w:p>
        </w:tc>
        <w:tc>
          <w:tcPr>
            <w:tcW w:w="1700" w:type="dxa"/>
            <w:vAlign w:val="center"/>
          </w:tcPr>
          <w:p w:rsidR="0056773E" w:rsidRDefault="00000000">
            <w:pPr>
              <w:spacing w:before="60" w:after="60"/>
              <w:jc w:val="center"/>
            </w:pPr>
            <w:r>
              <w:rPr>
                <w:color w:val="000000"/>
              </w:rPr>
              <w:t>0,00781</w:t>
            </w:r>
          </w:p>
        </w:tc>
        <w:tc>
          <w:tcPr>
            <w:tcW w:w="1700" w:type="dxa"/>
            <w:vAlign w:val="center"/>
          </w:tcPr>
          <w:p w:rsidR="0056773E" w:rsidRDefault="00000000">
            <w:pPr>
              <w:spacing w:before="60" w:after="60"/>
              <w:jc w:val="center"/>
            </w:pPr>
            <w:r>
              <w:rPr>
                <w:color w:val="000000"/>
              </w:rPr>
              <w:t>1,163</w:t>
            </w:r>
          </w:p>
        </w:tc>
        <w:tc>
          <w:tcPr>
            <w:tcW w:w="1600" w:type="dxa"/>
            <w:vAlign w:val="center"/>
          </w:tcPr>
          <w:p w:rsidR="0056773E" w:rsidRDefault="00000000">
            <w:pPr>
              <w:spacing w:before="60" w:after="60"/>
              <w:jc w:val="center"/>
            </w:pPr>
            <w:r>
              <w:rPr>
                <w:color w:val="000000"/>
              </w:rPr>
              <w:t>Ya (Large)</w:t>
            </w:r>
          </w:p>
        </w:tc>
        <w:tc>
          <w:tcPr>
            <w:tcW w:w="1000" w:type="dxa"/>
            <w:vAlign w:val="center"/>
          </w:tcPr>
          <w:p w:rsidR="0056773E" w:rsidRDefault="00000000">
            <w:pPr>
              <w:spacing w:before="60" w:after="60"/>
              <w:jc w:val="center"/>
            </w:pPr>
            <w:r>
              <w:rPr>
                <w:color w:val="000000"/>
              </w:rPr>
              <w:t>✓</w:t>
            </w:r>
          </w:p>
        </w:tc>
      </w:tr>
      <w:tr w:rsidR="0056773E">
        <w:tblPrEx>
          <w:tblCellMar>
            <w:top w:w="0" w:type="dxa"/>
            <w:bottom w:w="0" w:type="dxa"/>
          </w:tblCellMar>
        </w:tblPrEx>
        <w:tc>
          <w:tcPr>
            <w:tcW w:w="3000" w:type="dxa"/>
            <w:vAlign w:val="center"/>
          </w:tcPr>
          <w:p w:rsidR="0056773E" w:rsidRDefault="00000000">
            <w:pPr>
              <w:spacing w:before="60" w:after="60"/>
            </w:pPr>
            <w:r>
              <w:rPr>
                <w:color w:val="000000"/>
              </w:rPr>
              <w:t>Random Forest vs SVM</w:t>
            </w:r>
          </w:p>
        </w:tc>
        <w:tc>
          <w:tcPr>
            <w:tcW w:w="1700" w:type="dxa"/>
            <w:vAlign w:val="center"/>
          </w:tcPr>
          <w:p w:rsidR="0056773E" w:rsidRDefault="00000000">
            <w:pPr>
              <w:spacing w:before="60" w:after="60"/>
              <w:jc w:val="center"/>
            </w:pPr>
            <w:r>
              <w:rPr>
                <w:color w:val="000000"/>
              </w:rPr>
              <w:t>0,00195</w:t>
            </w:r>
          </w:p>
        </w:tc>
        <w:tc>
          <w:tcPr>
            <w:tcW w:w="1700" w:type="dxa"/>
            <w:vAlign w:val="center"/>
          </w:tcPr>
          <w:p w:rsidR="0056773E" w:rsidRDefault="00000000">
            <w:pPr>
              <w:spacing w:before="60" w:after="60"/>
              <w:jc w:val="center"/>
            </w:pPr>
            <w:r>
              <w:rPr>
                <w:color w:val="000000"/>
              </w:rPr>
              <w:t>3,980</w:t>
            </w:r>
          </w:p>
        </w:tc>
        <w:tc>
          <w:tcPr>
            <w:tcW w:w="1600" w:type="dxa"/>
            <w:vAlign w:val="center"/>
          </w:tcPr>
          <w:p w:rsidR="0056773E" w:rsidRDefault="00000000">
            <w:pPr>
              <w:spacing w:before="60" w:after="60"/>
              <w:jc w:val="center"/>
            </w:pPr>
            <w:r>
              <w:rPr>
                <w:color w:val="000000"/>
              </w:rPr>
              <w:t>Ya (Large)</w:t>
            </w:r>
          </w:p>
        </w:tc>
        <w:tc>
          <w:tcPr>
            <w:tcW w:w="1000" w:type="dxa"/>
            <w:vAlign w:val="center"/>
          </w:tcPr>
          <w:p w:rsidR="0056773E" w:rsidRDefault="00000000">
            <w:pPr>
              <w:spacing w:before="60" w:after="60"/>
              <w:jc w:val="center"/>
            </w:pPr>
            <w:r>
              <w:rPr>
                <w:color w:val="000000"/>
              </w:rPr>
              <w:t>✓</w:t>
            </w:r>
          </w:p>
        </w:tc>
      </w:tr>
      <w:tr w:rsidR="0056773E">
        <w:tblPrEx>
          <w:tblCellMar>
            <w:top w:w="0" w:type="dxa"/>
            <w:bottom w:w="0" w:type="dxa"/>
          </w:tblCellMar>
        </w:tblPrEx>
        <w:tc>
          <w:tcPr>
            <w:tcW w:w="3000" w:type="dxa"/>
            <w:vAlign w:val="center"/>
          </w:tcPr>
          <w:p w:rsidR="0056773E" w:rsidRDefault="00000000">
            <w:pPr>
              <w:spacing w:before="60" w:after="60"/>
            </w:pPr>
            <w:r>
              <w:rPr>
                <w:color w:val="000000"/>
              </w:rPr>
              <w:t>Decision Tree vs SVM</w:t>
            </w:r>
          </w:p>
        </w:tc>
        <w:tc>
          <w:tcPr>
            <w:tcW w:w="1700" w:type="dxa"/>
            <w:vAlign w:val="center"/>
          </w:tcPr>
          <w:p w:rsidR="0056773E" w:rsidRDefault="00000000">
            <w:pPr>
              <w:spacing w:before="60" w:after="60"/>
              <w:jc w:val="center"/>
            </w:pPr>
            <w:r>
              <w:rPr>
                <w:color w:val="000000"/>
              </w:rPr>
              <w:t>0,00195</w:t>
            </w:r>
          </w:p>
        </w:tc>
        <w:tc>
          <w:tcPr>
            <w:tcW w:w="1700" w:type="dxa"/>
            <w:vAlign w:val="center"/>
          </w:tcPr>
          <w:p w:rsidR="0056773E" w:rsidRDefault="00000000">
            <w:pPr>
              <w:spacing w:before="60" w:after="60"/>
              <w:jc w:val="center"/>
            </w:pPr>
            <w:r>
              <w:rPr>
                <w:color w:val="000000"/>
              </w:rPr>
              <w:t>4,027</w:t>
            </w:r>
          </w:p>
        </w:tc>
        <w:tc>
          <w:tcPr>
            <w:tcW w:w="1600" w:type="dxa"/>
            <w:vAlign w:val="center"/>
          </w:tcPr>
          <w:p w:rsidR="0056773E" w:rsidRDefault="00000000">
            <w:pPr>
              <w:spacing w:before="60" w:after="60"/>
              <w:jc w:val="center"/>
            </w:pPr>
            <w:r>
              <w:rPr>
                <w:color w:val="000000"/>
              </w:rPr>
              <w:t>Ya (Large)</w:t>
            </w:r>
          </w:p>
        </w:tc>
        <w:tc>
          <w:tcPr>
            <w:tcW w:w="1000" w:type="dxa"/>
            <w:vAlign w:val="center"/>
          </w:tcPr>
          <w:p w:rsidR="0056773E" w:rsidRDefault="00000000">
            <w:pPr>
              <w:spacing w:before="60" w:after="60"/>
              <w:jc w:val="center"/>
            </w:pPr>
            <w:r>
              <w:rPr>
                <w:color w:val="000000"/>
              </w:rPr>
              <w:t>✓</w:t>
            </w:r>
          </w:p>
        </w:tc>
      </w:tr>
    </w:tbl>
    <w:p w:rsidR="0056773E" w:rsidRDefault="00000000">
      <w:pPr>
        <w:spacing w:before="60" w:after="200"/>
        <w:jc w:val="center"/>
      </w:pPr>
      <w:r>
        <w:rPr>
          <w:i/>
          <w:iCs/>
        </w:rPr>
        <w:t>Tabel 7. Post-hoc Wilcoxon Signed-Rank Test (Bonferroni-corrected)</w:t>
      </w:r>
    </w:p>
    <w:p w:rsidR="0056773E" w:rsidRDefault="00000000">
      <w:pPr>
        <w:pStyle w:val="Heading2"/>
        <w:spacing w:before="200" w:after="100"/>
      </w:pPr>
      <w:r>
        <w:rPr>
          <w:b/>
          <w:bCs/>
          <w:sz w:val="24"/>
          <w:szCs w:val="24"/>
        </w:rPr>
        <w:t>5.4 Confidence Interval 95% per Model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00"/>
      </w:tblGrid>
      <w:tr w:rsidR="0056773E">
        <w:tblPrEx>
          <w:tblCellMar>
            <w:top w:w="0" w:type="dxa"/>
            <w:bottom w:w="0" w:type="dxa"/>
          </w:tblCellMar>
        </w:tblPrEx>
        <w:tc>
          <w:tcPr>
            <w:tcW w:w="2500" w:type="dxa"/>
            <w:shd w:val="clear" w:color="auto" w:fill="2D75B6"/>
            <w:vAlign w:val="center"/>
          </w:tcPr>
          <w:p w:rsidR="0056773E" w:rsidRDefault="00000000">
            <w:pPr>
              <w:spacing w:before="60" w:after="60"/>
            </w:pPr>
            <w:r>
              <w:rPr>
                <w:b/>
                <w:bCs/>
                <w:color w:val="FFFFFF"/>
              </w:rPr>
              <w:t>Model</w:t>
            </w:r>
          </w:p>
        </w:tc>
        <w:tc>
          <w:tcPr>
            <w:tcW w:w="2000" w:type="dxa"/>
            <w:shd w:val="clear" w:color="auto" w:fill="2D75B6"/>
            <w:vAlign w:val="center"/>
          </w:tcPr>
          <w:p w:rsidR="0056773E" w:rsidRDefault="00000000">
            <w:pPr>
              <w:spacing w:before="60" w:after="60"/>
              <w:jc w:val="center"/>
            </w:pPr>
            <w:r>
              <w:rPr>
                <w:b/>
                <w:bCs/>
                <w:color w:val="FFFFFF"/>
              </w:rPr>
              <w:t>Mean Akurasi</w:t>
            </w:r>
          </w:p>
        </w:tc>
        <w:tc>
          <w:tcPr>
            <w:tcW w:w="4500" w:type="dxa"/>
            <w:shd w:val="clear" w:color="auto" w:fill="2D75B6"/>
            <w:vAlign w:val="center"/>
          </w:tcPr>
          <w:p w:rsidR="0056773E" w:rsidRDefault="00000000">
            <w:pPr>
              <w:spacing w:before="60" w:after="60"/>
              <w:jc w:val="center"/>
            </w:pPr>
            <w:r>
              <w:rPr>
                <w:b/>
                <w:bCs/>
                <w:color w:val="FFFFFF"/>
              </w:rPr>
              <w:t>CI 95%</w:t>
            </w:r>
          </w:p>
        </w:tc>
      </w:tr>
      <w:tr w:rsidR="0056773E">
        <w:tblPrEx>
          <w:tblCellMar>
            <w:top w:w="0" w:type="dxa"/>
            <w:bottom w:w="0" w:type="dxa"/>
          </w:tblCellMar>
        </w:tblPrEx>
        <w:tc>
          <w:tcPr>
            <w:tcW w:w="2500" w:type="dxa"/>
            <w:vAlign w:val="center"/>
          </w:tcPr>
          <w:p w:rsidR="0056773E" w:rsidRDefault="00000000">
            <w:pPr>
              <w:spacing w:before="60" w:after="60"/>
            </w:pPr>
            <w:r>
              <w:rPr>
                <w:color w:val="000000"/>
              </w:rPr>
              <w:t>Decision Tree</w:t>
            </w:r>
          </w:p>
        </w:tc>
        <w:tc>
          <w:tcPr>
            <w:tcW w:w="2000" w:type="dxa"/>
            <w:vAlign w:val="center"/>
          </w:tcPr>
          <w:p w:rsidR="0056773E" w:rsidRDefault="00000000">
            <w:pPr>
              <w:spacing w:before="60" w:after="60"/>
              <w:jc w:val="center"/>
            </w:pPr>
            <w:r>
              <w:rPr>
                <w:color w:val="000000"/>
              </w:rPr>
              <w:t>99,49%</w:t>
            </w:r>
          </w:p>
        </w:tc>
        <w:tc>
          <w:tcPr>
            <w:tcW w:w="4500" w:type="dxa"/>
            <w:vAlign w:val="center"/>
          </w:tcPr>
          <w:p w:rsidR="0056773E" w:rsidRDefault="00000000">
            <w:pPr>
              <w:spacing w:before="60" w:after="60"/>
              <w:jc w:val="center"/>
            </w:pPr>
            <w:r>
              <w:rPr>
                <w:color w:val="000000"/>
              </w:rPr>
              <w:t>[99,43%, 99,55%]</w:t>
            </w:r>
          </w:p>
        </w:tc>
      </w:tr>
      <w:tr w:rsidR="0056773E">
        <w:tblPrEx>
          <w:tblCellMar>
            <w:top w:w="0" w:type="dxa"/>
            <w:bottom w:w="0" w:type="dxa"/>
          </w:tblCellMar>
        </w:tblPrEx>
        <w:tc>
          <w:tcPr>
            <w:tcW w:w="2500" w:type="dxa"/>
            <w:vAlign w:val="center"/>
          </w:tcPr>
          <w:p w:rsidR="0056773E" w:rsidRDefault="00000000">
            <w:pPr>
              <w:spacing w:before="60" w:after="60"/>
            </w:pPr>
            <w:r>
              <w:rPr>
                <w:b/>
                <w:bCs/>
                <w:color w:val="000000"/>
              </w:rPr>
              <w:t>Random Forest</w:t>
            </w:r>
          </w:p>
        </w:tc>
        <w:tc>
          <w:tcPr>
            <w:tcW w:w="2000" w:type="dxa"/>
            <w:vAlign w:val="center"/>
          </w:tcPr>
          <w:p w:rsidR="0056773E" w:rsidRDefault="00000000">
            <w:pPr>
              <w:spacing w:before="60" w:after="60"/>
              <w:jc w:val="center"/>
            </w:pPr>
            <w:r>
              <w:rPr>
                <w:b/>
                <w:bCs/>
                <w:color w:val="000000"/>
              </w:rPr>
              <w:t>99,57%</w:t>
            </w:r>
          </w:p>
        </w:tc>
        <w:tc>
          <w:tcPr>
            <w:tcW w:w="4500" w:type="dxa"/>
            <w:vAlign w:val="center"/>
          </w:tcPr>
          <w:p w:rsidR="0056773E" w:rsidRDefault="00000000">
            <w:pPr>
              <w:spacing w:before="60" w:after="60"/>
              <w:jc w:val="center"/>
            </w:pPr>
            <w:r>
              <w:rPr>
                <w:b/>
                <w:bCs/>
                <w:color w:val="000000"/>
              </w:rPr>
              <w:t>[99,54%, 99,61%]</w:t>
            </w:r>
          </w:p>
        </w:tc>
      </w:tr>
      <w:tr w:rsidR="0056773E">
        <w:tblPrEx>
          <w:tblCellMar>
            <w:top w:w="0" w:type="dxa"/>
            <w:bottom w:w="0" w:type="dxa"/>
          </w:tblCellMar>
        </w:tblPrEx>
        <w:tc>
          <w:tcPr>
            <w:tcW w:w="2500" w:type="dxa"/>
            <w:vAlign w:val="center"/>
          </w:tcPr>
          <w:p w:rsidR="0056773E" w:rsidRDefault="00000000">
            <w:pPr>
              <w:spacing w:before="60" w:after="60"/>
            </w:pPr>
            <w:r>
              <w:rPr>
                <w:color w:val="000000"/>
              </w:rPr>
              <w:t>SVM</w:t>
            </w:r>
          </w:p>
        </w:tc>
        <w:tc>
          <w:tcPr>
            <w:tcW w:w="2000" w:type="dxa"/>
            <w:vAlign w:val="center"/>
          </w:tcPr>
          <w:p w:rsidR="0056773E" w:rsidRDefault="00000000">
            <w:pPr>
              <w:spacing w:before="60" w:after="60"/>
              <w:jc w:val="center"/>
            </w:pPr>
            <w:r>
              <w:rPr>
                <w:color w:val="000000"/>
              </w:rPr>
              <w:t>98,29%</w:t>
            </w:r>
          </w:p>
        </w:tc>
        <w:tc>
          <w:tcPr>
            <w:tcW w:w="4500" w:type="dxa"/>
            <w:vAlign w:val="center"/>
          </w:tcPr>
          <w:p w:rsidR="0056773E" w:rsidRDefault="00000000">
            <w:pPr>
              <w:spacing w:before="60" w:after="60"/>
              <w:jc w:val="center"/>
            </w:pPr>
            <w:r>
              <w:rPr>
                <w:color w:val="000000"/>
              </w:rPr>
              <w:t>[98,07%, 98,51%]</w:t>
            </w:r>
          </w:p>
        </w:tc>
      </w:tr>
    </w:tbl>
    <w:p w:rsidR="0056773E" w:rsidRDefault="00000000">
      <w:pPr>
        <w:spacing w:before="60" w:after="200"/>
        <w:jc w:val="center"/>
      </w:pPr>
      <w:r>
        <w:rPr>
          <w:i/>
          <w:iCs/>
        </w:rPr>
        <w:t>Tabel 8. Confidence Interval 95% Mean Akurasi per Model</w:t>
      </w:r>
    </w:p>
    <w:p w:rsidR="0056773E" w:rsidRDefault="00000000">
      <w:pPr>
        <w:spacing w:after="120"/>
        <w:jc w:val="both"/>
      </w:pPr>
      <w:r>
        <w:rPr>
          <w:sz w:val="24"/>
          <w:szCs w:val="24"/>
        </w:rPr>
        <w:t>Keputusan: H0 ditolak → H1 diterima. Random Forest terbukti signifikan lebih baik dari kedua model lain berdasarkan dua uji statistik independen dengan effect size besar (Kendall's W = 0,895).</w:t>
      </w:r>
    </w:p>
    <w:p w:rsidR="0056773E" w:rsidRDefault="00000000">
      <w:r>
        <w:br w:type="page"/>
      </w:r>
    </w:p>
    <w:p w:rsidR="0056773E" w:rsidRDefault="00000000">
      <w:pPr>
        <w:pStyle w:val="Heading1"/>
        <w:spacing w:before="280" w:after="140"/>
      </w:pPr>
      <w:r>
        <w:rPr>
          <w:b/>
          <w:bCs/>
          <w:sz w:val="28"/>
          <w:szCs w:val="28"/>
        </w:rPr>
        <w:lastRenderedPageBreak/>
        <w:t>6. Pembahasan</w:t>
      </w:r>
    </w:p>
    <w:p w:rsidR="0056773E" w:rsidRDefault="00000000">
      <w:pPr>
        <w:pStyle w:val="Heading2"/>
        <w:spacing w:before="200" w:after="100"/>
      </w:pPr>
      <w:r>
        <w:rPr>
          <w:b/>
          <w:bCs/>
          <w:sz w:val="24"/>
          <w:szCs w:val="24"/>
        </w:rPr>
        <w:t>6.1 Keunggulan Random Forest</w:t>
      </w:r>
    </w:p>
    <w:p w:rsidR="0056773E" w:rsidRDefault="00000000">
      <w:pPr>
        <w:spacing w:after="120"/>
        <w:jc w:val="both"/>
      </w:pPr>
      <w:r>
        <w:rPr>
          <w:sz w:val="24"/>
          <w:szCs w:val="24"/>
        </w:rPr>
        <w:t>Random Forest unggul karena sifat ensemble-nya — menggabungkan prediksi 200 pohon keputusan (n_estimators=200) sehingga variance individual saling mengkompensasi. Ini menghasilkan model yang paling stabil (std ±0,05%, terkecil di antara ketiganya) dan memiliki False Negative paling sedikit (64 record), yang merupakan kondisi paling kritis dalam sistem keamanan jaringan karena berarti serangan yang lolos tidak terdeteksi.</w:t>
      </w:r>
    </w:p>
    <w:p w:rsidR="0056773E" w:rsidRDefault="00000000">
      <w:pPr>
        <w:pStyle w:val="Heading2"/>
        <w:spacing w:before="200" w:after="100"/>
      </w:pPr>
      <w:r>
        <w:rPr>
          <w:b/>
          <w:bCs/>
          <w:sz w:val="24"/>
          <w:szCs w:val="24"/>
        </w:rPr>
        <w:t>6.2 Performa Decision Tree</w:t>
      </w:r>
    </w:p>
    <w:p w:rsidR="0056773E" w:rsidRDefault="00000000">
      <w:pPr>
        <w:spacing w:after="120"/>
        <w:jc w:val="both"/>
      </w:pPr>
      <w:r>
        <w:rPr>
          <w:sz w:val="24"/>
          <w:szCs w:val="24"/>
        </w:rPr>
        <w:t>Decision Tree sangat kompetitif (accuracy 99,58%) dengan keunggulan utama di efisiensi komputasi (0,66 detik — 25× lebih cepat dari RF). Selisih accuracy RF vs DT hanya 0,03 poin, namun signifikan secara statistik (p=0,00781, d=1,163). Untuk sistem real-time dengan resource terbatas, Decision Tree dapat menjadi pilihan praktis yang hampir setara dengan Random Forest.</w:t>
      </w:r>
    </w:p>
    <w:p w:rsidR="0056773E" w:rsidRDefault="00000000">
      <w:pPr>
        <w:pStyle w:val="Heading2"/>
        <w:spacing w:before="200" w:after="100"/>
      </w:pPr>
      <w:r>
        <w:rPr>
          <w:b/>
          <w:bCs/>
          <w:sz w:val="24"/>
          <w:szCs w:val="24"/>
        </w:rPr>
        <w:t>6.3 Performa SVM</w:t>
      </w:r>
    </w:p>
    <w:p w:rsidR="0056773E" w:rsidRDefault="00000000">
      <w:pPr>
        <w:spacing w:after="120"/>
        <w:jc w:val="both"/>
      </w:pPr>
      <w:r>
        <w:rPr>
          <w:sz w:val="24"/>
          <w:szCs w:val="24"/>
        </w:rPr>
        <w:t>SVM menunjukkan performa terendah di semua metrik dan tertinggi di variabilitas (std ±0,30% — 6× lebih tidak stabil dari RF), dengan waktu komputasi paling lama (46 detik training final, 180 detik grid search). Perlu dicatat bahwa SVM dalam penelitian ini dilatih pada subset 30.000 record (bukan data penuh) karena keterbatasan komputasi kernel RBF — sehingga perbandingannya dengan DT/RF tidak sepenuhnya setara. Ini dicatat sebagai keterbatasan penelitian.</w:t>
      </w:r>
    </w:p>
    <w:p w:rsidR="0056773E" w:rsidRDefault="00000000">
      <w:pPr>
        <w:pStyle w:val="Heading2"/>
        <w:spacing w:before="200" w:after="100"/>
      </w:pPr>
      <w:r>
        <w:rPr>
          <w:b/>
          <w:bCs/>
          <w:sz w:val="24"/>
          <w:szCs w:val="24"/>
        </w:rPr>
        <w:t>6.4 Perbandingan dengan Jurnal Rujukan</w:t>
      </w:r>
    </w:p>
    <w:p w:rsidR="0056773E" w:rsidRDefault="00000000">
      <w:pPr>
        <w:spacing w:after="120"/>
        <w:jc w:val="both"/>
      </w:pPr>
      <w:r>
        <w:rPr>
          <w:sz w:val="24"/>
          <w:szCs w:val="24"/>
        </w:rPr>
        <w:t>Pola urutan performa (RF &gt; DT &gt; SVM) konsisten dengan Sari et al. (2024). Akurasi absolut lebih tinggi (99,61% vs 96,8% untuk RF) karena perbedaan skema split — penelitian ini menggabungkan KDDTrain+ dan KDDTest+ lalu split acak 70:30, menghilangkan tantangan 'unseen attack' dari desain asli dataset NSL-KDD. Ini dicatat sebagai keterbatasan internal validity.</w:t>
      </w:r>
    </w:p>
    <w:p w:rsidR="0056773E" w:rsidRDefault="00000000">
      <w:r>
        <w:br w:type="page"/>
      </w:r>
    </w:p>
    <w:p w:rsidR="0056773E" w:rsidRDefault="00000000">
      <w:pPr>
        <w:pStyle w:val="Heading1"/>
        <w:spacing w:before="280" w:after="140"/>
      </w:pPr>
      <w:r>
        <w:rPr>
          <w:b/>
          <w:bCs/>
          <w:sz w:val="28"/>
          <w:szCs w:val="28"/>
        </w:rPr>
        <w:lastRenderedPageBreak/>
        <w:t>7. Kendala Pelaksanaan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00"/>
      </w:tblGrid>
      <w:tr w:rsidR="0056773E">
        <w:tblPrEx>
          <w:tblCellMar>
            <w:top w:w="0" w:type="dxa"/>
            <w:bottom w:w="0" w:type="dxa"/>
          </w:tblCellMar>
        </w:tblPrEx>
        <w:tc>
          <w:tcPr>
            <w:tcW w:w="2500" w:type="dxa"/>
            <w:shd w:val="clear" w:color="auto" w:fill="2D75B6"/>
            <w:vAlign w:val="center"/>
          </w:tcPr>
          <w:p w:rsidR="0056773E" w:rsidRDefault="00000000">
            <w:pPr>
              <w:spacing w:before="60" w:after="60"/>
            </w:pPr>
            <w:r>
              <w:rPr>
                <w:b/>
                <w:bCs/>
                <w:color w:val="FFFFFF"/>
              </w:rPr>
              <w:t>Kendala</w:t>
            </w:r>
          </w:p>
        </w:tc>
        <w:tc>
          <w:tcPr>
            <w:tcW w:w="3500" w:type="dxa"/>
            <w:shd w:val="clear" w:color="auto" w:fill="2D75B6"/>
            <w:vAlign w:val="center"/>
          </w:tcPr>
          <w:p w:rsidR="0056773E" w:rsidRDefault="00000000">
            <w:pPr>
              <w:spacing w:before="60" w:after="60"/>
            </w:pPr>
            <w:r>
              <w:rPr>
                <w:b/>
                <w:bCs/>
                <w:color w:val="FFFFFF"/>
              </w:rPr>
              <w:t>Deskripsi</w:t>
            </w:r>
          </w:p>
        </w:tc>
        <w:tc>
          <w:tcPr>
            <w:tcW w:w="3000" w:type="dxa"/>
            <w:shd w:val="clear" w:color="auto" w:fill="2D75B6"/>
            <w:vAlign w:val="center"/>
          </w:tcPr>
          <w:p w:rsidR="0056773E" w:rsidRDefault="00000000">
            <w:pPr>
              <w:spacing w:before="60" w:after="60"/>
            </w:pPr>
            <w:r>
              <w:rPr>
                <w:b/>
                <w:bCs/>
                <w:color w:val="FFFFFF"/>
              </w:rPr>
              <w:t>Solusi</w:t>
            </w:r>
          </w:p>
        </w:tc>
      </w:tr>
      <w:tr w:rsidR="0056773E">
        <w:tblPrEx>
          <w:tblCellMar>
            <w:top w:w="0" w:type="dxa"/>
            <w:bottom w:w="0" w:type="dxa"/>
          </w:tblCellMar>
        </w:tblPrEx>
        <w:tc>
          <w:tcPr>
            <w:tcW w:w="2500" w:type="dxa"/>
            <w:vAlign w:val="center"/>
          </w:tcPr>
          <w:p w:rsidR="0056773E" w:rsidRDefault="00000000">
            <w:pPr>
              <w:spacing w:before="60" w:after="60"/>
            </w:pPr>
            <w:r>
              <w:rPr>
                <w:color w:val="000000"/>
              </w:rPr>
              <w:t>SVM macet 2j 43m</w:t>
            </w:r>
          </w:p>
        </w:tc>
        <w:tc>
          <w:tcPr>
            <w:tcW w:w="3500" w:type="dxa"/>
            <w:vAlign w:val="center"/>
          </w:tcPr>
          <w:p w:rsidR="0056773E" w:rsidRDefault="00000000">
            <w:pPr>
              <w:spacing w:before="60" w:after="60"/>
            </w:pPr>
            <w:r>
              <w:rPr>
                <w:color w:val="000000"/>
              </w:rPr>
              <w:t>Percobaan awal training SVM penuh (77.057 record) menyebabkan Colab macet tanpa hasil</w:t>
            </w:r>
          </w:p>
        </w:tc>
        <w:tc>
          <w:tcPr>
            <w:tcW w:w="3000" w:type="dxa"/>
            <w:vAlign w:val="center"/>
          </w:tcPr>
          <w:p w:rsidR="0056773E" w:rsidRDefault="00000000">
            <w:pPr>
              <w:spacing w:before="60" w:after="60"/>
            </w:pPr>
            <w:r>
              <w:rPr>
                <w:color w:val="000000"/>
              </w:rPr>
              <w:t>Subset: 15.000 untuk CV &amp; grid search, 30.000 untuk training final</w:t>
            </w:r>
          </w:p>
        </w:tc>
      </w:tr>
      <w:tr w:rsidR="0056773E">
        <w:tblPrEx>
          <w:tblCellMar>
            <w:top w:w="0" w:type="dxa"/>
            <w:bottom w:w="0" w:type="dxa"/>
          </w:tblCellMar>
        </w:tblPrEx>
        <w:tc>
          <w:tcPr>
            <w:tcW w:w="2500" w:type="dxa"/>
            <w:vAlign w:val="center"/>
          </w:tcPr>
          <w:p w:rsidR="0056773E" w:rsidRDefault="00000000">
            <w:pPr>
              <w:spacing w:before="60" w:after="60"/>
            </w:pPr>
            <w:r>
              <w:rPr>
                <w:color w:val="000000"/>
              </w:rPr>
              <w:t>FileNotFoundError</w:t>
            </w:r>
          </w:p>
        </w:tc>
        <w:tc>
          <w:tcPr>
            <w:tcW w:w="3500" w:type="dxa"/>
            <w:vAlign w:val="center"/>
          </w:tcPr>
          <w:p w:rsidR="0056773E" w:rsidRDefault="00000000">
            <w:pPr>
              <w:spacing w:before="60" w:after="60"/>
            </w:pPr>
            <w:r>
              <w:rPr>
                <w:color w:val="000000"/>
              </w:rPr>
              <w:t>Dataset tidak ditemukan saat pertama menjalankan script</w:t>
            </w:r>
          </w:p>
        </w:tc>
        <w:tc>
          <w:tcPr>
            <w:tcW w:w="3000" w:type="dxa"/>
            <w:vAlign w:val="center"/>
          </w:tcPr>
          <w:p w:rsidR="0056773E" w:rsidRDefault="00000000">
            <w:pPr>
              <w:spacing w:before="60" w:after="60"/>
            </w:pPr>
            <w:r>
              <w:rPr>
                <w:color w:val="000000"/>
              </w:rPr>
              <w:t>Tambah STEP 0 (wget) untuk download otomatis dari GitHub</w:t>
            </w:r>
          </w:p>
        </w:tc>
      </w:tr>
      <w:tr w:rsidR="0056773E">
        <w:tblPrEx>
          <w:tblCellMar>
            <w:top w:w="0" w:type="dxa"/>
            <w:bottom w:w="0" w:type="dxa"/>
          </w:tblCellMar>
        </w:tblPrEx>
        <w:tc>
          <w:tcPr>
            <w:tcW w:w="2500" w:type="dxa"/>
            <w:vAlign w:val="center"/>
          </w:tcPr>
          <w:p w:rsidR="0056773E" w:rsidRDefault="00000000">
            <w:pPr>
              <w:spacing w:before="60" w:after="60"/>
            </w:pPr>
            <w:r>
              <w:rPr>
                <w:color w:val="000000"/>
              </w:rPr>
              <w:t>Akurasi terlalu tinggi (&gt;99%)</w:t>
            </w:r>
          </w:p>
        </w:tc>
        <w:tc>
          <w:tcPr>
            <w:tcW w:w="3500" w:type="dxa"/>
            <w:vAlign w:val="center"/>
          </w:tcPr>
          <w:p w:rsidR="0056773E" w:rsidRDefault="00000000">
            <w:pPr>
              <w:spacing w:before="60" w:after="60"/>
            </w:pPr>
            <w:r>
              <w:rPr>
                <w:color w:val="000000"/>
              </w:rPr>
              <w:t>Hasil lebih tinggi dari jurnal rujukan (96,8%) — tampak mencurigakan</w:t>
            </w:r>
          </w:p>
        </w:tc>
        <w:tc>
          <w:tcPr>
            <w:tcW w:w="3000" w:type="dxa"/>
            <w:vAlign w:val="center"/>
          </w:tcPr>
          <w:p w:rsidR="0056773E" w:rsidRDefault="00000000">
            <w:pPr>
              <w:spacing w:before="60" w:after="60"/>
            </w:pPr>
            <w:r>
              <w:rPr>
                <w:color w:val="000000"/>
              </w:rPr>
              <w:t>Diinvestigasi: disebabkan skema split 70:30 acak yang menghilangkan 'unseen attack'. Dicatat sebagai limitation</w:t>
            </w:r>
          </w:p>
        </w:tc>
      </w:tr>
    </w:tbl>
    <w:p w:rsidR="0056773E" w:rsidRDefault="00000000">
      <w:pPr>
        <w:spacing w:before="60" w:after="200"/>
        <w:jc w:val="center"/>
      </w:pPr>
      <w:r>
        <w:rPr>
          <w:i/>
          <w:iCs/>
        </w:rPr>
        <w:t>Tabel 9. Kendala dan Solusi Selama Pelaksanaan</w:t>
      </w:r>
    </w:p>
    <w:p w:rsidR="0056773E" w:rsidRDefault="00000000">
      <w:r>
        <w:br w:type="page"/>
      </w:r>
    </w:p>
    <w:p w:rsidR="0056773E" w:rsidRDefault="00000000">
      <w:pPr>
        <w:pStyle w:val="Heading1"/>
        <w:spacing w:before="280" w:after="140"/>
      </w:pPr>
      <w:r>
        <w:rPr>
          <w:b/>
          <w:bCs/>
          <w:sz w:val="28"/>
          <w:szCs w:val="28"/>
        </w:rPr>
        <w:lastRenderedPageBreak/>
        <w:t>8. Kesimpulan dan Saran</w:t>
      </w:r>
    </w:p>
    <w:p w:rsidR="0056773E" w:rsidRDefault="00000000">
      <w:pPr>
        <w:pStyle w:val="Heading2"/>
        <w:spacing w:before="200" w:after="100"/>
      </w:pPr>
      <w:r>
        <w:rPr>
          <w:b/>
          <w:bCs/>
          <w:sz w:val="24"/>
          <w:szCs w:val="24"/>
        </w:rPr>
        <w:t>8.1 Kesimpulan</w:t>
      </w:r>
    </w:p>
    <w:p w:rsidR="0056773E" w:rsidRDefault="00000000">
      <w:pPr>
        <w:spacing w:after="120"/>
        <w:jc w:val="both"/>
      </w:pPr>
      <w:r>
        <w:rPr>
          <w:sz w:val="24"/>
          <w:szCs w:val="24"/>
        </w:rPr>
        <w:t>(1) H1 diterima secara statistik — Random Forest terbukti signifikan lebih baik dari Decision Tree dan SVM (Friedman p=0,00013, Kendall's W=0,895).</w:t>
      </w:r>
    </w:p>
    <w:p w:rsidR="0056773E" w:rsidRDefault="00000000">
      <w:pPr>
        <w:spacing w:after="120"/>
        <w:jc w:val="both"/>
      </w:pPr>
      <w:r>
        <w:rPr>
          <w:sz w:val="24"/>
          <w:szCs w:val="24"/>
        </w:rPr>
        <w:t>(2) Random Forest adalah pilihan terbaik secara statistik: accuracy 99,61%, FN terkecil (64 record), AUC tertinggi (0,9997), dan paling stabil (std ±0,05%).</w:t>
      </w:r>
    </w:p>
    <w:p w:rsidR="0056773E" w:rsidRDefault="00000000">
      <w:pPr>
        <w:spacing w:after="120"/>
        <w:jc w:val="both"/>
      </w:pPr>
      <w:r>
        <w:rPr>
          <w:sz w:val="24"/>
          <w:szCs w:val="24"/>
        </w:rPr>
        <w:t>(3) Decision Tree kompetitif dan efisien — selisih accuracy hanya 0,03 poin dari RF, namun 25× lebih cepat. Untuk sistem real-time dengan resource terbatas, DT adalah pilihan praktis.</w:t>
      </w:r>
    </w:p>
    <w:p w:rsidR="0056773E" w:rsidRDefault="00000000">
      <w:pPr>
        <w:spacing w:after="120"/>
        <w:jc w:val="both"/>
      </w:pPr>
      <w:r>
        <w:rPr>
          <w:sz w:val="24"/>
          <w:szCs w:val="24"/>
        </w:rPr>
        <w:t>(4) SVM tidak direkomendasikan untuk dataset besar: performa terendah, variabilitas tertinggi, waktu komputasi terlama.</w:t>
      </w:r>
    </w:p>
    <w:p w:rsidR="0056773E" w:rsidRDefault="00000000">
      <w:pPr>
        <w:spacing w:after="120"/>
        <w:jc w:val="both"/>
      </w:pPr>
      <w:r>
        <w:rPr>
          <w:sz w:val="24"/>
          <w:szCs w:val="24"/>
        </w:rPr>
        <w:t>(5) Uji statistik formal wajib dilakukan — tanpa Friedman test dan effect size, keunggulan RF atas DT yang hanya 0,03 poin tidak bisa diklaim signifikan secara ilmiah.</w:t>
      </w:r>
    </w:p>
    <w:p w:rsidR="0056773E" w:rsidRDefault="00000000">
      <w:pPr>
        <w:pStyle w:val="Heading2"/>
        <w:spacing w:before="200" w:after="100"/>
      </w:pPr>
      <w:r>
        <w:rPr>
          <w:b/>
          <w:bCs/>
          <w:sz w:val="24"/>
          <w:szCs w:val="24"/>
        </w:rPr>
        <w:t>8.2 Keterbatasan</w:t>
      </w:r>
    </w:p>
    <w:p w:rsidR="0056773E" w:rsidRDefault="00000000">
      <w:pPr>
        <w:spacing w:after="120"/>
        <w:jc w:val="both"/>
      </w:pPr>
      <w:r>
        <w:rPr>
          <w:sz w:val="24"/>
          <w:szCs w:val="24"/>
        </w:rPr>
        <w:t>(1) Internal validity: split 70:30 acak menghilangkan 'unseen attack' dari KDDTest+ → akurasi artifisial tinggi (&gt;99%).</w:t>
      </w:r>
    </w:p>
    <w:p w:rsidR="0056773E" w:rsidRDefault="00000000">
      <w:pPr>
        <w:spacing w:after="120"/>
        <w:jc w:val="both"/>
      </w:pPr>
      <w:r>
        <w:rPr>
          <w:sz w:val="24"/>
          <w:szCs w:val="24"/>
        </w:rPr>
        <w:t>(2) External validity: hanya menggunakan dataset NSL-KDD → sulit digeneralisasi ke domain/dataset lain.</w:t>
      </w:r>
    </w:p>
    <w:p w:rsidR="0056773E" w:rsidRDefault="00000000">
      <w:pPr>
        <w:spacing w:after="120"/>
        <w:jc w:val="both"/>
      </w:pPr>
      <w:r>
        <w:rPr>
          <w:sz w:val="24"/>
          <w:szCs w:val="24"/>
        </w:rPr>
        <w:t>(3) Computational: SVM dilatih pada subset, bukan data penuh → perbandingan SVM vs DT/RF tidak sepenuhnya setara.</w:t>
      </w:r>
    </w:p>
    <w:p w:rsidR="0056773E" w:rsidRDefault="00000000">
      <w:pPr>
        <w:pStyle w:val="Heading2"/>
        <w:spacing w:before="200" w:after="100"/>
      </w:pPr>
      <w:r>
        <w:rPr>
          <w:b/>
          <w:bCs/>
          <w:sz w:val="24"/>
          <w:szCs w:val="24"/>
        </w:rPr>
        <w:t>8.3 Saran</w:t>
      </w:r>
    </w:p>
    <w:p w:rsidR="0056773E" w:rsidRDefault="00000000">
      <w:pPr>
        <w:spacing w:after="120"/>
        <w:jc w:val="both"/>
      </w:pPr>
      <w:r>
        <w:rPr>
          <w:sz w:val="24"/>
          <w:szCs w:val="24"/>
        </w:rPr>
        <w:t>(1) Uji ulang dengan split asli (KDDTrain+ untuk latih, KDDTest+ murni untuk uji) agar tantangan generalisasi 'unseen attack' tetap terjaga.</w:t>
      </w:r>
    </w:p>
    <w:p w:rsidR="0056773E" w:rsidRDefault="00000000">
      <w:pPr>
        <w:spacing w:after="120"/>
        <w:jc w:val="both"/>
      </w:pPr>
      <w:r>
        <w:rPr>
          <w:sz w:val="24"/>
          <w:szCs w:val="24"/>
        </w:rPr>
        <w:t>(2) Validasi pada dataset lebih modern: UNSW-NB15, CICIDS2017.</w:t>
      </w:r>
    </w:p>
    <w:p w:rsidR="0056773E" w:rsidRDefault="00000000">
      <w:pPr>
        <w:spacing w:after="120"/>
        <w:jc w:val="both"/>
      </w:pPr>
      <w:r>
        <w:rPr>
          <w:sz w:val="24"/>
          <w:szCs w:val="24"/>
        </w:rPr>
        <w:t>(3) Eksplorasi teknik untuk mempercepat SVM pada data besar (SGD, Nyström approximation) agar perbandingan lebih adil.</w:t>
      </w:r>
    </w:p>
    <w:p w:rsidR="0056773E" w:rsidRDefault="00000000">
      <w:pPr>
        <w:spacing w:after="120"/>
        <w:jc w:val="both"/>
      </w:pPr>
      <w:r>
        <w:rPr>
          <w:sz w:val="24"/>
          <w:szCs w:val="24"/>
        </w:rPr>
        <w:t>(4) Integrasi model terbaik (Random Forest) ke sistem IDS real-time dengan data trafik jaringan sesungguhnya.</w:t>
      </w:r>
    </w:p>
    <w:p w:rsidR="0056773E" w:rsidRDefault="00000000">
      <w:r>
        <w:br w:type="page"/>
      </w:r>
    </w:p>
    <w:p w:rsidR="0056773E" w:rsidRDefault="00000000">
      <w:pPr>
        <w:pStyle w:val="Heading1"/>
        <w:spacing w:before="280" w:after="140"/>
      </w:pPr>
      <w:r>
        <w:rPr>
          <w:b/>
          <w:bCs/>
          <w:sz w:val="28"/>
          <w:szCs w:val="28"/>
        </w:rPr>
        <w:lastRenderedPageBreak/>
        <w:t>9. Daftar Pustaka</w:t>
      </w:r>
    </w:p>
    <w:p w:rsidR="0056773E" w:rsidRDefault="00000000">
      <w:pPr>
        <w:spacing w:after="120"/>
        <w:jc w:val="both"/>
      </w:pPr>
      <w:r>
        <w:rPr>
          <w:sz w:val="24"/>
          <w:szCs w:val="24"/>
        </w:rPr>
        <w:t>Sari, D. P., Halim, Z., Irlon, Waseso, B., &amp; Saromah. (2024). Implementasi Machine Learning untuk Deteksi Intrusi pada Jaringan Komputer. Jurnal Minfo Polgan, 13(2), 1389–1394.</w:t>
      </w:r>
    </w:p>
    <w:p w:rsidR="0056773E" w:rsidRDefault="00000000">
      <w:pPr>
        <w:spacing w:after="120"/>
        <w:jc w:val="both"/>
      </w:pPr>
      <w:r>
        <w:rPr>
          <w:sz w:val="24"/>
          <w:szCs w:val="24"/>
        </w:rPr>
        <w:t>Singh, S., Ramkumar, K. R., &amp; Kukkar, A. (2021). Machine Learning Techniques and Implementation of Different ML Algorithms. 2021 2nd Global Conference for Advancement in Technology (GCAT 2021). https://doi.org/10.1109/GCAT52182.2021.9586806</w:t>
      </w:r>
    </w:p>
    <w:p w:rsidR="0056773E" w:rsidRDefault="00000000">
      <w:pPr>
        <w:spacing w:after="120"/>
        <w:jc w:val="both"/>
      </w:pPr>
      <w:r>
        <w:rPr>
          <w:sz w:val="24"/>
          <w:szCs w:val="24"/>
        </w:rPr>
        <w:t>Maxwell, A. E., Warner, T. A., &amp; Fang, F. (2018). Implementation of machine-learning classification in remote sensing: an applied review. International Journal of Remote Sensing, 39(9), 2784–2817.</w:t>
      </w:r>
    </w:p>
    <w:p w:rsidR="0056773E" w:rsidRDefault="00000000">
      <w:pPr>
        <w:spacing w:after="120"/>
        <w:jc w:val="both"/>
      </w:pPr>
      <w:r>
        <w:rPr>
          <w:sz w:val="24"/>
          <w:szCs w:val="24"/>
        </w:rPr>
        <w:t>Bororing, G. M. G. (2024). Pengembangan Algoritma Machine Learning untuk Mendeteksi Anomali dalam Jaringan Komputer. Jurnal Review Pendidikan dan Pengajaran (JRPP), 7(1), 1361–1368.</w:t>
      </w:r>
    </w:p>
    <w:p w:rsidR="0056773E" w:rsidRDefault="00000000">
      <w:pPr>
        <w:spacing w:after="120"/>
        <w:jc w:val="both"/>
      </w:pPr>
      <w:r>
        <w:rPr>
          <w:sz w:val="24"/>
          <w:szCs w:val="24"/>
        </w:rPr>
        <w:t>Bhanu, K. N., Jasmine, H. J., &amp; Mahadevaswamy, H. S. (2020). Machine Learning Implementation in IoT based Intelligent System for Agriculture. INCET 2020.</w:t>
      </w:r>
    </w:p>
    <w:sectPr w:rsidR="0056773E">
      <w:pgSz w:w="11906" w:h="16838"/>
      <w:pgMar w:top="1440" w:right="126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BD77B2"/>
    <w:multiLevelType w:val="hybridMultilevel"/>
    <w:tmpl w:val="6A6C088C"/>
    <w:lvl w:ilvl="0" w:tplc="2FECC4C4">
      <w:start w:val="1"/>
      <w:numFmt w:val="bullet"/>
      <w:lvlText w:val="●"/>
      <w:lvlJc w:val="left"/>
      <w:pPr>
        <w:ind w:left="720" w:hanging="360"/>
      </w:pPr>
    </w:lvl>
    <w:lvl w:ilvl="1" w:tplc="31F83E18">
      <w:start w:val="1"/>
      <w:numFmt w:val="bullet"/>
      <w:lvlText w:val="○"/>
      <w:lvlJc w:val="left"/>
      <w:pPr>
        <w:ind w:left="1440" w:hanging="360"/>
      </w:pPr>
    </w:lvl>
    <w:lvl w:ilvl="2" w:tplc="9D949E98">
      <w:start w:val="1"/>
      <w:numFmt w:val="bullet"/>
      <w:lvlText w:val="■"/>
      <w:lvlJc w:val="left"/>
      <w:pPr>
        <w:ind w:left="2160" w:hanging="360"/>
      </w:pPr>
    </w:lvl>
    <w:lvl w:ilvl="3" w:tplc="AA4466B0">
      <w:start w:val="1"/>
      <w:numFmt w:val="bullet"/>
      <w:lvlText w:val="●"/>
      <w:lvlJc w:val="left"/>
      <w:pPr>
        <w:ind w:left="2880" w:hanging="360"/>
      </w:pPr>
    </w:lvl>
    <w:lvl w:ilvl="4" w:tplc="E3E2DD1C">
      <w:start w:val="1"/>
      <w:numFmt w:val="bullet"/>
      <w:lvlText w:val="○"/>
      <w:lvlJc w:val="left"/>
      <w:pPr>
        <w:ind w:left="3600" w:hanging="360"/>
      </w:pPr>
    </w:lvl>
    <w:lvl w:ilvl="5" w:tplc="02B66BA0">
      <w:start w:val="1"/>
      <w:numFmt w:val="bullet"/>
      <w:lvlText w:val="■"/>
      <w:lvlJc w:val="left"/>
      <w:pPr>
        <w:ind w:left="4320" w:hanging="360"/>
      </w:pPr>
    </w:lvl>
    <w:lvl w:ilvl="6" w:tplc="79981DC0">
      <w:start w:val="1"/>
      <w:numFmt w:val="bullet"/>
      <w:lvlText w:val="●"/>
      <w:lvlJc w:val="left"/>
      <w:pPr>
        <w:ind w:left="5040" w:hanging="360"/>
      </w:pPr>
    </w:lvl>
    <w:lvl w:ilvl="7" w:tplc="8EC6E7C6">
      <w:start w:val="1"/>
      <w:numFmt w:val="bullet"/>
      <w:lvlText w:val="●"/>
      <w:lvlJc w:val="left"/>
      <w:pPr>
        <w:ind w:left="5760" w:hanging="360"/>
      </w:pPr>
    </w:lvl>
    <w:lvl w:ilvl="8" w:tplc="20467660">
      <w:start w:val="1"/>
      <w:numFmt w:val="bullet"/>
      <w:lvlText w:val="●"/>
      <w:lvlJc w:val="left"/>
      <w:pPr>
        <w:ind w:left="6480" w:hanging="360"/>
      </w:pPr>
    </w:lvl>
  </w:abstractNum>
  <w:num w:numId="1" w16cid:durableId="1665669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73E"/>
    <w:rsid w:val="0011303A"/>
    <w:rsid w:val="00567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F9769"/>
  <w15:docId w15:val="{150013A1-2A69-4423-AD32-BAF0558EE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1796</Words>
  <Characters>10239</Characters>
  <Application>Microsoft Office Word</Application>
  <DocSecurity>0</DocSecurity>
  <Lines>85</Lines>
  <Paragraphs>24</Paragraphs>
  <ScaleCrop>false</ScaleCrop>
  <Company/>
  <LinksUpToDate>false</LinksUpToDate>
  <CharactersWithSpaces>12011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USER.id</cp:lastModifiedBy>
  <cp:revision>2</cp:revision>
  <dcterms:created xsi:type="dcterms:W3CDTF">2026-07-11T06:47:00Z</dcterms:created>
  <dcterms:modified xsi:type="dcterms:W3CDTF">2026-07-14T23:21:00Z</dcterms:modified>
</cp:coreProperties>
</file>