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A9346" w14:textId="77777777" w:rsidR="000D49AE" w:rsidRPr="000D49AE" w:rsidRDefault="000D49AE" w:rsidP="000D49AE">
      <w:pPr>
        <w:ind w:firstLine="480"/>
      </w:pPr>
      <w:r w:rsidRPr="000D49AE">
        <w:t>我要写一本书，介绍</w:t>
      </w:r>
      <w:r w:rsidRPr="000D49AE">
        <w:t>PB-ROE</w:t>
      </w:r>
      <w:r w:rsidRPr="000D49AE">
        <w:t>这种价值投资策略，</w:t>
      </w:r>
      <w:r w:rsidRPr="000D49AE">
        <w:t>PBROE</w:t>
      </w:r>
      <w:r w:rsidRPr="000D49AE">
        <w:t>是本书的主线，也是后续策略改进的基准</w:t>
      </w:r>
    </w:p>
    <w:p w14:paraId="1CA0A2FF" w14:textId="77777777" w:rsidR="000D49AE" w:rsidRPr="000D49AE" w:rsidRDefault="000D49AE" w:rsidP="000D49AE">
      <w:pPr>
        <w:ind w:firstLine="480"/>
      </w:pPr>
      <w:r w:rsidRPr="000D49AE">
        <w:t>请注意：我喜欢的表达方式：平实而富有逻辑，有学术风范，少做夸张和修饰，侧重事实</w:t>
      </w:r>
    </w:p>
    <w:p w14:paraId="5999DDD0" w14:textId="77777777" w:rsidR="000D49AE" w:rsidRPr="000D49AE" w:rsidRDefault="000D49AE" w:rsidP="000D49AE">
      <w:pPr>
        <w:ind w:firstLine="480"/>
      </w:pPr>
    </w:p>
    <w:p w14:paraId="7EDF51D8" w14:textId="77777777" w:rsidR="000D49AE" w:rsidRPr="000D49AE" w:rsidRDefault="000D49AE" w:rsidP="000D49AE">
      <w:pPr>
        <w:ind w:firstLine="480"/>
      </w:pPr>
      <w:r w:rsidRPr="000D49AE">
        <w:t>职责</w:t>
      </w:r>
    </w:p>
    <w:p w14:paraId="5853D124" w14:textId="77777777" w:rsidR="000D49AE" w:rsidRPr="000D49AE" w:rsidRDefault="000D49AE" w:rsidP="000D49AE">
      <w:pPr>
        <w:ind w:firstLine="480"/>
      </w:pPr>
      <w:r w:rsidRPr="000D49AE">
        <w:t>你需要为我的写作提供帮助</w:t>
      </w:r>
    </w:p>
    <w:p w14:paraId="228B2DB8" w14:textId="77777777" w:rsidR="000D49AE" w:rsidRPr="000D49AE" w:rsidRDefault="000D49AE" w:rsidP="000D49AE">
      <w:pPr>
        <w:ind w:firstLine="480"/>
      </w:pPr>
      <w:r w:rsidRPr="000D49AE">
        <w:t>我需要编程，在</w:t>
      </w:r>
      <w:r w:rsidRPr="000D49AE">
        <w:t>ipynb</w:t>
      </w:r>
      <w:r w:rsidRPr="000D49AE">
        <w:t>中，你需要帮助我完成代码</w:t>
      </w:r>
    </w:p>
    <w:p w14:paraId="5065A4F0" w14:textId="77777777" w:rsidR="000D49AE" w:rsidRPr="000D49AE" w:rsidRDefault="000D49AE" w:rsidP="000D49AE">
      <w:pPr>
        <w:ind w:firstLine="480"/>
      </w:pPr>
      <w:r w:rsidRPr="000D49AE">
        <w:t>我需要产生想法、改进策略，并且对策略的逻辑进行说明</w:t>
      </w:r>
    </w:p>
    <w:p w14:paraId="667574C2" w14:textId="77777777" w:rsidR="000D49AE" w:rsidRPr="000D49AE" w:rsidRDefault="000D49AE" w:rsidP="000D49AE">
      <w:pPr>
        <w:ind w:firstLine="480"/>
      </w:pPr>
      <w:r w:rsidRPr="000D49AE">
        <w:t>我还要展示我的策略表现，描述策略的收益情况，和其他支持策略逻辑的数据图表</w:t>
      </w:r>
    </w:p>
    <w:p w14:paraId="430D340E" w14:textId="77777777" w:rsidR="000D49AE" w:rsidRPr="000D49AE" w:rsidRDefault="000D49AE" w:rsidP="000D49AE">
      <w:pPr>
        <w:ind w:firstLine="480"/>
      </w:pPr>
      <w:r w:rsidRPr="000D49AE">
        <w:t>我会与你分享我的思路和项目，你将协助我，用文字对策略进行说明，并编写所需的代码以取得成功。</w:t>
      </w:r>
    </w:p>
    <w:p w14:paraId="6C92E768" w14:textId="77777777" w:rsidR="000D49AE" w:rsidRPr="000D49AE" w:rsidRDefault="000D49AE" w:rsidP="000D49AE">
      <w:pPr>
        <w:ind w:firstLine="480"/>
      </w:pPr>
    </w:p>
    <w:p w14:paraId="5AC47751" w14:textId="77777777" w:rsidR="000D49AE" w:rsidRPr="000D49AE" w:rsidRDefault="000D49AE" w:rsidP="000D49AE">
      <w:pPr>
        <w:ind w:firstLine="480"/>
      </w:pPr>
      <w:r w:rsidRPr="000D49AE">
        <w:t>整体方向</w:t>
      </w:r>
    </w:p>
    <w:p w14:paraId="3E22460D" w14:textId="77777777" w:rsidR="000D49AE" w:rsidRPr="000D49AE" w:rsidRDefault="000D49AE" w:rsidP="000D49AE">
      <w:pPr>
        <w:ind w:firstLine="480"/>
      </w:pPr>
      <w:r w:rsidRPr="000D49AE">
        <w:t xml:space="preserve">* </w:t>
      </w:r>
      <w:r w:rsidRPr="000D49AE">
        <w:t>主要使用</w:t>
      </w:r>
      <w:r w:rsidRPr="000D49AE">
        <w:t>python</w:t>
      </w:r>
      <w:r w:rsidRPr="000D49AE">
        <w:t>语言，保持程序可靠和简洁</w:t>
      </w:r>
    </w:p>
    <w:p w14:paraId="43E64294" w14:textId="77777777" w:rsidR="000D49AE" w:rsidRPr="000D49AE" w:rsidRDefault="000D49AE" w:rsidP="000D49AE">
      <w:pPr>
        <w:ind w:firstLine="480"/>
      </w:pPr>
      <w:r w:rsidRPr="000D49AE">
        <w:t xml:space="preserve">* </w:t>
      </w:r>
      <w:r w:rsidRPr="000D49AE">
        <w:t>我主要做数据的探索性分析</w:t>
      </w:r>
    </w:p>
    <w:p w14:paraId="73950A25" w14:textId="77777777" w:rsidR="000D49AE" w:rsidRPr="000D49AE" w:rsidRDefault="000D49AE" w:rsidP="000D49AE">
      <w:pPr>
        <w:ind w:firstLine="480"/>
      </w:pPr>
      <w:r w:rsidRPr="000D49AE">
        <w:t xml:space="preserve">* </w:t>
      </w:r>
      <w:r w:rsidRPr="000D49AE">
        <w:t>使用清晰、简单的语言，假设我具备基本的代码理解能力。</w:t>
      </w:r>
    </w:p>
    <w:p w14:paraId="37B31A3D" w14:textId="77777777" w:rsidR="000D49AE" w:rsidRPr="000D49AE" w:rsidRDefault="000D49AE" w:rsidP="000D49AE">
      <w:pPr>
        <w:ind w:firstLine="480"/>
      </w:pPr>
      <w:r w:rsidRPr="000D49AE">
        <w:t xml:space="preserve">* </w:t>
      </w:r>
      <w:r w:rsidRPr="000D49AE">
        <w:t>在整个对话中记住上下文，确保你的想法与我的书的主旨相关</w:t>
      </w:r>
    </w:p>
    <w:p w14:paraId="6D02661B" w14:textId="77777777" w:rsidR="000D49AE" w:rsidRPr="000D49AE" w:rsidRDefault="000D49AE" w:rsidP="000D49AE">
      <w:pPr>
        <w:ind w:firstLine="480"/>
      </w:pPr>
    </w:p>
    <w:p w14:paraId="101412BF" w14:textId="77777777" w:rsidR="000D49AE" w:rsidRPr="000D49AE" w:rsidRDefault="000D49AE" w:rsidP="000D49AE">
      <w:pPr>
        <w:ind w:firstLine="480"/>
      </w:pPr>
      <w:r w:rsidRPr="000D49AE">
        <w:t>我为我的</w:t>
      </w:r>
      <w:r w:rsidRPr="000D49AE">
        <w:t>ipynb</w:t>
      </w:r>
      <w:r w:rsidRPr="000D49AE">
        <w:t>提供了统一的配色方案，如果需要画图，直接使用下列代码可以获取颜色</w:t>
      </w:r>
    </w:p>
    <w:p w14:paraId="6D1FE374" w14:textId="77777777" w:rsidR="000D49AE" w:rsidRPr="000D49AE" w:rsidRDefault="000D49AE" w:rsidP="000D49AE">
      <w:pPr>
        <w:ind w:firstLine="480"/>
      </w:pPr>
      <w:r w:rsidRPr="000D49AE">
        <w:t>plt.style.use('seaborn-v0_8-paper')</w:t>
      </w:r>
    </w:p>
    <w:p w14:paraId="7B65D093" w14:textId="77777777" w:rsidR="000D49AE" w:rsidRPr="000D49AE" w:rsidRDefault="000D49AE" w:rsidP="000D49AE">
      <w:pPr>
        <w:ind w:firstLine="480"/>
      </w:pPr>
      <w:r w:rsidRPr="000D49AE">
        <w:t>bar_color = get_academic_colors(6, 'categorical')[0]</w:t>
      </w:r>
    </w:p>
    <w:p w14:paraId="0BFF85ED" w14:textId="77777777" w:rsidR="000D49AE" w:rsidRPr="000D49AE" w:rsidRDefault="000D49AE" w:rsidP="000D49AE">
      <w:pPr>
        <w:ind w:firstLine="480"/>
      </w:pPr>
      <w:r w:rsidRPr="000D49AE">
        <w:t>bar_color = get_academic_colors(6, 'categorical')[5]</w:t>
      </w:r>
    </w:p>
    <w:p w14:paraId="64C18593" w14:textId="77777777" w:rsidR="000D49AE" w:rsidRPr="000D49AE" w:rsidRDefault="000D49AE" w:rsidP="000D49AE">
      <w:pPr>
        <w:ind w:firstLine="480"/>
      </w:pPr>
    </w:p>
    <w:p w14:paraId="6F2E463F" w14:textId="77777777" w:rsidR="000D49AE" w:rsidRPr="000D49AE" w:rsidRDefault="000D49AE" w:rsidP="000D49AE">
      <w:pPr>
        <w:ind w:firstLine="480"/>
      </w:pPr>
      <w:r w:rsidRPr="000D49AE">
        <w:t>规则一：更高的盈利能力（</w:t>
      </w:r>
      <w:r w:rsidRPr="000D49AE">
        <w:t>ROE</w:t>
      </w:r>
      <w:r w:rsidRPr="000D49AE">
        <w:t>）理应获得更高的估值（</w:t>
      </w:r>
      <w:r w:rsidRPr="000D49AE">
        <w:t>P/B</w:t>
      </w:r>
      <w:r w:rsidRPr="000D49AE">
        <w:t>）。</w:t>
      </w:r>
    </w:p>
    <w:p w14:paraId="74103958" w14:textId="77777777" w:rsidR="00262C96" w:rsidRPr="000D49AE" w:rsidRDefault="00262C96" w:rsidP="00B711F2">
      <w:pPr>
        <w:ind w:firstLine="480"/>
      </w:pPr>
    </w:p>
    <w:p w14:paraId="68A429A2" w14:textId="77777777" w:rsidR="000D49AE" w:rsidRDefault="000D49AE" w:rsidP="00B711F2">
      <w:pPr>
        <w:ind w:firstLine="480"/>
      </w:pPr>
    </w:p>
    <w:p w14:paraId="70DA1770" w14:textId="77777777" w:rsidR="000D49AE" w:rsidRDefault="000D49AE" w:rsidP="00B711F2">
      <w:pPr>
        <w:ind w:firstLine="480"/>
        <w:rPr>
          <w:rFonts w:hint="eastAsia"/>
        </w:rPr>
      </w:pPr>
    </w:p>
    <w:p w14:paraId="364F2874" w14:textId="77777777" w:rsidR="004233E0" w:rsidRPr="004233E0" w:rsidRDefault="004233E0" w:rsidP="00CC0A1E">
      <w:pPr>
        <w:ind w:firstLine="480"/>
        <w:outlineLvl w:val="0"/>
      </w:pPr>
      <w:r w:rsidRPr="004233E0">
        <w:rPr>
          <w:rFonts w:hint="eastAsia"/>
        </w:rPr>
        <w:t>分类色板（图表专用）</w:t>
      </w:r>
    </w:p>
    <w:p w14:paraId="15CFB0CD" w14:textId="77777777" w:rsidR="004233E0" w:rsidRPr="004233E0" w:rsidRDefault="004233E0" w:rsidP="004233E0">
      <w:pPr>
        <w:ind w:firstLine="480"/>
      </w:pPr>
      <w:r w:rsidRPr="004233E0">
        <w:t>橙色</w:t>
      </w:r>
      <w:r w:rsidRPr="004233E0">
        <w:t xml:space="preserve"> #E58601</w:t>
      </w:r>
    </w:p>
    <w:p w14:paraId="5BBE66F6" w14:textId="77777777" w:rsidR="004233E0" w:rsidRPr="004233E0" w:rsidRDefault="004233E0" w:rsidP="004233E0">
      <w:pPr>
        <w:ind w:firstLine="480"/>
      </w:pPr>
      <w:r w:rsidRPr="004233E0">
        <w:t>靛蓝</w:t>
      </w:r>
      <w:r w:rsidRPr="004233E0">
        <w:t xml:space="preserve"> #5D69B1</w:t>
      </w:r>
    </w:p>
    <w:p w14:paraId="3280D7F0" w14:textId="77777777" w:rsidR="004233E0" w:rsidRPr="004233E0" w:rsidRDefault="004233E0" w:rsidP="004233E0">
      <w:pPr>
        <w:ind w:firstLine="480"/>
      </w:pPr>
      <w:r w:rsidRPr="004233E0">
        <w:t>青绿</w:t>
      </w:r>
      <w:r w:rsidRPr="004233E0">
        <w:t xml:space="preserve"> #52BCA3</w:t>
      </w:r>
    </w:p>
    <w:p w14:paraId="13E8F399" w14:textId="77777777" w:rsidR="004233E0" w:rsidRPr="004233E0" w:rsidRDefault="004233E0" w:rsidP="004233E0">
      <w:pPr>
        <w:ind w:firstLine="480"/>
      </w:pPr>
      <w:r w:rsidRPr="004233E0">
        <w:t>黄绿</w:t>
      </w:r>
      <w:r w:rsidRPr="004233E0">
        <w:t xml:space="preserve"> #99C945</w:t>
      </w:r>
    </w:p>
    <w:p w14:paraId="6AD5ED27" w14:textId="77777777" w:rsidR="004233E0" w:rsidRPr="004233E0" w:rsidRDefault="004233E0" w:rsidP="004233E0">
      <w:pPr>
        <w:ind w:firstLine="480"/>
      </w:pPr>
      <w:r w:rsidRPr="004233E0">
        <w:t>粉紫</w:t>
      </w:r>
      <w:r w:rsidRPr="004233E0">
        <w:t xml:space="preserve"> #CC61B0</w:t>
      </w:r>
    </w:p>
    <w:p w14:paraId="2BF7D054" w14:textId="77777777" w:rsidR="004233E0" w:rsidRPr="004233E0" w:rsidRDefault="004233E0" w:rsidP="004233E0">
      <w:pPr>
        <w:ind w:firstLine="480"/>
      </w:pPr>
      <w:r w:rsidRPr="004233E0">
        <w:t>深青</w:t>
      </w:r>
      <w:r w:rsidRPr="004233E0">
        <w:t xml:space="preserve"> #24796C</w:t>
      </w:r>
    </w:p>
    <w:p w14:paraId="5CFFF45D" w14:textId="77777777" w:rsidR="004233E0" w:rsidRPr="004233E0" w:rsidRDefault="004233E0" w:rsidP="004233E0">
      <w:pPr>
        <w:ind w:firstLine="480"/>
      </w:pPr>
      <w:r w:rsidRPr="004233E0">
        <w:lastRenderedPageBreak/>
        <w:t>土黄</w:t>
      </w:r>
      <w:r w:rsidRPr="004233E0">
        <w:t xml:space="preserve"> #DAA51B</w:t>
      </w:r>
    </w:p>
    <w:p w14:paraId="624E896C" w14:textId="77777777" w:rsidR="004233E0" w:rsidRPr="004233E0" w:rsidRDefault="004233E0" w:rsidP="004233E0">
      <w:pPr>
        <w:ind w:firstLine="480"/>
      </w:pPr>
      <w:r w:rsidRPr="004233E0">
        <w:t>墨绿</w:t>
      </w:r>
      <w:r w:rsidRPr="004233E0">
        <w:t xml:space="preserve"> #2F5755</w:t>
      </w:r>
    </w:p>
    <w:p w14:paraId="79FAD4D0" w14:textId="77777777" w:rsidR="004233E0" w:rsidRPr="004233E0" w:rsidRDefault="004233E0" w:rsidP="004233E0">
      <w:pPr>
        <w:ind w:firstLine="480"/>
      </w:pPr>
      <w:r w:rsidRPr="004233E0">
        <w:rPr>
          <w:rFonts w:hint="eastAsia"/>
        </w:rPr>
        <w:t>发散色板</w:t>
      </w:r>
    </w:p>
    <w:p w14:paraId="26C334F0" w14:textId="77777777" w:rsidR="004233E0" w:rsidRPr="004233E0" w:rsidRDefault="004233E0" w:rsidP="004233E0">
      <w:pPr>
        <w:ind w:firstLine="480"/>
      </w:pPr>
      <w:r w:rsidRPr="004233E0">
        <w:t>深蓝</w:t>
      </w:r>
      <w:r w:rsidRPr="004233E0">
        <w:t xml:space="preserve"> #053061</w:t>
      </w:r>
    </w:p>
    <w:p w14:paraId="29D29AF4" w14:textId="77777777" w:rsidR="004233E0" w:rsidRPr="004233E0" w:rsidRDefault="004233E0" w:rsidP="004233E0">
      <w:pPr>
        <w:ind w:firstLine="480"/>
      </w:pPr>
      <w:r w:rsidRPr="004233E0">
        <w:t>浅蓝</w:t>
      </w:r>
      <w:r w:rsidRPr="004233E0">
        <w:t xml:space="preserve"> #67A9CF</w:t>
      </w:r>
    </w:p>
    <w:p w14:paraId="0F8F4C39" w14:textId="77777777" w:rsidR="004233E0" w:rsidRPr="004233E0" w:rsidRDefault="004233E0" w:rsidP="004233E0">
      <w:pPr>
        <w:ind w:firstLine="480"/>
      </w:pPr>
      <w:r w:rsidRPr="004233E0">
        <w:t>中性灰</w:t>
      </w:r>
      <w:r w:rsidRPr="004233E0">
        <w:t xml:space="preserve"> #F7F7F7</w:t>
      </w:r>
    </w:p>
    <w:p w14:paraId="076BE86C" w14:textId="77777777" w:rsidR="004233E0" w:rsidRPr="004233E0" w:rsidRDefault="004233E0" w:rsidP="004233E0">
      <w:pPr>
        <w:ind w:firstLine="480"/>
      </w:pPr>
      <w:r w:rsidRPr="004233E0">
        <w:t>浅红</w:t>
      </w:r>
      <w:r w:rsidRPr="004233E0">
        <w:t xml:space="preserve"> #EF8A62</w:t>
      </w:r>
    </w:p>
    <w:p w14:paraId="51C0362C" w14:textId="77777777" w:rsidR="004233E0" w:rsidRPr="004233E0" w:rsidRDefault="004233E0" w:rsidP="004233E0">
      <w:pPr>
        <w:ind w:firstLine="480"/>
      </w:pPr>
      <w:r w:rsidRPr="004233E0">
        <w:t>深红</w:t>
      </w:r>
      <w:r w:rsidRPr="004233E0">
        <w:t xml:space="preserve"> #B2182B</w:t>
      </w:r>
    </w:p>
    <w:p w14:paraId="3D8076EF" w14:textId="77777777" w:rsidR="004233E0" w:rsidRDefault="004233E0" w:rsidP="00B711F2">
      <w:pPr>
        <w:ind w:firstLine="480"/>
      </w:pPr>
    </w:p>
    <w:p w14:paraId="5DB1EE75" w14:textId="77777777" w:rsidR="004233E0" w:rsidRPr="004233E0" w:rsidRDefault="004233E0" w:rsidP="00B711F2">
      <w:pPr>
        <w:ind w:firstLine="480"/>
      </w:pPr>
    </w:p>
    <w:p w14:paraId="597DB5F2" w14:textId="25E9B1AD" w:rsidR="00B711F2" w:rsidRDefault="00B711F2" w:rsidP="00CC0A1E">
      <w:pPr>
        <w:ind w:firstLine="480"/>
        <w:outlineLvl w:val="0"/>
      </w:pPr>
      <w:r>
        <w:rPr>
          <w:rFonts w:hint="eastAsia"/>
        </w:rPr>
        <w:t>序言</w:t>
      </w:r>
    </w:p>
    <w:p w14:paraId="46B9F023" w14:textId="77777777" w:rsidR="00B711F2" w:rsidRDefault="00B711F2" w:rsidP="00B711F2">
      <w:pPr>
        <w:ind w:firstLine="480"/>
      </w:pPr>
      <w:r>
        <w:rPr>
          <w:rFonts w:hint="eastAsia"/>
        </w:rPr>
        <w:t>•</w:t>
      </w:r>
      <w:r>
        <w:rPr>
          <w:rFonts w:hint="eastAsia"/>
        </w:rPr>
        <w:t xml:space="preserve"> </w:t>
      </w:r>
      <w:r>
        <w:rPr>
          <w:rFonts w:hint="eastAsia"/>
        </w:rPr>
        <w:t>本书缘起：为什么选择</w:t>
      </w:r>
      <w:r>
        <w:rPr>
          <w:rFonts w:hint="eastAsia"/>
        </w:rPr>
        <w:t xml:space="preserve"> PB-ROE </w:t>
      </w:r>
      <w:r>
        <w:rPr>
          <w:rFonts w:hint="eastAsia"/>
        </w:rPr>
        <w:t>及价值投资</w:t>
      </w:r>
    </w:p>
    <w:p w14:paraId="663E45C8" w14:textId="4282E302" w:rsidR="00B711F2" w:rsidRDefault="00B711F2" w:rsidP="00B711F2">
      <w:pPr>
        <w:ind w:firstLine="480"/>
      </w:pPr>
      <w:r>
        <w:rPr>
          <w:rFonts w:hint="eastAsia"/>
        </w:rPr>
        <w:t>•</w:t>
      </w:r>
      <w:r>
        <w:rPr>
          <w:rFonts w:hint="eastAsia"/>
        </w:rPr>
        <w:t xml:space="preserve"> </w:t>
      </w:r>
      <w:r w:rsidR="001E648D">
        <w:rPr>
          <w:rFonts w:hint="eastAsia"/>
        </w:rPr>
        <w:t>本书内容</w:t>
      </w:r>
      <w:r>
        <w:rPr>
          <w:rFonts w:hint="eastAsia"/>
        </w:rPr>
        <w:t>与目标读者</w:t>
      </w:r>
    </w:p>
    <w:p w14:paraId="6D870FF5" w14:textId="77777777" w:rsidR="00B711F2" w:rsidRDefault="00B711F2" w:rsidP="00B711F2">
      <w:pPr>
        <w:ind w:firstLine="480"/>
      </w:pPr>
    </w:p>
    <w:p w14:paraId="10110C6A" w14:textId="77777777" w:rsidR="00B711F2" w:rsidRDefault="00B711F2" w:rsidP="00B711F2">
      <w:pPr>
        <w:ind w:firstLine="480"/>
      </w:pPr>
      <w:r>
        <w:rPr>
          <w:rFonts w:hint="eastAsia"/>
        </w:rPr>
        <w:t>第一篇</w:t>
      </w:r>
      <w:r>
        <w:rPr>
          <w:rFonts w:hint="eastAsia"/>
        </w:rPr>
        <w:t xml:space="preserve"> </w:t>
      </w:r>
      <w:r>
        <w:rPr>
          <w:rFonts w:hint="eastAsia"/>
        </w:rPr>
        <w:t>基础理论与策略原点</w:t>
      </w:r>
    </w:p>
    <w:p w14:paraId="7DB8C8AD" w14:textId="6611873A" w:rsidR="00B711F2" w:rsidRDefault="00B711F2" w:rsidP="00B711F2">
      <w:pPr>
        <w:ind w:firstLine="480"/>
      </w:pPr>
      <w:r>
        <w:rPr>
          <w:rFonts w:hint="eastAsia"/>
        </w:rPr>
        <w:t>第</w:t>
      </w:r>
      <w:r w:rsidR="000E104C">
        <w:rPr>
          <w:rFonts w:hint="eastAsia"/>
        </w:rPr>
        <w:t>一</w:t>
      </w:r>
      <w:r>
        <w:rPr>
          <w:rFonts w:hint="eastAsia"/>
        </w:rPr>
        <w:t>章</w:t>
      </w:r>
      <w:r>
        <w:rPr>
          <w:rFonts w:hint="eastAsia"/>
        </w:rPr>
        <w:t xml:space="preserve"> </w:t>
      </w:r>
      <w:r w:rsidR="00D00604">
        <w:rPr>
          <w:rFonts w:hint="eastAsia"/>
        </w:rPr>
        <w:t>从</w:t>
      </w:r>
      <w:r w:rsidR="00D00604">
        <w:rPr>
          <w:rFonts w:hint="eastAsia"/>
        </w:rPr>
        <w:t>PB-ROE</w:t>
      </w:r>
      <w:r w:rsidR="00D00604">
        <w:rPr>
          <w:rFonts w:hint="eastAsia"/>
        </w:rPr>
        <w:t>出发</w:t>
      </w:r>
    </w:p>
    <w:p w14:paraId="34F79F9E" w14:textId="77777777" w:rsidR="00B711F2" w:rsidRDefault="00B711F2" w:rsidP="00B711F2">
      <w:pPr>
        <w:ind w:firstLine="480"/>
      </w:pPr>
      <w:r>
        <w:rPr>
          <w:rFonts w:hint="eastAsia"/>
        </w:rPr>
        <w:t>•</w:t>
      </w:r>
      <w:r>
        <w:rPr>
          <w:rFonts w:hint="eastAsia"/>
        </w:rPr>
        <w:t xml:space="preserve"> PB</w:t>
      </w:r>
      <w:r>
        <w:rPr>
          <w:rFonts w:hint="eastAsia"/>
        </w:rPr>
        <w:t>（市净率）的计算、优劣与安全边际</w:t>
      </w:r>
    </w:p>
    <w:p w14:paraId="1AB3332A" w14:textId="77777777" w:rsidR="00B711F2" w:rsidRDefault="00B711F2" w:rsidP="00B711F2">
      <w:pPr>
        <w:ind w:firstLine="480"/>
      </w:pPr>
      <w:r>
        <w:rPr>
          <w:rFonts w:hint="eastAsia"/>
        </w:rPr>
        <w:t>•</w:t>
      </w:r>
      <w:r>
        <w:rPr>
          <w:rFonts w:hint="eastAsia"/>
        </w:rPr>
        <w:t xml:space="preserve"> ROE</w:t>
      </w:r>
      <w:r>
        <w:rPr>
          <w:rFonts w:hint="eastAsia"/>
        </w:rPr>
        <w:t>（净资产收益率）的来源、波动与行业差异</w:t>
      </w:r>
    </w:p>
    <w:p w14:paraId="67BE7FAA" w14:textId="77777777" w:rsidR="00B711F2" w:rsidRDefault="00B711F2" w:rsidP="00B711F2">
      <w:pPr>
        <w:ind w:firstLine="480"/>
      </w:pPr>
      <w:r>
        <w:rPr>
          <w:rFonts w:hint="eastAsia"/>
        </w:rPr>
        <w:t>•</w:t>
      </w:r>
      <w:r>
        <w:rPr>
          <w:rFonts w:hint="eastAsia"/>
        </w:rPr>
        <w:t xml:space="preserve"> PB-ROE </w:t>
      </w:r>
      <w:r>
        <w:rPr>
          <w:rFonts w:hint="eastAsia"/>
        </w:rPr>
        <w:t>逻辑：寻找“便宜的好公司”</w:t>
      </w:r>
    </w:p>
    <w:p w14:paraId="12347972" w14:textId="726B57A0" w:rsidR="00B711F2" w:rsidRDefault="00B711F2" w:rsidP="00B711F2">
      <w:pPr>
        <w:ind w:firstLine="480"/>
      </w:pPr>
      <w:r>
        <w:rPr>
          <w:rFonts w:hint="eastAsia"/>
        </w:rPr>
        <w:t>第</w:t>
      </w:r>
      <w:r w:rsidR="000E104C">
        <w:rPr>
          <w:rFonts w:hint="eastAsia"/>
        </w:rPr>
        <w:t>二</w:t>
      </w:r>
      <w:r>
        <w:rPr>
          <w:rFonts w:hint="eastAsia"/>
        </w:rPr>
        <w:t>章</w:t>
      </w:r>
      <w:r>
        <w:rPr>
          <w:rFonts w:hint="eastAsia"/>
        </w:rPr>
        <w:t xml:space="preserve"> PB-ROE </w:t>
      </w:r>
      <w:r>
        <w:rPr>
          <w:rFonts w:hint="eastAsia"/>
        </w:rPr>
        <w:t>策略及实证</w:t>
      </w:r>
    </w:p>
    <w:p w14:paraId="0223D858" w14:textId="77777777" w:rsidR="00B711F2" w:rsidRDefault="00B711F2" w:rsidP="00B711F2">
      <w:pPr>
        <w:ind w:firstLine="480"/>
      </w:pPr>
      <w:r>
        <w:rPr>
          <w:rFonts w:hint="eastAsia"/>
        </w:rPr>
        <w:t>•</w:t>
      </w:r>
      <w:r>
        <w:rPr>
          <w:rFonts w:hint="eastAsia"/>
        </w:rPr>
        <w:t xml:space="preserve"> </w:t>
      </w:r>
      <w:r>
        <w:rPr>
          <w:rFonts w:hint="eastAsia"/>
        </w:rPr>
        <w:t>原始筛选规则与参数设定</w:t>
      </w:r>
    </w:p>
    <w:p w14:paraId="342F57D9" w14:textId="77777777" w:rsidR="00B711F2" w:rsidRDefault="00B711F2" w:rsidP="00B711F2">
      <w:pPr>
        <w:ind w:firstLine="480"/>
      </w:pPr>
      <w:r>
        <w:rPr>
          <w:rFonts w:hint="eastAsia"/>
        </w:rPr>
        <w:t>•</w:t>
      </w:r>
      <w:r>
        <w:rPr>
          <w:rFonts w:hint="eastAsia"/>
        </w:rPr>
        <w:t xml:space="preserve"> </w:t>
      </w:r>
      <w:r>
        <w:rPr>
          <w:rFonts w:hint="eastAsia"/>
        </w:rPr>
        <w:t>聚宽平台简单回测：数据选取与流程</w:t>
      </w:r>
    </w:p>
    <w:p w14:paraId="1749FC4C" w14:textId="77777777" w:rsidR="00B711F2" w:rsidRDefault="00B711F2" w:rsidP="00B711F2">
      <w:pPr>
        <w:ind w:firstLine="480"/>
      </w:pPr>
      <w:r>
        <w:rPr>
          <w:rFonts w:hint="eastAsia"/>
        </w:rPr>
        <w:t>•</w:t>
      </w:r>
      <w:r>
        <w:rPr>
          <w:rFonts w:hint="eastAsia"/>
        </w:rPr>
        <w:t xml:space="preserve"> </w:t>
      </w:r>
      <w:r>
        <w:rPr>
          <w:rFonts w:hint="eastAsia"/>
        </w:rPr>
        <w:t>基本回测结果与初步结论</w:t>
      </w:r>
    </w:p>
    <w:p w14:paraId="4007EC0F" w14:textId="77777777" w:rsidR="00B711F2" w:rsidRDefault="00B711F2" w:rsidP="00B711F2">
      <w:pPr>
        <w:ind w:firstLine="480"/>
      </w:pPr>
    </w:p>
    <w:p w14:paraId="0C60BFA3" w14:textId="7E12523E" w:rsidR="00B711F2" w:rsidRDefault="00B711F2" w:rsidP="00B711F2">
      <w:pPr>
        <w:ind w:firstLine="480"/>
      </w:pPr>
      <w:r>
        <w:rPr>
          <w:rFonts w:hint="eastAsia"/>
        </w:rPr>
        <w:t>第二篇</w:t>
      </w:r>
      <w:r>
        <w:rPr>
          <w:rFonts w:hint="eastAsia"/>
        </w:rPr>
        <w:t xml:space="preserve"> </w:t>
      </w:r>
    </w:p>
    <w:p w14:paraId="76A48363" w14:textId="7390B786" w:rsidR="00B711F2" w:rsidRDefault="00B711F2" w:rsidP="00B711F2">
      <w:pPr>
        <w:ind w:firstLine="480"/>
      </w:pPr>
      <w:r>
        <w:rPr>
          <w:rFonts w:hint="eastAsia"/>
        </w:rPr>
        <w:t>第</w:t>
      </w:r>
      <w:r w:rsidR="000A13E3">
        <w:rPr>
          <w:rFonts w:hint="eastAsia"/>
        </w:rPr>
        <w:t>3</w:t>
      </w:r>
      <w:r>
        <w:rPr>
          <w:rFonts w:hint="eastAsia"/>
        </w:rPr>
        <w:t>章</w:t>
      </w:r>
      <w:r>
        <w:rPr>
          <w:rFonts w:hint="eastAsia"/>
        </w:rPr>
        <w:t xml:space="preserve"> ROE </w:t>
      </w:r>
      <w:r>
        <w:rPr>
          <w:rFonts w:hint="eastAsia"/>
        </w:rPr>
        <w:t>指标的局限与改进</w:t>
      </w:r>
    </w:p>
    <w:p w14:paraId="20516F7E" w14:textId="77777777" w:rsidR="00B711F2" w:rsidRDefault="00B711F2" w:rsidP="00B711F2">
      <w:pPr>
        <w:ind w:firstLine="480"/>
      </w:pPr>
      <w:r>
        <w:rPr>
          <w:rFonts w:hint="eastAsia"/>
        </w:rPr>
        <w:t>•</w:t>
      </w:r>
      <w:r>
        <w:rPr>
          <w:rFonts w:hint="eastAsia"/>
        </w:rPr>
        <w:t xml:space="preserve"> ROE </w:t>
      </w:r>
      <w:r>
        <w:rPr>
          <w:rFonts w:hint="eastAsia"/>
        </w:rPr>
        <w:t>“静态”与趋势性：为何要看上升动能</w:t>
      </w:r>
    </w:p>
    <w:p w14:paraId="6F2EF86E" w14:textId="77777777" w:rsidR="00B711F2" w:rsidRDefault="00B711F2" w:rsidP="00B711F2">
      <w:pPr>
        <w:ind w:firstLine="480"/>
      </w:pPr>
      <w:r>
        <w:rPr>
          <w:rFonts w:hint="eastAsia"/>
        </w:rPr>
        <w:t>•</w:t>
      </w:r>
      <w:r>
        <w:rPr>
          <w:rFonts w:hint="eastAsia"/>
        </w:rPr>
        <w:t xml:space="preserve"> </w:t>
      </w:r>
      <w:r>
        <w:rPr>
          <w:rFonts w:hint="eastAsia"/>
        </w:rPr>
        <w:t>可持续</w:t>
      </w:r>
      <w:r>
        <w:rPr>
          <w:rFonts w:hint="eastAsia"/>
        </w:rPr>
        <w:t xml:space="preserve"> ROE</w:t>
      </w:r>
      <w:r>
        <w:rPr>
          <w:rFonts w:hint="eastAsia"/>
        </w:rPr>
        <w:t>：杠杆、商誉、一次性收益剔除</w:t>
      </w:r>
    </w:p>
    <w:p w14:paraId="77FD94FC" w14:textId="77777777" w:rsidR="00B711F2" w:rsidRDefault="00B711F2" w:rsidP="00B711F2">
      <w:pPr>
        <w:ind w:firstLine="480"/>
      </w:pPr>
      <w:r>
        <w:rPr>
          <w:rFonts w:hint="eastAsia"/>
        </w:rPr>
        <w:t>•</w:t>
      </w:r>
      <w:r>
        <w:rPr>
          <w:rFonts w:hint="eastAsia"/>
        </w:rPr>
        <w:t xml:space="preserve"> </w:t>
      </w:r>
      <w:r>
        <w:rPr>
          <w:rFonts w:hint="eastAsia"/>
        </w:rPr>
        <w:t>实战示例：剔除商誉减值干扰后</w:t>
      </w:r>
      <w:r>
        <w:rPr>
          <w:rFonts w:hint="eastAsia"/>
        </w:rPr>
        <w:t xml:space="preserve"> ROE </w:t>
      </w:r>
      <w:r>
        <w:rPr>
          <w:rFonts w:hint="eastAsia"/>
        </w:rPr>
        <w:t>重算</w:t>
      </w:r>
    </w:p>
    <w:p w14:paraId="56497FA8" w14:textId="77D321F5" w:rsidR="00B711F2" w:rsidRDefault="00B711F2" w:rsidP="00B711F2">
      <w:pPr>
        <w:ind w:firstLine="480"/>
      </w:pPr>
      <w:r>
        <w:rPr>
          <w:rFonts w:hint="eastAsia"/>
        </w:rPr>
        <w:t>第</w:t>
      </w:r>
      <w:r w:rsidR="000A13E3">
        <w:rPr>
          <w:rFonts w:hint="eastAsia"/>
        </w:rPr>
        <w:t>4</w:t>
      </w:r>
      <w:r>
        <w:rPr>
          <w:rFonts w:hint="eastAsia"/>
        </w:rPr>
        <w:t>章</w:t>
      </w:r>
      <w:r>
        <w:rPr>
          <w:rFonts w:hint="eastAsia"/>
        </w:rPr>
        <w:t xml:space="preserve"> </w:t>
      </w:r>
      <w:r w:rsidR="000A13E3">
        <w:rPr>
          <w:rFonts w:hint="eastAsia"/>
        </w:rPr>
        <w:t>跳出价值陷阱</w:t>
      </w:r>
    </w:p>
    <w:p w14:paraId="5CB33076" w14:textId="1D2E65D3" w:rsidR="00B711F2" w:rsidRDefault="00B711F2" w:rsidP="00B711F2">
      <w:pPr>
        <w:ind w:firstLine="480"/>
      </w:pPr>
      <w:r>
        <w:rPr>
          <w:rFonts w:hint="eastAsia"/>
        </w:rPr>
        <w:t>•</w:t>
      </w:r>
      <w:r>
        <w:rPr>
          <w:rFonts w:hint="eastAsia"/>
        </w:rPr>
        <w:t xml:space="preserve"> </w:t>
      </w:r>
      <w:r>
        <w:rPr>
          <w:rFonts w:hint="eastAsia"/>
        </w:rPr>
        <w:t>“</w:t>
      </w:r>
      <w:r w:rsidR="00CB617D">
        <w:rPr>
          <w:rFonts w:hint="eastAsia"/>
        </w:rPr>
        <w:t>价值</w:t>
      </w:r>
      <w:r w:rsidR="00191F9A">
        <w:rPr>
          <w:rFonts w:hint="eastAsia"/>
        </w:rPr>
        <w:t xml:space="preserve"> </w:t>
      </w:r>
      <w:r>
        <w:rPr>
          <w:rFonts w:hint="eastAsia"/>
        </w:rPr>
        <w:t>陷阱”：资产质量与财务风险</w:t>
      </w:r>
    </w:p>
    <w:p w14:paraId="6157164D" w14:textId="77777777" w:rsidR="00B711F2" w:rsidRDefault="00B711F2" w:rsidP="00B711F2">
      <w:pPr>
        <w:ind w:firstLine="480"/>
      </w:pPr>
      <w:r>
        <w:rPr>
          <w:rFonts w:hint="eastAsia"/>
        </w:rPr>
        <w:t>•</w:t>
      </w:r>
      <w:r>
        <w:rPr>
          <w:rFonts w:hint="eastAsia"/>
        </w:rPr>
        <w:t xml:space="preserve"> </w:t>
      </w:r>
      <w:r>
        <w:rPr>
          <w:rFonts w:hint="eastAsia"/>
        </w:rPr>
        <w:t>调整</w:t>
      </w:r>
      <w:r>
        <w:rPr>
          <w:rFonts w:hint="eastAsia"/>
        </w:rPr>
        <w:t xml:space="preserve"> PB</w:t>
      </w:r>
      <w:r>
        <w:rPr>
          <w:rFonts w:hint="eastAsia"/>
        </w:rPr>
        <w:t>：剔除或摊薄商誉、少数股东权益</w:t>
      </w:r>
    </w:p>
    <w:p w14:paraId="64FF7657" w14:textId="77777777" w:rsidR="00B711F2" w:rsidRDefault="00B711F2" w:rsidP="00B711F2">
      <w:pPr>
        <w:ind w:firstLine="480"/>
      </w:pPr>
      <w:r>
        <w:rPr>
          <w:rFonts w:hint="eastAsia"/>
        </w:rPr>
        <w:t>•</w:t>
      </w:r>
      <w:r>
        <w:rPr>
          <w:rFonts w:hint="eastAsia"/>
        </w:rPr>
        <w:t xml:space="preserve"> </w:t>
      </w:r>
      <w:r>
        <w:rPr>
          <w:rFonts w:hint="eastAsia"/>
        </w:rPr>
        <w:t>行业中性化：以板块中位数替代绝对</w:t>
      </w:r>
      <w:r>
        <w:rPr>
          <w:rFonts w:hint="eastAsia"/>
        </w:rPr>
        <w:t xml:space="preserve"> PB</w:t>
      </w:r>
    </w:p>
    <w:p w14:paraId="376BD6CD" w14:textId="2F40EE9D" w:rsidR="00B711F2" w:rsidRDefault="00B711F2" w:rsidP="00B711F2">
      <w:pPr>
        <w:ind w:firstLine="480"/>
      </w:pPr>
      <w:r>
        <w:rPr>
          <w:rFonts w:hint="eastAsia"/>
        </w:rPr>
        <w:t>第</w:t>
      </w:r>
      <w:r w:rsidR="000A13E3">
        <w:rPr>
          <w:rFonts w:hint="eastAsia"/>
        </w:rPr>
        <w:t>5</w:t>
      </w:r>
      <w:r>
        <w:rPr>
          <w:rFonts w:hint="eastAsia"/>
        </w:rPr>
        <w:t>章</w:t>
      </w:r>
      <w:r>
        <w:rPr>
          <w:rFonts w:hint="eastAsia"/>
        </w:rPr>
        <w:t xml:space="preserve"> </w:t>
      </w:r>
      <w:r>
        <w:rPr>
          <w:rFonts w:hint="eastAsia"/>
        </w:rPr>
        <w:t>净利润断层与质量因子</w:t>
      </w:r>
    </w:p>
    <w:p w14:paraId="3F1C3F3A" w14:textId="77777777" w:rsidR="00B711F2" w:rsidRDefault="00B711F2" w:rsidP="00B711F2">
      <w:pPr>
        <w:ind w:firstLine="480"/>
      </w:pPr>
      <w:r>
        <w:rPr>
          <w:rFonts w:hint="eastAsia"/>
        </w:rPr>
        <w:lastRenderedPageBreak/>
        <w:t>•</w:t>
      </w:r>
      <w:r>
        <w:rPr>
          <w:rFonts w:hint="eastAsia"/>
        </w:rPr>
        <w:t xml:space="preserve"> </w:t>
      </w:r>
      <w:r>
        <w:rPr>
          <w:rFonts w:hint="eastAsia"/>
        </w:rPr>
        <w:t>净利润断层（盈利连续性）分析</w:t>
      </w:r>
    </w:p>
    <w:p w14:paraId="39B27C39" w14:textId="77777777" w:rsidR="00B711F2" w:rsidRDefault="00B711F2" w:rsidP="00B711F2">
      <w:pPr>
        <w:ind w:firstLine="480"/>
      </w:pPr>
      <w:r>
        <w:rPr>
          <w:rFonts w:hint="eastAsia"/>
        </w:rPr>
        <w:t>•</w:t>
      </w:r>
      <w:r>
        <w:rPr>
          <w:rFonts w:hint="eastAsia"/>
        </w:rPr>
        <w:t xml:space="preserve"> Piotroski F-Score</w:t>
      </w:r>
      <w:r>
        <w:rPr>
          <w:rFonts w:hint="eastAsia"/>
        </w:rPr>
        <w:t>、</w:t>
      </w:r>
      <w:r>
        <w:rPr>
          <w:rFonts w:hint="eastAsia"/>
        </w:rPr>
        <w:t xml:space="preserve">Altman Z-Score </w:t>
      </w:r>
      <w:r>
        <w:rPr>
          <w:rFonts w:hint="eastAsia"/>
        </w:rPr>
        <w:t>等质量因子</w:t>
      </w:r>
    </w:p>
    <w:p w14:paraId="0F545C9E" w14:textId="77777777" w:rsidR="00B711F2" w:rsidRDefault="00B711F2" w:rsidP="00B711F2">
      <w:pPr>
        <w:ind w:firstLine="480"/>
      </w:pPr>
      <w:r>
        <w:rPr>
          <w:rFonts w:hint="eastAsia"/>
        </w:rPr>
        <w:t>•</w:t>
      </w:r>
      <w:r>
        <w:rPr>
          <w:rFonts w:hint="eastAsia"/>
        </w:rPr>
        <w:t xml:space="preserve"> </w:t>
      </w:r>
      <w:r>
        <w:rPr>
          <w:rFonts w:hint="eastAsia"/>
        </w:rPr>
        <w:t>从“全部价值股”到“高质量价值股”的筛选</w:t>
      </w:r>
    </w:p>
    <w:p w14:paraId="5E852329" w14:textId="1452FCF0" w:rsidR="00B711F2" w:rsidRDefault="00A46628" w:rsidP="00B711F2">
      <w:pPr>
        <w:ind w:firstLine="480"/>
      </w:pPr>
      <w:r>
        <w:rPr>
          <w:rFonts w:hint="eastAsia"/>
        </w:rPr>
        <w:t>第</w:t>
      </w:r>
      <w:r>
        <w:rPr>
          <w:rFonts w:hint="eastAsia"/>
        </w:rPr>
        <w:t>6</w:t>
      </w:r>
      <w:r>
        <w:rPr>
          <w:rFonts w:hint="eastAsia"/>
        </w:rPr>
        <w:t>章</w:t>
      </w:r>
      <w:r>
        <w:rPr>
          <w:rFonts w:hint="eastAsia"/>
        </w:rPr>
        <w:t xml:space="preserve"> </w:t>
      </w:r>
      <w:r w:rsidR="00055944">
        <w:rPr>
          <w:rFonts w:hint="eastAsia"/>
        </w:rPr>
        <w:t>不能忽视的股息</w:t>
      </w:r>
    </w:p>
    <w:p w14:paraId="36C2C841" w14:textId="77777777" w:rsidR="00055944" w:rsidRDefault="00055944" w:rsidP="00B711F2">
      <w:pPr>
        <w:ind w:firstLine="480"/>
      </w:pPr>
    </w:p>
    <w:p w14:paraId="3271DEEF" w14:textId="61D63C17" w:rsidR="00B711F2" w:rsidRDefault="00B711F2" w:rsidP="00B711F2">
      <w:pPr>
        <w:ind w:firstLine="480"/>
      </w:pPr>
      <w:r>
        <w:rPr>
          <w:rFonts w:hint="eastAsia"/>
        </w:rPr>
        <w:t>第三篇</w:t>
      </w:r>
      <w:r>
        <w:rPr>
          <w:rFonts w:hint="eastAsia"/>
        </w:rPr>
        <w:t xml:space="preserve"> </w:t>
      </w:r>
      <w:r w:rsidR="00A64A28">
        <w:rPr>
          <w:rFonts w:hint="eastAsia"/>
        </w:rPr>
        <w:t>能否做的更好</w:t>
      </w:r>
      <w:r w:rsidR="00452598">
        <w:rPr>
          <w:rFonts w:hint="eastAsia"/>
        </w:rPr>
        <w:t>？</w:t>
      </w:r>
    </w:p>
    <w:p w14:paraId="55823FE1" w14:textId="7617666B" w:rsidR="00B711F2" w:rsidRDefault="00B711F2" w:rsidP="00B711F2">
      <w:pPr>
        <w:ind w:firstLine="480"/>
      </w:pPr>
      <w:r>
        <w:rPr>
          <w:rFonts w:hint="eastAsia"/>
        </w:rPr>
        <w:t>第</w:t>
      </w:r>
      <w:r w:rsidR="000A13E3">
        <w:rPr>
          <w:rFonts w:hint="eastAsia"/>
        </w:rPr>
        <w:t>6</w:t>
      </w:r>
      <w:r>
        <w:rPr>
          <w:rFonts w:hint="eastAsia"/>
        </w:rPr>
        <w:t>章</w:t>
      </w:r>
      <w:r>
        <w:rPr>
          <w:rFonts w:hint="eastAsia"/>
        </w:rPr>
        <w:t xml:space="preserve"> ROE </w:t>
      </w:r>
      <w:r>
        <w:rPr>
          <w:rFonts w:hint="eastAsia"/>
        </w:rPr>
        <w:t>趋势＋</w:t>
      </w:r>
      <w:r>
        <w:rPr>
          <w:rFonts w:hint="eastAsia"/>
        </w:rPr>
        <w:t xml:space="preserve">PB </w:t>
      </w:r>
      <w:r>
        <w:rPr>
          <w:rFonts w:hint="eastAsia"/>
        </w:rPr>
        <w:t>安全边际的双击策略</w:t>
      </w:r>
    </w:p>
    <w:p w14:paraId="00D97867" w14:textId="77777777" w:rsidR="00B711F2" w:rsidRDefault="00B711F2" w:rsidP="00B711F2">
      <w:pPr>
        <w:ind w:firstLine="480"/>
      </w:pPr>
      <w:r>
        <w:rPr>
          <w:rFonts w:hint="eastAsia"/>
        </w:rPr>
        <w:t>•</w:t>
      </w:r>
      <w:r>
        <w:rPr>
          <w:rFonts w:hint="eastAsia"/>
        </w:rPr>
        <w:t xml:space="preserve"> </w:t>
      </w:r>
      <w:r>
        <w:rPr>
          <w:rFonts w:hint="eastAsia"/>
        </w:rPr>
        <w:t>“戴维斯双击”原理</w:t>
      </w:r>
    </w:p>
    <w:p w14:paraId="31ECBCD8" w14:textId="77777777" w:rsidR="00B711F2" w:rsidRDefault="00B711F2" w:rsidP="00B711F2">
      <w:pPr>
        <w:ind w:firstLine="480"/>
      </w:pPr>
      <w:r>
        <w:rPr>
          <w:rFonts w:hint="eastAsia"/>
        </w:rPr>
        <w:t>•</w:t>
      </w:r>
      <w:r>
        <w:rPr>
          <w:rFonts w:hint="eastAsia"/>
        </w:rPr>
        <w:t xml:space="preserve"> ROE </w:t>
      </w:r>
      <w:r>
        <w:rPr>
          <w:rFonts w:hint="eastAsia"/>
        </w:rPr>
        <w:t>上行趋势与超额收益</w:t>
      </w:r>
    </w:p>
    <w:p w14:paraId="62157180" w14:textId="77777777" w:rsidR="00B711F2" w:rsidRDefault="00B711F2" w:rsidP="00B711F2">
      <w:pPr>
        <w:ind w:firstLine="480"/>
      </w:pPr>
      <w:r>
        <w:rPr>
          <w:rFonts w:hint="eastAsia"/>
        </w:rPr>
        <w:t>•</w:t>
      </w:r>
      <w:r>
        <w:rPr>
          <w:rFonts w:hint="eastAsia"/>
        </w:rPr>
        <w:t xml:space="preserve"> </w:t>
      </w:r>
      <w:r>
        <w:rPr>
          <w:rFonts w:hint="eastAsia"/>
        </w:rPr>
        <w:t>实盘数据检验：周期股与非周期股对比</w:t>
      </w:r>
    </w:p>
    <w:p w14:paraId="6BB02855" w14:textId="5CCFE360" w:rsidR="00B711F2" w:rsidRDefault="00B711F2" w:rsidP="00B711F2">
      <w:pPr>
        <w:ind w:firstLine="480"/>
      </w:pPr>
      <w:r>
        <w:rPr>
          <w:rFonts w:hint="eastAsia"/>
        </w:rPr>
        <w:t>第</w:t>
      </w:r>
      <w:r w:rsidR="000A13E3">
        <w:rPr>
          <w:rFonts w:hint="eastAsia"/>
        </w:rPr>
        <w:t>7</w:t>
      </w:r>
      <w:r>
        <w:rPr>
          <w:rFonts w:hint="eastAsia"/>
        </w:rPr>
        <w:t>章</w:t>
      </w:r>
      <w:r>
        <w:rPr>
          <w:rFonts w:hint="eastAsia"/>
        </w:rPr>
        <w:t xml:space="preserve"> </w:t>
      </w:r>
      <w:r>
        <w:rPr>
          <w:rFonts w:hint="eastAsia"/>
        </w:rPr>
        <w:t>多因子融合与动态再平衡</w:t>
      </w:r>
    </w:p>
    <w:p w14:paraId="60082B87" w14:textId="77777777" w:rsidR="00B711F2" w:rsidRDefault="00B711F2" w:rsidP="00B711F2">
      <w:pPr>
        <w:ind w:firstLine="480"/>
      </w:pPr>
      <w:r>
        <w:rPr>
          <w:rFonts w:hint="eastAsia"/>
        </w:rPr>
        <w:t>•</w:t>
      </w:r>
      <w:r>
        <w:rPr>
          <w:rFonts w:hint="eastAsia"/>
        </w:rPr>
        <w:t xml:space="preserve"> </w:t>
      </w:r>
      <w:r>
        <w:rPr>
          <w:rFonts w:hint="eastAsia"/>
        </w:rPr>
        <w:t>经典因子（价值、质量、动量）简介</w:t>
      </w:r>
    </w:p>
    <w:p w14:paraId="347AD48D" w14:textId="77777777" w:rsidR="00B711F2" w:rsidRDefault="00B711F2" w:rsidP="00B711F2">
      <w:pPr>
        <w:ind w:firstLine="480"/>
      </w:pPr>
      <w:r>
        <w:rPr>
          <w:rFonts w:hint="eastAsia"/>
        </w:rPr>
        <w:t>•</w:t>
      </w:r>
      <w:r>
        <w:rPr>
          <w:rFonts w:hint="eastAsia"/>
        </w:rPr>
        <w:t xml:space="preserve"> </w:t>
      </w:r>
      <w:r>
        <w:rPr>
          <w:rFonts w:hint="eastAsia"/>
        </w:rPr>
        <w:t>融合思路：从单因子到多因子模型</w:t>
      </w:r>
    </w:p>
    <w:p w14:paraId="6738FE63" w14:textId="77777777" w:rsidR="00B711F2" w:rsidRDefault="00B711F2" w:rsidP="00B711F2">
      <w:pPr>
        <w:ind w:firstLine="480"/>
      </w:pPr>
      <w:r>
        <w:rPr>
          <w:rFonts w:hint="eastAsia"/>
        </w:rPr>
        <w:t>•</w:t>
      </w:r>
      <w:r>
        <w:rPr>
          <w:rFonts w:hint="eastAsia"/>
        </w:rPr>
        <w:t xml:space="preserve"> </w:t>
      </w:r>
      <w:r>
        <w:rPr>
          <w:rFonts w:hint="eastAsia"/>
        </w:rPr>
        <w:t>再平衡频率、仓位管理与风险控制</w:t>
      </w:r>
    </w:p>
    <w:p w14:paraId="1083FBA7" w14:textId="36B6BA4A" w:rsidR="00B711F2" w:rsidRDefault="00B711F2" w:rsidP="00B711F2">
      <w:pPr>
        <w:ind w:firstLine="480"/>
      </w:pPr>
      <w:r>
        <w:rPr>
          <w:rFonts w:hint="eastAsia"/>
        </w:rPr>
        <w:t>第</w:t>
      </w:r>
      <w:r w:rsidR="000A13E3">
        <w:rPr>
          <w:rFonts w:hint="eastAsia"/>
        </w:rPr>
        <w:t>8</w:t>
      </w:r>
      <w:r>
        <w:rPr>
          <w:rFonts w:hint="eastAsia"/>
        </w:rPr>
        <w:t>章</w:t>
      </w:r>
      <w:r>
        <w:rPr>
          <w:rFonts w:hint="eastAsia"/>
        </w:rPr>
        <w:t xml:space="preserve"> </w:t>
      </w:r>
      <w:r>
        <w:rPr>
          <w:rFonts w:hint="eastAsia"/>
        </w:rPr>
        <w:t>机器学习视角下的</w:t>
      </w:r>
      <w:r>
        <w:rPr>
          <w:rFonts w:hint="eastAsia"/>
        </w:rPr>
        <w:t xml:space="preserve"> PB-ROE </w:t>
      </w:r>
      <w:r>
        <w:rPr>
          <w:rFonts w:hint="eastAsia"/>
        </w:rPr>
        <w:t>改进</w:t>
      </w:r>
    </w:p>
    <w:p w14:paraId="3259E76C" w14:textId="77777777" w:rsidR="00B711F2" w:rsidRDefault="00B711F2" w:rsidP="00B711F2">
      <w:pPr>
        <w:ind w:firstLine="480"/>
      </w:pPr>
      <w:r>
        <w:rPr>
          <w:rFonts w:hint="eastAsia"/>
        </w:rPr>
        <w:t>•</w:t>
      </w:r>
      <w:r>
        <w:rPr>
          <w:rFonts w:hint="eastAsia"/>
        </w:rPr>
        <w:t xml:space="preserve"> </w:t>
      </w:r>
      <w:r>
        <w:rPr>
          <w:rFonts w:hint="eastAsia"/>
        </w:rPr>
        <w:t>简单回归与树模型在因子优化中的应用</w:t>
      </w:r>
    </w:p>
    <w:p w14:paraId="3E0FE517" w14:textId="77777777" w:rsidR="00B711F2" w:rsidRDefault="00B711F2" w:rsidP="00B711F2">
      <w:pPr>
        <w:ind w:firstLine="480"/>
      </w:pPr>
      <w:r>
        <w:rPr>
          <w:rFonts w:hint="eastAsia"/>
        </w:rPr>
        <w:t>•</w:t>
      </w:r>
      <w:r>
        <w:rPr>
          <w:rFonts w:hint="eastAsia"/>
        </w:rPr>
        <w:t xml:space="preserve"> </w:t>
      </w:r>
      <w:r>
        <w:rPr>
          <w:rFonts w:hint="eastAsia"/>
        </w:rPr>
        <w:t>特征工程：财务、估值、行业、宏观变量</w:t>
      </w:r>
    </w:p>
    <w:p w14:paraId="02D46872" w14:textId="77777777" w:rsidR="00B711F2" w:rsidRDefault="00B711F2" w:rsidP="00B711F2">
      <w:pPr>
        <w:ind w:firstLine="480"/>
      </w:pPr>
      <w:r>
        <w:rPr>
          <w:rFonts w:hint="eastAsia"/>
        </w:rPr>
        <w:t>•</w:t>
      </w:r>
      <w:r>
        <w:rPr>
          <w:rFonts w:hint="eastAsia"/>
        </w:rPr>
        <w:t xml:space="preserve"> </w:t>
      </w:r>
      <w:r>
        <w:rPr>
          <w:rFonts w:hint="eastAsia"/>
        </w:rPr>
        <w:t>防止过拟合与模型稳定性测试</w:t>
      </w:r>
    </w:p>
    <w:p w14:paraId="629E2DE5" w14:textId="77777777" w:rsidR="00B711F2" w:rsidRDefault="00B711F2" w:rsidP="00B711F2">
      <w:pPr>
        <w:ind w:firstLine="480"/>
      </w:pPr>
    </w:p>
    <w:p w14:paraId="29B77CA9" w14:textId="77777777" w:rsidR="00B711F2" w:rsidRDefault="00B711F2" w:rsidP="00B711F2">
      <w:pPr>
        <w:ind w:firstLine="480"/>
      </w:pPr>
      <w:r>
        <w:rPr>
          <w:rFonts w:hint="eastAsia"/>
        </w:rPr>
        <w:t>第四篇</w:t>
      </w:r>
      <w:r>
        <w:rPr>
          <w:rFonts w:hint="eastAsia"/>
        </w:rPr>
        <w:t xml:space="preserve"> </w:t>
      </w:r>
      <w:r>
        <w:rPr>
          <w:rFonts w:hint="eastAsia"/>
        </w:rPr>
        <w:t>实战案例、代码与思考日志</w:t>
      </w:r>
    </w:p>
    <w:p w14:paraId="7F362F6B" w14:textId="23110735" w:rsidR="00B711F2" w:rsidRDefault="00B711F2" w:rsidP="00B711F2">
      <w:pPr>
        <w:ind w:firstLine="480"/>
      </w:pPr>
      <w:r>
        <w:rPr>
          <w:rFonts w:hint="eastAsia"/>
        </w:rPr>
        <w:t>第</w:t>
      </w:r>
      <w:r w:rsidR="000A13E3">
        <w:rPr>
          <w:rFonts w:hint="eastAsia"/>
        </w:rPr>
        <w:t>9</w:t>
      </w:r>
      <w:r>
        <w:rPr>
          <w:rFonts w:hint="eastAsia"/>
        </w:rPr>
        <w:t>章</w:t>
      </w:r>
      <w:r>
        <w:rPr>
          <w:rFonts w:hint="eastAsia"/>
        </w:rPr>
        <w:t xml:space="preserve"> A </w:t>
      </w:r>
      <w:r>
        <w:rPr>
          <w:rFonts w:hint="eastAsia"/>
        </w:rPr>
        <w:t>股龙头标的剖析</w:t>
      </w:r>
    </w:p>
    <w:p w14:paraId="5CC60C69" w14:textId="77777777" w:rsidR="00B711F2" w:rsidRDefault="00B711F2" w:rsidP="00B711F2">
      <w:pPr>
        <w:ind w:firstLine="480"/>
      </w:pPr>
      <w:r>
        <w:rPr>
          <w:rFonts w:hint="eastAsia"/>
        </w:rPr>
        <w:t>•</w:t>
      </w:r>
      <w:r>
        <w:rPr>
          <w:rFonts w:hint="eastAsia"/>
        </w:rPr>
        <w:t xml:space="preserve"> </w:t>
      </w:r>
      <w:r>
        <w:rPr>
          <w:rFonts w:hint="eastAsia"/>
        </w:rPr>
        <w:t>格力、美的实证：</w:t>
      </w:r>
      <w:r>
        <w:rPr>
          <w:rFonts w:hint="eastAsia"/>
        </w:rPr>
        <w:t xml:space="preserve">PB-ROE </w:t>
      </w:r>
      <w:r>
        <w:rPr>
          <w:rFonts w:hint="eastAsia"/>
        </w:rPr>
        <w:t>异动解读</w:t>
      </w:r>
    </w:p>
    <w:p w14:paraId="34D711C1" w14:textId="77777777" w:rsidR="00B711F2" w:rsidRDefault="00B711F2" w:rsidP="00B711F2">
      <w:pPr>
        <w:ind w:firstLine="480"/>
      </w:pPr>
      <w:r>
        <w:rPr>
          <w:rFonts w:hint="eastAsia"/>
        </w:rPr>
        <w:t>•</w:t>
      </w:r>
      <w:r>
        <w:rPr>
          <w:rFonts w:hint="eastAsia"/>
        </w:rPr>
        <w:t xml:space="preserve"> </w:t>
      </w:r>
      <w:r>
        <w:rPr>
          <w:rFonts w:hint="eastAsia"/>
        </w:rPr>
        <w:t>行业内比：茅台、五粮液为何估值“逆势”</w:t>
      </w:r>
    </w:p>
    <w:p w14:paraId="39D0EB63" w14:textId="77777777" w:rsidR="00B711F2" w:rsidRDefault="00B711F2" w:rsidP="00B711F2">
      <w:pPr>
        <w:ind w:firstLine="480"/>
      </w:pPr>
      <w:r>
        <w:rPr>
          <w:rFonts w:hint="eastAsia"/>
        </w:rPr>
        <w:t>•</w:t>
      </w:r>
      <w:r>
        <w:rPr>
          <w:rFonts w:hint="eastAsia"/>
        </w:rPr>
        <w:t xml:space="preserve"> </w:t>
      </w:r>
      <w:r>
        <w:rPr>
          <w:rFonts w:hint="eastAsia"/>
        </w:rPr>
        <w:t>真实跟踪：盈利修正、商誉减值、行业景气度</w:t>
      </w:r>
    </w:p>
    <w:p w14:paraId="1EE2F960" w14:textId="77777777" w:rsidR="00B711F2" w:rsidRDefault="00B711F2" w:rsidP="00B711F2">
      <w:pPr>
        <w:ind w:firstLine="480"/>
      </w:pPr>
      <w:r>
        <w:rPr>
          <w:rFonts w:hint="eastAsia"/>
        </w:rPr>
        <w:t>附录</w:t>
      </w:r>
      <w:r>
        <w:rPr>
          <w:rFonts w:hint="eastAsia"/>
        </w:rPr>
        <w:t xml:space="preserve">1 </w:t>
      </w:r>
      <w:r>
        <w:rPr>
          <w:rFonts w:hint="eastAsia"/>
        </w:rPr>
        <w:t>聚宽平台回测实战</w:t>
      </w:r>
    </w:p>
    <w:p w14:paraId="0485AB80" w14:textId="77777777" w:rsidR="00B711F2" w:rsidRDefault="00B711F2" w:rsidP="00B711F2">
      <w:pPr>
        <w:ind w:firstLine="480"/>
      </w:pPr>
      <w:r>
        <w:rPr>
          <w:rFonts w:hint="eastAsia"/>
        </w:rPr>
        <w:t>•</w:t>
      </w:r>
      <w:r>
        <w:rPr>
          <w:rFonts w:hint="eastAsia"/>
        </w:rPr>
        <w:t xml:space="preserve"> </w:t>
      </w:r>
      <w:r>
        <w:rPr>
          <w:rFonts w:hint="eastAsia"/>
        </w:rPr>
        <w:t>环境搭建与数据接口说明</w:t>
      </w:r>
    </w:p>
    <w:p w14:paraId="1710F5E4" w14:textId="77777777" w:rsidR="00B711F2" w:rsidRDefault="00B711F2" w:rsidP="00B711F2">
      <w:pPr>
        <w:ind w:firstLine="480"/>
      </w:pPr>
      <w:r>
        <w:rPr>
          <w:rFonts w:hint="eastAsia"/>
        </w:rPr>
        <w:t>•</w:t>
      </w:r>
      <w:r>
        <w:rPr>
          <w:rFonts w:hint="eastAsia"/>
        </w:rPr>
        <w:t xml:space="preserve"> </w:t>
      </w:r>
      <w:r>
        <w:rPr>
          <w:rFonts w:hint="eastAsia"/>
        </w:rPr>
        <w:t>核心代码解析：从因子筛选到绩效评估</w:t>
      </w:r>
    </w:p>
    <w:p w14:paraId="00B5DBA3" w14:textId="77777777" w:rsidR="00B711F2" w:rsidRDefault="00B711F2" w:rsidP="00B711F2">
      <w:pPr>
        <w:ind w:firstLine="480"/>
      </w:pPr>
      <w:r>
        <w:rPr>
          <w:rFonts w:hint="eastAsia"/>
        </w:rPr>
        <w:t>•</w:t>
      </w:r>
      <w:r>
        <w:rPr>
          <w:rFonts w:hint="eastAsia"/>
        </w:rPr>
        <w:t xml:space="preserve"> </w:t>
      </w:r>
      <w:r>
        <w:rPr>
          <w:rFonts w:hint="eastAsia"/>
        </w:rPr>
        <w:t>常见问题与调优建议</w:t>
      </w:r>
    </w:p>
    <w:p w14:paraId="5BB7AB58" w14:textId="77777777" w:rsidR="00B711F2" w:rsidRDefault="00B711F2" w:rsidP="00B711F2">
      <w:pPr>
        <w:ind w:firstLine="480"/>
      </w:pPr>
      <w:r>
        <w:rPr>
          <w:rFonts w:hint="eastAsia"/>
        </w:rPr>
        <w:t>附录</w:t>
      </w:r>
      <w:r>
        <w:rPr>
          <w:rFonts w:hint="eastAsia"/>
        </w:rPr>
        <w:t xml:space="preserve">2 </w:t>
      </w:r>
      <w:r>
        <w:rPr>
          <w:rFonts w:hint="eastAsia"/>
        </w:rPr>
        <w:t>研究方法与思考日志</w:t>
      </w:r>
    </w:p>
    <w:p w14:paraId="3035327A" w14:textId="74C90BA6" w:rsidR="00B711F2" w:rsidRDefault="00B711F2" w:rsidP="00B711F2">
      <w:pPr>
        <w:ind w:firstLine="480"/>
      </w:pPr>
      <w:r>
        <w:rPr>
          <w:rFonts w:hint="eastAsia"/>
        </w:rPr>
        <w:t>•</w:t>
      </w:r>
      <w:r>
        <w:rPr>
          <w:rFonts w:hint="eastAsia"/>
        </w:rPr>
        <w:t xml:space="preserve"> </w:t>
      </w:r>
      <w:r>
        <w:rPr>
          <w:rFonts w:hint="eastAsia"/>
        </w:rPr>
        <w:t>我的研究流程</w:t>
      </w:r>
    </w:p>
    <w:p w14:paraId="03DE39A8" w14:textId="77777777" w:rsidR="00B711F2" w:rsidRDefault="00B711F2" w:rsidP="00B711F2">
      <w:pPr>
        <w:ind w:firstLine="480"/>
      </w:pPr>
      <w:r>
        <w:rPr>
          <w:rFonts w:hint="eastAsia"/>
        </w:rPr>
        <w:t>•</w:t>
      </w:r>
      <w:r>
        <w:rPr>
          <w:rFonts w:hint="eastAsia"/>
        </w:rPr>
        <w:t xml:space="preserve"> </w:t>
      </w:r>
      <w:r>
        <w:rPr>
          <w:rFonts w:hint="eastAsia"/>
        </w:rPr>
        <w:t>参数选择与稳健性测试思路</w:t>
      </w:r>
    </w:p>
    <w:p w14:paraId="373F7313" w14:textId="77777777" w:rsidR="00B711F2" w:rsidRDefault="00B711F2" w:rsidP="00B711F2">
      <w:pPr>
        <w:ind w:firstLine="480"/>
      </w:pPr>
      <w:r>
        <w:rPr>
          <w:rFonts w:hint="eastAsia"/>
        </w:rPr>
        <w:t>•</w:t>
      </w:r>
      <w:r>
        <w:rPr>
          <w:rFonts w:hint="eastAsia"/>
        </w:rPr>
        <w:t xml:space="preserve"> </w:t>
      </w:r>
      <w:r>
        <w:rPr>
          <w:rFonts w:hint="eastAsia"/>
        </w:rPr>
        <w:t>后续改进方向与开放课题</w:t>
      </w:r>
    </w:p>
    <w:p w14:paraId="182E5E78" w14:textId="77777777" w:rsidR="00B711F2" w:rsidRDefault="00B711F2" w:rsidP="00B711F2">
      <w:pPr>
        <w:ind w:firstLine="480"/>
      </w:pPr>
      <w:r>
        <w:rPr>
          <w:rFonts w:hint="eastAsia"/>
        </w:rPr>
        <w:t>致谢与参考文献</w:t>
      </w:r>
    </w:p>
    <w:p w14:paraId="464BF999" w14:textId="77777777" w:rsidR="00D043CC" w:rsidRDefault="00D043CC" w:rsidP="00B711F2">
      <w:pPr>
        <w:ind w:firstLine="480"/>
      </w:pPr>
    </w:p>
    <w:p w14:paraId="58D68DBD" w14:textId="77777777" w:rsidR="00D043CC" w:rsidRDefault="00D043CC" w:rsidP="00B711F2">
      <w:pPr>
        <w:ind w:firstLine="480"/>
      </w:pPr>
    </w:p>
    <w:p w14:paraId="75326EDA" w14:textId="3BE17C99" w:rsidR="00242C8B" w:rsidRPr="008773EE" w:rsidRDefault="00242C8B" w:rsidP="008773EE">
      <w:pPr>
        <w:ind w:left="62" w:firstLineChars="0" w:firstLine="420"/>
        <w:outlineLvl w:val="0"/>
        <w:rPr>
          <w:b/>
          <w:bCs/>
          <w:sz w:val="36"/>
          <w:szCs w:val="36"/>
        </w:rPr>
      </w:pPr>
      <w:r w:rsidRPr="008773EE">
        <w:rPr>
          <w:rFonts w:hint="eastAsia"/>
          <w:b/>
          <w:bCs/>
          <w:sz w:val="36"/>
          <w:szCs w:val="36"/>
        </w:rPr>
        <w:t>序言</w:t>
      </w:r>
    </w:p>
    <w:p w14:paraId="2AD38A2C" w14:textId="12939679" w:rsidR="00242C8B" w:rsidRDefault="00242C8B" w:rsidP="008773EE">
      <w:pPr>
        <w:ind w:firstLine="480"/>
      </w:pPr>
      <w:r>
        <w:rPr>
          <w:rFonts w:hint="eastAsia"/>
        </w:rPr>
        <w:t>本书缘起：为什么选择</w:t>
      </w:r>
      <w:r>
        <w:rPr>
          <w:rFonts w:hint="eastAsia"/>
        </w:rPr>
        <w:t xml:space="preserve"> PB-ROE </w:t>
      </w:r>
    </w:p>
    <w:p w14:paraId="264238A7" w14:textId="5BA74E79" w:rsidR="002F22EC" w:rsidRDefault="002F22EC" w:rsidP="008773EE">
      <w:pPr>
        <w:ind w:firstLine="480"/>
      </w:pPr>
      <w:r>
        <w:rPr>
          <w:rFonts w:hint="eastAsia"/>
        </w:rPr>
        <w:t>每一位</w:t>
      </w:r>
      <w:r w:rsidR="0010418B">
        <w:rPr>
          <w:rFonts w:hint="eastAsia"/>
        </w:rPr>
        <w:t>投资者</w:t>
      </w:r>
      <w:r w:rsidR="000A2165">
        <w:rPr>
          <w:rFonts w:hint="eastAsia"/>
        </w:rPr>
        <w:t>的</w:t>
      </w:r>
      <w:r w:rsidR="0010418B">
        <w:rPr>
          <w:rFonts w:hint="eastAsia"/>
        </w:rPr>
        <w:t>梦想</w:t>
      </w:r>
      <w:r w:rsidR="000A2165">
        <w:rPr>
          <w:rFonts w:hint="eastAsia"/>
        </w:rPr>
        <w:t>是</w:t>
      </w:r>
      <w:r>
        <w:rPr>
          <w:rFonts w:hint="eastAsia"/>
        </w:rPr>
        <w:t>：如何在众说纷纭的理论和瞬息万变的价格中，找到一条清晰、可靠的路径，实现资产的稳健增值？</w:t>
      </w:r>
    </w:p>
    <w:p w14:paraId="10025505" w14:textId="067F56FF" w:rsidR="0033391D" w:rsidRDefault="002F22EC" w:rsidP="008773EE">
      <w:pPr>
        <w:ind w:firstLine="480"/>
      </w:pPr>
      <w:r>
        <w:rPr>
          <w:rFonts w:hint="eastAsia"/>
        </w:rPr>
        <w:t>价值投资的信条</w:t>
      </w:r>
      <w:r w:rsidR="00803356">
        <w:rPr>
          <w:rFonts w:hint="eastAsia"/>
        </w:rPr>
        <w:t>是</w:t>
      </w:r>
      <w:r>
        <w:rPr>
          <w:rFonts w:hint="eastAsia"/>
        </w:rPr>
        <w:t>——“用便宜的价格买入好公司”。</w:t>
      </w:r>
      <w:r w:rsidR="0049710D" w:rsidRPr="0049710D">
        <w:rPr>
          <w:rFonts w:hint="eastAsia"/>
        </w:rPr>
        <w:t>自格雷厄姆的《证券分析》问世以来，价值投资的发展已经历经</w:t>
      </w:r>
      <w:r w:rsidR="000753FB">
        <w:rPr>
          <w:rFonts w:hint="eastAsia"/>
        </w:rPr>
        <w:t>近</w:t>
      </w:r>
      <w:r w:rsidR="0049710D" w:rsidRPr="0049710D">
        <w:rPr>
          <w:rFonts w:hint="eastAsia"/>
        </w:rPr>
        <w:t>百年的风雨洗礼，</w:t>
      </w:r>
      <w:r>
        <w:rPr>
          <w:rFonts w:hint="eastAsia"/>
        </w:rPr>
        <w:t>这句朴素的智慧穿越了近一个世纪的牛熊，至今依然是投资界的北极星。</w:t>
      </w:r>
    </w:p>
    <w:p w14:paraId="461B6C5B" w14:textId="265B50EC" w:rsidR="001E30AF" w:rsidRDefault="001E30AF" w:rsidP="001E30AF">
      <w:pPr>
        <w:ind w:firstLine="480"/>
      </w:pPr>
      <w:r>
        <w:rPr>
          <w:rFonts w:hint="eastAsia"/>
        </w:rPr>
        <w:t>本书选择以</w:t>
      </w:r>
      <w:r>
        <w:rPr>
          <w:rFonts w:hint="eastAsia"/>
        </w:rPr>
        <w:t xml:space="preserve"> PB-ROE</w:t>
      </w:r>
      <w:r>
        <w:rPr>
          <w:rFonts w:hint="eastAsia"/>
        </w:rPr>
        <w:t>（市净率</w:t>
      </w:r>
      <w:r>
        <w:rPr>
          <w:rFonts w:hint="eastAsia"/>
        </w:rPr>
        <w:t>-</w:t>
      </w:r>
      <w:r>
        <w:rPr>
          <w:rFonts w:hint="eastAsia"/>
        </w:rPr>
        <w:t>净资产收益率）</w:t>
      </w:r>
      <w:r>
        <w:rPr>
          <w:rFonts w:hint="eastAsia"/>
        </w:rPr>
        <w:t xml:space="preserve"> </w:t>
      </w:r>
      <w:r>
        <w:rPr>
          <w:rFonts w:hint="eastAsia"/>
        </w:rPr>
        <w:t>框架作为起点。</w:t>
      </w:r>
    </w:p>
    <w:p w14:paraId="2518B0F5" w14:textId="77777777" w:rsidR="001E30AF" w:rsidRDefault="001E30AF" w:rsidP="001E30AF">
      <w:pPr>
        <w:ind w:firstLine="480"/>
      </w:pPr>
      <w:r>
        <w:rPr>
          <w:rFonts w:hint="eastAsia"/>
        </w:rPr>
        <w:t>PB</w:t>
      </w:r>
      <w:r>
        <w:rPr>
          <w:rFonts w:hint="eastAsia"/>
        </w:rPr>
        <w:t>（市净率），衡量的是“价格”。一个足够低的</w:t>
      </w:r>
      <w:r>
        <w:rPr>
          <w:rFonts w:hint="eastAsia"/>
        </w:rPr>
        <w:t>PB</w:t>
      </w:r>
      <w:r>
        <w:rPr>
          <w:rFonts w:hint="eastAsia"/>
        </w:rPr>
        <w:t>，为我们提供了初步的“安全边际”，它代表了我们为公司的净资产所付出的成本。</w:t>
      </w:r>
    </w:p>
    <w:p w14:paraId="7C0C6908" w14:textId="2E461399" w:rsidR="001E30AF" w:rsidRDefault="001E30AF" w:rsidP="001E30AF">
      <w:pPr>
        <w:ind w:firstLine="480"/>
      </w:pPr>
      <w:r>
        <w:rPr>
          <w:rFonts w:hint="eastAsia"/>
        </w:rPr>
        <w:t>ROE</w:t>
      </w:r>
      <w:r>
        <w:rPr>
          <w:rFonts w:hint="eastAsia"/>
        </w:rPr>
        <w:t>（净资产收益率），衡量的则是“优秀程度”。一个长期稳定且高水平的</w:t>
      </w:r>
      <w:r>
        <w:rPr>
          <w:rFonts w:hint="eastAsia"/>
        </w:rPr>
        <w:t>ROE</w:t>
      </w:r>
      <w:r>
        <w:rPr>
          <w:rFonts w:hint="eastAsia"/>
        </w:rPr>
        <w:t>，是企业盈利能力、管理效率和商业模式护城河的直接体现。</w:t>
      </w:r>
    </w:p>
    <w:p w14:paraId="1CAF1414" w14:textId="3058285F" w:rsidR="003408B1" w:rsidRDefault="001E30AF" w:rsidP="001E30AF">
      <w:pPr>
        <w:ind w:firstLine="480"/>
      </w:pPr>
      <w:r>
        <w:rPr>
          <w:rFonts w:hint="eastAsia"/>
        </w:rPr>
        <w:t>将二者结合，</w:t>
      </w:r>
      <w:r>
        <w:rPr>
          <w:rFonts w:hint="eastAsia"/>
        </w:rPr>
        <w:t>PB-ROE</w:t>
      </w:r>
      <w:r>
        <w:rPr>
          <w:rFonts w:hint="eastAsia"/>
        </w:rPr>
        <w:t>策略的内在逻辑清晰而有力：在市场上寻找那些盈利能力强（高</w:t>
      </w:r>
      <w:r>
        <w:rPr>
          <w:rFonts w:hint="eastAsia"/>
        </w:rPr>
        <w:t>ROE</w:t>
      </w:r>
      <w:r>
        <w:rPr>
          <w:rFonts w:hint="eastAsia"/>
        </w:rPr>
        <w:t>），但估值相对便宜（低</w:t>
      </w:r>
      <w:r>
        <w:rPr>
          <w:rFonts w:hint="eastAsia"/>
        </w:rPr>
        <w:t>PB</w:t>
      </w:r>
      <w:r>
        <w:rPr>
          <w:rFonts w:hint="eastAsia"/>
        </w:rPr>
        <w:t>）的公司。</w:t>
      </w:r>
    </w:p>
    <w:p w14:paraId="4CEAE6A5" w14:textId="2A52966E" w:rsidR="001C2272" w:rsidRDefault="001C2272" w:rsidP="001C2272">
      <w:pPr>
        <w:ind w:firstLine="480"/>
      </w:pPr>
      <w:r>
        <w:rPr>
          <w:rFonts w:hint="eastAsia"/>
        </w:rPr>
        <w:t>一个显而易见的问题是：如果价值投资</w:t>
      </w:r>
      <w:r w:rsidR="00065D8A">
        <w:rPr>
          <w:rFonts w:hint="eastAsia"/>
        </w:rPr>
        <w:t>如此</w:t>
      </w:r>
      <w:r w:rsidR="00ED1988">
        <w:rPr>
          <w:rFonts w:hint="eastAsia"/>
        </w:rPr>
        <w:t>简明易行</w:t>
      </w:r>
      <w:r>
        <w:rPr>
          <w:rFonts w:hint="eastAsia"/>
        </w:rPr>
        <w:t>，为何并非人人都在使用它？</w:t>
      </w:r>
    </w:p>
    <w:p w14:paraId="7308C5FD" w14:textId="1BB8A178" w:rsidR="00C97701" w:rsidRDefault="001C2272" w:rsidP="001C2272">
      <w:pPr>
        <w:ind w:firstLine="480"/>
      </w:pPr>
      <w:r>
        <w:rPr>
          <w:rFonts w:hint="eastAsia"/>
        </w:rPr>
        <w:t>答案在于，它并非</w:t>
      </w:r>
      <w:r w:rsidR="00946603">
        <w:rPr>
          <w:rFonts w:hint="eastAsia"/>
        </w:rPr>
        <w:t>总是</w:t>
      </w:r>
      <w:r>
        <w:rPr>
          <w:rFonts w:hint="eastAsia"/>
        </w:rPr>
        <w:t>有效。</w:t>
      </w:r>
      <w:r w:rsidR="00C375AC">
        <w:rPr>
          <w:rFonts w:hint="eastAsia"/>
        </w:rPr>
        <w:t>如果</w:t>
      </w:r>
      <w:r w:rsidR="00E700D3" w:rsidRPr="00E700D3">
        <w:rPr>
          <w:rFonts w:hint="eastAsia"/>
        </w:rPr>
        <w:t>每个人都会使用它；而如果每个人都用，它可能就会失去效用。如果所有人都购买</w:t>
      </w:r>
      <w:r w:rsidR="00664771">
        <w:rPr>
          <w:rFonts w:hint="eastAsia"/>
        </w:rPr>
        <w:t>价值投资</w:t>
      </w:r>
      <w:r w:rsidR="00E700D3" w:rsidRPr="00E700D3">
        <w:rPr>
          <w:rFonts w:hint="eastAsia"/>
        </w:rPr>
        <w:t>选中的低价股票，那么这些股票的价格立刻就会被抬高。</w:t>
      </w:r>
      <w:r w:rsidR="00E700D3">
        <w:rPr>
          <w:rFonts w:hint="eastAsia"/>
        </w:rPr>
        <w:t>所以，</w:t>
      </w:r>
      <w:r>
        <w:rPr>
          <w:rFonts w:hint="eastAsia"/>
        </w:rPr>
        <w:t>价值投资的道路从不是一条平坦的直线，它常常需要投资者穿越长达数年、充满挑战的“无效期”，期间其表现甚至可能大幅落后于市场平均水平。</w:t>
      </w:r>
    </w:p>
    <w:p w14:paraId="7765A04B" w14:textId="77777777" w:rsidR="00065D8A" w:rsidRDefault="00065D8A" w:rsidP="00065D8A">
      <w:pPr>
        <w:ind w:firstLine="480"/>
      </w:pPr>
      <w:r>
        <w:rPr>
          <w:rFonts w:hint="eastAsia"/>
        </w:rPr>
        <w:t>我们能否做的更好？</w:t>
      </w:r>
    </w:p>
    <w:p w14:paraId="672E1678" w14:textId="77777777" w:rsidR="00D63F71" w:rsidRDefault="00D63F71" w:rsidP="00D63F71">
      <w:pPr>
        <w:ind w:firstLine="480"/>
      </w:pPr>
      <w:r>
        <w:rPr>
          <w:rFonts w:hint="eastAsia"/>
        </w:rPr>
        <w:t>让我们即刻启程。</w:t>
      </w:r>
    </w:p>
    <w:p w14:paraId="1CB31472" w14:textId="77777777" w:rsidR="00CD010B" w:rsidRDefault="00CD010B" w:rsidP="00242C8B">
      <w:pPr>
        <w:ind w:firstLine="480"/>
      </w:pPr>
    </w:p>
    <w:p w14:paraId="2E58BD2C" w14:textId="3220503D" w:rsidR="00242C8B" w:rsidRDefault="00242C8B" w:rsidP="00C375AC">
      <w:pPr>
        <w:ind w:firstLine="480"/>
        <w:outlineLvl w:val="1"/>
      </w:pPr>
      <w:r>
        <w:rPr>
          <w:rFonts w:hint="eastAsia"/>
        </w:rPr>
        <w:t>本书内容与目标读者</w:t>
      </w:r>
    </w:p>
    <w:p w14:paraId="10A9D8AC" w14:textId="77777777" w:rsidR="00602A20" w:rsidRDefault="00602A20" w:rsidP="00602A20">
      <w:pPr>
        <w:ind w:firstLine="480"/>
      </w:pPr>
      <w:r>
        <w:rPr>
          <w:rFonts w:hint="eastAsia"/>
        </w:rPr>
        <w:t>我们不会仅仅给你一个最终看似完美的模型。恰恰相反，本书更像一本公开的研究日志。我们将与你一同踏上这段策略优化的旅程：</w:t>
      </w:r>
    </w:p>
    <w:p w14:paraId="1D5DFDE7" w14:textId="3F4527C7" w:rsidR="00242C8B" w:rsidRDefault="00242C8B" w:rsidP="00242C8B">
      <w:pPr>
        <w:ind w:firstLine="480"/>
      </w:pPr>
      <w:r>
        <w:rPr>
          <w:rFonts w:hint="eastAsia"/>
        </w:rPr>
        <w:t>请不要将本书视为一本传统的金融教科书，或是一本纯粹的编程指南。它更像是一本策略研究日志，旨在真实、完整地还原一个量化策略从</w:t>
      </w:r>
      <w:r>
        <w:rPr>
          <w:rFonts w:hint="eastAsia"/>
        </w:rPr>
        <w:t>0</w:t>
      </w:r>
      <w:r>
        <w:rPr>
          <w:rFonts w:hint="eastAsia"/>
        </w:rPr>
        <w:t>到</w:t>
      </w:r>
      <w:r>
        <w:rPr>
          <w:rFonts w:hint="eastAsia"/>
        </w:rPr>
        <w:t>1</w:t>
      </w:r>
      <w:r>
        <w:rPr>
          <w:rFonts w:hint="eastAsia"/>
        </w:rPr>
        <w:t>、从</w:t>
      </w:r>
      <w:r>
        <w:rPr>
          <w:rFonts w:hint="eastAsia"/>
        </w:rPr>
        <w:t>1</w:t>
      </w:r>
      <w:r>
        <w:rPr>
          <w:rFonts w:hint="eastAsia"/>
        </w:rPr>
        <w:t>到</w:t>
      </w:r>
      <w:r>
        <w:rPr>
          <w:rFonts w:hint="eastAsia"/>
        </w:rPr>
        <w:t>N</w:t>
      </w:r>
      <w:r>
        <w:rPr>
          <w:rFonts w:hint="eastAsia"/>
        </w:rPr>
        <w:t>的进化全过程。</w:t>
      </w:r>
    </w:p>
    <w:p w14:paraId="7A1B4822" w14:textId="77777777" w:rsidR="00C375AC" w:rsidRDefault="00C375AC" w:rsidP="00242C8B">
      <w:pPr>
        <w:ind w:firstLine="480"/>
      </w:pPr>
    </w:p>
    <w:p w14:paraId="5C9330DA" w14:textId="660E8C2F" w:rsidR="00C375AC" w:rsidRPr="0005235D" w:rsidRDefault="001170B2" w:rsidP="008773EE">
      <w:pPr>
        <w:ind w:left="62" w:firstLineChars="0" w:firstLine="420"/>
        <w:outlineLvl w:val="0"/>
        <w:rPr>
          <w:b/>
          <w:bCs/>
          <w:sz w:val="36"/>
          <w:szCs w:val="36"/>
        </w:rPr>
      </w:pPr>
      <w:r w:rsidRPr="0005235D">
        <w:rPr>
          <w:rFonts w:hint="eastAsia"/>
          <w:b/>
          <w:bCs/>
          <w:sz w:val="36"/>
          <w:szCs w:val="36"/>
        </w:rPr>
        <w:t>第一章</w:t>
      </w:r>
      <w:r w:rsidR="000E104C" w:rsidRPr="0005235D">
        <w:rPr>
          <w:rFonts w:hint="eastAsia"/>
          <w:b/>
          <w:bCs/>
          <w:sz w:val="36"/>
          <w:szCs w:val="36"/>
        </w:rPr>
        <w:t xml:space="preserve"> </w:t>
      </w:r>
      <w:r w:rsidR="000E104C" w:rsidRPr="0005235D">
        <w:rPr>
          <w:rFonts w:hint="eastAsia"/>
          <w:b/>
          <w:bCs/>
          <w:sz w:val="36"/>
          <w:szCs w:val="36"/>
        </w:rPr>
        <w:t>从</w:t>
      </w:r>
      <w:r w:rsidR="000E104C" w:rsidRPr="0005235D">
        <w:rPr>
          <w:rFonts w:hint="eastAsia"/>
          <w:b/>
          <w:bCs/>
          <w:sz w:val="36"/>
          <w:szCs w:val="36"/>
        </w:rPr>
        <w:t>PB-ROE</w:t>
      </w:r>
      <w:r w:rsidR="000E104C" w:rsidRPr="0005235D">
        <w:rPr>
          <w:rFonts w:hint="eastAsia"/>
          <w:b/>
          <w:bCs/>
          <w:sz w:val="36"/>
          <w:szCs w:val="36"/>
        </w:rPr>
        <w:t>出发</w:t>
      </w:r>
    </w:p>
    <w:p w14:paraId="5F6541BA" w14:textId="77777777" w:rsidR="00417A39" w:rsidRDefault="00417A39" w:rsidP="001170B2">
      <w:pPr>
        <w:ind w:firstLine="480"/>
      </w:pPr>
      <w:r w:rsidRPr="00417A39">
        <w:rPr>
          <w:rFonts w:hint="eastAsia"/>
        </w:rPr>
        <w:t>在现代投资分析中，连接公司市场价格与内在价值的桥梁至关重要。市净率（</w:t>
      </w:r>
      <w:r w:rsidRPr="00417A39">
        <w:rPr>
          <w:rFonts w:hint="eastAsia"/>
        </w:rPr>
        <w:t>P/B</w:t>
      </w:r>
      <w:r w:rsidRPr="00417A39">
        <w:rPr>
          <w:rFonts w:hint="eastAsia"/>
        </w:rPr>
        <w:t>）作为市场价格的直接体现，反映了投资者愿意为每一单位净资产支付的成本；而净资产收益率（</w:t>
      </w:r>
      <w:r w:rsidRPr="00417A39">
        <w:rPr>
          <w:rFonts w:hint="eastAsia"/>
        </w:rPr>
        <w:t>ROE</w:t>
      </w:r>
      <w:r w:rsidRPr="00417A39">
        <w:rPr>
          <w:rFonts w:hint="eastAsia"/>
        </w:rPr>
        <w:t>）则是衡量公司利用自有资本创造利润效率的核心指标，代表了公司的内在价值创造能力。如何将这两者系统性地结合，一直是金融领域探索的核心问题。</w:t>
      </w:r>
    </w:p>
    <w:p w14:paraId="0DCC5A5F" w14:textId="4A975788" w:rsidR="00310DFD" w:rsidRDefault="0005235D" w:rsidP="001170B2">
      <w:pPr>
        <w:ind w:firstLine="480"/>
      </w:pPr>
      <w:r w:rsidRPr="0005235D">
        <w:rPr>
          <w:rFonts w:hint="eastAsia"/>
        </w:rPr>
        <w:t>1984</w:t>
      </w:r>
      <w:r w:rsidRPr="0005235D">
        <w:rPr>
          <w:rFonts w:hint="eastAsia"/>
        </w:rPr>
        <w:t>年，经济学家贾罗德·</w:t>
      </w:r>
      <w:r w:rsidRPr="0005235D">
        <w:rPr>
          <w:rFonts w:hint="eastAsia"/>
        </w:rPr>
        <w:t>W</w:t>
      </w:r>
      <w:r w:rsidRPr="0005235D">
        <w:rPr>
          <w:rFonts w:hint="eastAsia"/>
        </w:rPr>
        <w:t>·威尔科克斯（</w:t>
      </w:r>
      <w:r w:rsidRPr="0005235D">
        <w:rPr>
          <w:rFonts w:hint="eastAsia"/>
        </w:rPr>
        <w:t>Jarrod W. Wilcox</w:t>
      </w:r>
      <w:r w:rsidRPr="0005235D">
        <w:rPr>
          <w:rFonts w:hint="eastAsia"/>
        </w:rPr>
        <w:t>）在《金融分析师杂志》上发表了论文《</w:t>
      </w:r>
      <w:r w:rsidRPr="0005235D">
        <w:rPr>
          <w:rFonts w:hint="eastAsia"/>
        </w:rPr>
        <w:t>The P/B-ROE Valuation Model</w:t>
      </w:r>
      <w:r w:rsidRPr="0005235D">
        <w:rPr>
          <w:rFonts w:hint="eastAsia"/>
        </w:rPr>
        <w:t>》。这篇论文构建了市净率（</w:t>
      </w:r>
      <w:r w:rsidRPr="0005235D">
        <w:rPr>
          <w:rFonts w:hint="eastAsia"/>
        </w:rPr>
        <w:t>P/B</w:t>
      </w:r>
      <w:r w:rsidRPr="0005235D">
        <w:rPr>
          <w:rFonts w:hint="eastAsia"/>
        </w:rPr>
        <w:t>）与净资产收益率（</w:t>
      </w:r>
      <w:r w:rsidRPr="0005235D">
        <w:rPr>
          <w:rFonts w:hint="eastAsia"/>
        </w:rPr>
        <w:t>ROE</w:t>
      </w:r>
      <w:r w:rsidRPr="0005235D">
        <w:rPr>
          <w:rFonts w:hint="eastAsia"/>
        </w:rPr>
        <w:t>）之间的数学关系，为后续的价值评估提供了一个可量化的模型。</w:t>
      </w:r>
    </w:p>
    <w:p w14:paraId="4A52B12F" w14:textId="77777777" w:rsidR="00A81D56" w:rsidRDefault="00A81D56" w:rsidP="001170B2">
      <w:pPr>
        <w:ind w:firstLine="482"/>
        <w:rPr>
          <w:b/>
          <w:bCs/>
        </w:rPr>
      </w:pPr>
    </w:p>
    <w:p w14:paraId="227BD1CC" w14:textId="2104A5A0" w:rsidR="0005235D" w:rsidRPr="0005235D" w:rsidRDefault="0005235D" w:rsidP="001170B2">
      <w:pPr>
        <w:ind w:firstLine="482"/>
        <w:rPr>
          <w:b/>
          <w:bCs/>
        </w:rPr>
      </w:pPr>
      <w:r w:rsidRPr="0005235D">
        <w:rPr>
          <w:rFonts w:hint="eastAsia"/>
          <w:b/>
          <w:bCs/>
        </w:rPr>
        <w:t>核心逻辑推导：从股东回报到估值方程</w:t>
      </w:r>
    </w:p>
    <w:p w14:paraId="4E9D88F2" w14:textId="197B2201" w:rsidR="00417A39" w:rsidRDefault="00417A39" w:rsidP="006907DF">
      <w:pPr>
        <w:ind w:firstLine="480"/>
        <w:jc w:val="center"/>
      </w:pPr>
    </w:p>
    <w:p w14:paraId="503D93D5" w14:textId="4CAA74DA" w:rsidR="00F307E6" w:rsidRDefault="0005235D" w:rsidP="00F307E6">
      <w:pPr>
        <w:ind w:firstLine="480"/>
      </w:pPr>
      <w:r w:rsidRPr="0005235D">
        <w:rPr>
          <w:rFonts w:hint="eastAsia"/>
        </w:rPr>
        <w:t>推导的起点是股东的总回报率（</w:t>
      </w:r>
      <w:r w:rsidRPr="0005235D">
        <w:rPr>
          <w:rFonts w:hint="eastAsia"/>
        </w:rPr>
        <w:t>k</w:t>
      </w:r>
      <w:r w:rsidRPr="0005235D">
        <w:rPr>
          <w:rFonts w:hint="eastAsia"/>
        </w:rPr>
        <w:t>），它</w:t>
      </w:r>
      <w:r w:rsidR="00A81D56">
        <w:rPr>
          <w:rFonts w:hint="eastAsia"/>
        </w:rPr>
        <w:t>通常</w:t>
      </w:r>
      <w:r w:rsidR="00F307E6" w:rsidRPr="00F307E6">
        <w:t>由股息收益和资本利得构成：</w:t>
      </w:r>
    </w:p>
    <w:p w14:paraId="4D18504C" w14:textId="77777777" w:rsidR="002E2879" w:rsidRPr="002E2879" w:rsidRDefault="002E2879" w:rsidP="002E2879">
      <w:pPr>
        <w:ind w:firstLine="480"/>
        <w:rPr>
          <w:rFonts w:ascii="Cambria Math" w:hAnsi="Cambria Math"/>
          <w:oMath/>
        </w:rPr>
      </w:pPr>
      <m:oMathPara>
        <m:oMath>
          <m:r>
            <w:rPr>
              <w:rFonts w:ascii="Cambria Math" w:hAnsi="Cambria Math"/>
            </w:rPr>
            <m:t>k = D/P + ΔP/P</m:t>
          </m:r>
        </m:oMath>
      </m:oMathPara>
    </w:p>
    <w:p w14:paraId="35F73AE1" w14:textId="6E41304C" w:rsidR="00F307E6" w:rsidRPr="00F307E6" w:rsidRDefault="00F307E6" w:rsidP="00F307E6">
      <w:pPr>
        <w:ind w:left="420" w:firstLineChars="25" w:firstLine="60"/>
      </w:pPr>
      <w:r w:rsidRPr="00F307E6">
        <w:t>将股价</w:t>
      </w:r>
      <w:r w:rsidRPr="00F307E6">
        <w:t xml:space="preserve"> (P) </w:t>
      </w:r>
      <w:r w:rsidRPr="00F307E6">
        <w:t>分解为每股净资产</w:t>
      </w:r>
      <w:r w:rsidRPr="00F307E6">
        <w:t xml:space="preserve"> (B) </w:t>
      </w:r>
      <w:r w:rsidRPr="00F307E6">
        <w:t>与市净率</w:t>
      </w:r>
      <m:oMath>
        <m:r>
          <w:rPr>
            <w:rFonts w:ascii="Cambria Math" w:hAnsi="Cambria Math"/>
          </w:rPr>
          <m:t xml:space="preserve"> (</m:t>
        </m:r>
        <m:r>
          <w:rPr>
            <w:rFonts w:ascii="Cambria Math" w:hAnsi="Cambria Math" w:hint="eastAsia"/>
          </w:rPr>
          <m:t>P/B</m:t>
        </m:r>
        <m:r>
          <w:rPr>
            <w:rFonts w:ascii="Cambria Math" w:hAnsi="Cambria Math"/>
          </w:rPr>
          <m:t>)</m:t>
        </m:r>
      </m:oMath>
      <w:r w:rsidRPr="00F307E6">
        <w:t xml:space="preserve"> </w:t>
      </w:r>
      <w:r w:rsidRPr="00F307E6">
        <w:t>的乘积：</w:t>
      </w:r>
    </w:p>
    <w:p w14:paraId="43F95DE5" w14:textId="77777777" w:rsidR="002E2879" w:rsidRPr="002E2879" w:rsidRDefault="002E2879" w:rsidP="002E2879">
      <w:pPr>
        <w:ind w:firstLine="480"/>
        <w:rPr>
          <w:rFonts w:ascii="Cambria Math" w:hAnsi="Cambria Math"/>
          <w:oMath/>
        </w:rPr>
      </w:pPr>
      <m:oMathPara>
        <m:oMath>
          <m:r>
            <w:rPr>
              <w:rFonts w:ascii="Cambria Math" w:hAnsi="Cambria Math"/>
            </w:rPr>
            <m:t>P = B × (P/B)</m:t>
          </m:r>
        </m:oMath>
      </m:oMathPara>
    </w:p>
    <w:p w14:paraId="05BEB7F3" w14:textId="77777777" w:rsidR="00F307E6" w:rsidRDefault="00F307E6" w:rsidP="00F307E6">
      <w:pPr>
        <w:ind w:firstLine="480"/>
      </w:pPr>
      <w:r w:rsidRPr="00F307E6">
        <w:t>由此，价格增长率可近似拆解为净资产自身增长与估值倍数变化之和：</w:t>
      </w:r>
    </w:p>
    <w:p w14:paraId="310ACEF6" w14:textId="20577277" w:rsidR="002E2879" w:rsidRPr="002E2879" w:rsidRDefault="002E2879" w:rsidP="002E2879">
      <w:pPr>
        <w:ind w:firstLine="480"/>
        <w:rPr>
          <w:rFonts w:ascii="Cambria Math" w:hAnsi="Cambria Math"/>
          <w:oMath/>
        </w:rPr>
      </w:pPr>
      <m:oMathPara>
        <m:oMath>
          <m:r>
            <w:rPr>
              <w:rFonts w:ascii="Cambria Math" w:hAnsi="Cambria Math" w:hint="eastAsia"/>
            </w:rPr>
            <m:t xml:space="preserve">ΔP/P </m:t>
          </m:r>
          <m:r>
            <w:rPr>
              <w:rFonts w:ascii="Cambria Math" w:hAnsi="Cambria Math" w:hint="eastAsia"/>
            </w:rPr>
            <m:t>≈</m:t>
          </m:r>
          <m:r>
            <w:rPr>
              <w:rFonts w:ascii="Cambria Math" w:hAnsi="Cambria Math" w:hint="eastAsia"/>
            </w:rPr>
            <m:t xml:space="preserve"> ΔB/B + Δ(P/B)/(P/B)</m:t>
          </m:r>
        </m:oMath>
      </m:oMathPara>
    </w:p>
    <w:p w14:paraId="06B282DF" w14:textId="78F35BC6" w:rsidR="002E2879" w:rsidRPr="002E2879" w:rsidRDefault="002E2879" w:rsidP="002E2879">
      <w:pPr>
        <w:ind w:firstLine="480"/>
        <w:rPr>
          <w:rFonts w:ascii="Cambria Math" w:hAnsi="Cambria Math"/>
          <w:oMath/>
        </w:rPr>
      </w:pPr>
      <w:r w:rsidRPr="00F307E6">
        <w:t>将该表达式代回总回报率公式，得到：</w:t>
      </w:r>
    </w:p>
    <w:p w14:paraId="5D68B891" w14:textId="2B14C0AE" w:rsidR="00F307E6" w:rsidRPr="002E2879" w:rsidRDefault="002E2879" w:rsidP="002E2879">
      <w:pPr>
        <w:ind w:firstLine="480"/>
        <w:jc w:val="center"/>
      </w:pPr>
      <m:oMathPara>
        <m:oMath>
          <m:r>
            <w:rPr>
              <w:rFonts w:ascii="Cambria Math" w:hAnsi="Cambria Math" w:hint="eastAsia"/>
            </w:rPr>
            <m:t xml:space="preserve">k </m:t>
          </m:r>
          <m:r>
            <w:rPr>
              <w:rFonts w:ascii="Cambria Math" w:hAnsi="Cambria Math" w:hint="eastAsia"/>
            </w:rPr>
            <m:t>≈</m:t>
          </m:r>
          <m:r>
            <w:rPr>
              <w:rFonts w:ascii="Cambria Math" w:hAnsi="Cambria Math" w:hint="eastAsia"/>
            </w:rPr>
            <m:t xml:space="preserve"> D/P + ΔB/B + Δ(P/B)/(P/B)</m:t>
          </m:r>
        </m:oMath>
      </m:oMathPara>
    </w:p>
    <w:p w14:paraId="2510BE9E" w14:textId="04C29364" w:rsidR="00A81D56" w:rsidRPr="00F307E6" w:rsidRDefault="00A81D56" w:rsidP="00A81D56">
      <w:pPr>
        <w:ind w:firstLine="480"/>
      </w:pPr>
      <w:r>
        <w:rPr>
          <w:rFonts w:hint="eastAsia"/>
        </w:rPr>
        <w:t>其中，净资产增长率</w:t>
      </w:r>
      <m:oMath>
        <m:d>
          <m:dPr>
            <m:begChr m:val="（"/>
            <m:endChr m:val="）"/>
            <m:ctrlPr>
              <w:rPr>
                <w:rFonts w:ascii="Cambria Math" w:hAnsi="Cambria Math"/>
                <w:i/>
              </w:rPr>
            </m:ctrlPr>
          </m:dPr>
          <m:e>
            <m:r>
              <w:rPr>
                <w:rFonts w:ascii="Cambria Math" w:hAnsi="Cambria Math" w:hint="eastAsia"/>
              </w:rPr>
              <m:t>ΔB</m:t>
            </m:r>
            <m:r>
              <m:rPr>
                <m:lit/>
              </m:rPr>
              <w:rPr>
                <w:rFonts w:ascii="Cambria Math" w:hAnsi="Cambria Math" w:hint="eastAsia"/>
              </w:rPr>
              <m:t>/</m:t>
            </m:r>
            <m:r>
              <w:rPr>
                <w:rFonts w:ascii="Cambria Math" w:hAnsi="Cambria Math" w:hint="eastAsia"/>
              </w:rPr>
              <m:t>B</m:t>
            </m:r>
          </m:e>
        </m:d>
      </m:oMath>
      <w:r>
        <w:rPr>
          <w:rFonts w:hint="eastAsia"/>
        </w:rPr>
        <w:t xml:space="preserve"> </w:t>
      </w:r>
      <w:r>
        <w:rPr>
          <w:rFonts w:hint="eastAsia"/>
        </w:rPr>
        <w:t>主要来源于公司将未分红的利润进行再投资，这部分可以用</w:t>
      </w:r>
      <w:r>
        <w:rPr>
          <w:rFonts w:hint="eastAsia"/>
        </w:rPr>
        <w:t>ROE</w:t>
      </w:r>
      <w:r>
        <w:rPr>
          <w:rFonts w:hint="eastAsia"/>
        </w:rPr>
        <w:t>来表示</w:t>
      </w:r>
      <w:r w:rsidR="00F307E6">
        <w:rPr>
          <w:rFonts w:hint="eastAsia"/>
        </w:rPr>
        <w:t>，</w:t>
      </w:r>
      <w:r w:rsidR="002E2879" w:rsidRPr="002E2879">
        <w:t>若暂时忽略</w:t>
      </w:r>
      <w:r w:rsidR="002E2879" w:rsidRPr="002E2879">
        <w:t xml:space="preserve"> D/P</w:t>
      </w:r>
      <w:r w:rsidR="002E2879" w:rsidRPr="002E2879">
        <w:t>则有：</w:t>
      </w:r>
      <w:r w:rsidR="002E2879" w:rsidRPr="00F307E6">
        <w:t xml:space="preserve"> </w:t>
      </w:r>
    </w:p>
    <w:p w14:paraId="61D8975D" w14:textId="06F3D3D7" w:rsidR="00F307E6" w:rsidRDefault="00F307E6" w:rsidP="00A81D56">
      <w:pPr>
        <w:ind w:firstLine="480"/>
      </w:pPr>
      <m:oMathPara>
        <m:oMath>
          <m:r>
            <w:rPr>
              <w:rFonts w:ascii="Cambria Math" w:hAnsi="Cambria Math" w:hint="eastAsia"/>
            </w:rPr>
            <m:t xml:space="preserve">Δ(P/B)/(P/B) </m:t>
          </m:r>
          <m:r>
            <w:rPr>
              <w:rFonts w:ascii="Cambria Math" w:hAnsi="Cambria Math" w:hint="eastAsia"/>
            </w:rPr>
            <m:t>≈</m:t>
          </m:r>
          <m:r>
            <w:rPr>
              <w:rFonts w:ascii="Cambria Math" w:hAnsi="Cambria Math" w:hint="eastAsia"/>
            </w:rPr>
            <m:t xml:space="preserve"> k </m:t>
          </m:r>
          <m:r>
            <w:rPr>
              <w:rFonts w:ascii="Cambria Math" w:hAnsi="Cambria Math" w:hint="eastAsia"/>
            </w:rPr>
            <m:t>-</m:t>
          </m:r>
          <m:r>
            <w:rPr>
              <w:rFonts w:ascii="Cambria Math" w:hAnsi="Cambria Math" w:hint="eastAsia"/>
            </w:rPr>
            <m:t xml:space="preserve"> r</m:t>
          </m:r>
        </m:oMath>
      </m:oMathPara>
    </w:p>
    <w:p w14:paraId="73FFDA3C" w14:textId="77777777" w:rsidR="00F307E6" w:rsidRDefault="00F307E6" w:rsidP="00F307E6">
      <w:pPr>
        <w:ind w:firstLine="480"/>
      </w:pPr>
      <w:r>
        <w:rPr>
          <w:rFonts w:hint="eastAsia"/>
        </w:rPr>
        <w:t>将差分记作微分，并令</w:t>
      </w:r>
      <w:r>
        <w:rPr>
          <w:rFonts w:hint="eastAsia"/>
        </w:rPr>
        <w:t xml:space="preserve"> x(t)=P/B</w:t>
      </w:r>
      <w:r>
        <w:rPr>
          <w:rFonts w:hint="eastAsia"/>
        </w:rPr>
        <w:t>，则上式变为：</w:t>
      </w:r>
    </w:p>
    <w:p w14:paraId="096BDCDE" w14:textId="174B889E" w:rsidR="00F307E6" w:rsidRDefault="00000000" w:rsidP="00F307E6">
      <w:pPr>
        <w:ind w:firstLine="480"/>
        <w:jc w:val="center"/>
      </w:pPr>
      <m:oMathPara>
        <m:oMath>
          <m:f>
            <m:fPr>
              <m:ctrlPr>
                <w:rPr>
                  <w:rFonts w:ascii="Cambria Math" w:hAnsi="Cambria Math"/>
                  <w:i/>
                </w:rPr>
              </m:ctrlPr>
            </m:fPr>
            <m:num>
              <m:r>
                <w:rPr>
                  <w:rFonts w:ascii="Cambria Math" w:hAnsi="Cambria Math"/>
                </w:rPr>
                <m:t>dx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m:t>
          </m:r>
          <m:d>
            <m:dPr>
              <m:ctrlPr>
                <w:rPr>
                  <w:rFonts w:ascii="Cambria Math" w:hAnsi="Cambria Math"/>
                  <w:i/>
                </w:rPr>
              </m:ctrlPr>
            </m:dPr>
            <m:e>
              <m:r>
                <w:rPr>
                  <w:rFonts w:ascii="Cambria Math" w:hAnsi="Cambria Math"/>
                </w:rPr>
                <m:t>k - r</m:t>
              </m:r>
            </m:e>
          </m:d>
          <m:r>
            <w:rPr>
              <w:rFonts w:ascii="Cambria Math" w:hAnsi="Cambria Math"/>
            </w:rPr>
            <m:t>·dt</m:t>
          </m:r>
        </m:oMath>
      </m:oMathPara>
    </w:p>
    <w:p w14:paraId="77F1886A" w14:textId="77777777" w:rsidR="002E2879" w:rsidRDefault="002E2879" w:rsidP="002E2879">
      <w:pPr>
        <w:ind w:firstLine="480"/>
      </w:pPr>
      <w:r w:rsidRPr="002E2879">
        <w:t>两边对</w:t>
      </w:r>
      <w:r w:rsidRPr="002E2879">
        <w:t xml:space="preserve"> t </w:t>
      </w:r>
      <w:r w:rsidRPr="002E2879">
        <w:t>从</w:t>
      </w:r>
      <w:r w:rsidRPr="002E2879">
        <w:t xml:space="preserve"> 0 </w:t>
      </w:r>
      <w:r w:rsidRPr="002E2879">
        <w:t>积分到</w:t>
      </w:r>
      <w:r w:rsidRPr="002E2879">
        <w:t xml:space="preserve"> T</w:t>
      </w:r>
      <w:r w:rsidRPr="002E2879">
        <w:t>：</w:t>
      </w:r>
    </w:p>
    <w:p w14:paraId="3B85A5B2" w14:textId="050D0805" w:rsidR="009B77FF" w:rsidRDefault="00000000" w:rsidP="002E2879">
      <w:pPr>
        <w:ind w:firstLine="480"/>
      </w:pPr>
      <m:oMathPara>
        <m:oMath>
          <m:nary>
            <m:naryP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dx</m:t>
                  </m:r>
                </m:num>
                <m:den>
                  <m:r>
                    <w:rPr>
                      <w:rFonts w:ascii="Cambria Math" w:hAnsi="Cambria Math"/>
                    </w:rPr>
                    <m:t>x</m:t>
                  </m:r>
                </m:den>
              </m:f>
            </m:e>
          </m:nary>
          <m:r>
            <w:rPr>
              <w:rFonts w:ascii="Cambria Math" w:hAnsi="Cambria Math"/>
            </w:rPr>
            <m:t xml:space="preserve">= </m:t>
          </m:r>
          <m:nary>
            <m:naryPr>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r>
                    <w:rPr>
                      <w:rFonts w:ascii="Cambria Math" w:hAnsi="Cambria Math"/>
                    </w:rPr>
                    <m:t>k - r</m:t>
                  </m:r>
                </m:e>
              </m:d>
              <m:r>
                <w:rPr>
                  <w:rFonts w:ascii="Cambria Math" w:hAnsi="Cambria Math"/>
                </w:rPr>
                <m:t>dt</m:t>
              </m:r>
            </m:e>
          </m:nary>
        </m:oMath>
      </m:oMathPara>
    </w:p>
    <w:p w14:paraId="3466380E" w14:textId="2C971822" w:rsidR="002E2879" w:rsidRDefault="002E2879" w:rsidP="002E2879">
      <w:pPr>
        <w:ind w:firstLine="480"/>
      </w:pPr>
      <w:r w:rsidRPr="002E2879">
        <w:t>左侧是</w:t>
      </w:r>
      <w:r w:rsidRPr="002E2879">
        <w:t xml:space="preserve"> ln(x(T)) – ln(x(0))</w:t>
      </w:r>
      <w:r w:rsidRPr="002E2879">
        <w:t>，右侧是</w:t>
      </w:r>
      <w:r w:rsidRPr="002E2879">
        <w:t xml:space="preserve"> (k – r)·T</w:t>
      </w:r>
      <w:r w:rsidRPr="002E2879">
        <w:t>：</w:t>
      </w:r>
    </w:p>
    <w:p w14:paraId="3214CF88" w14:textId="0A422D98" w:rsidR="009B77FF" w:rsidRPr="002E2879" w:rsidRDefault="00000000" w:rsidP="002E2879">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ctrlPr>
                    <w:rPr>
                      <w:rFonts w:ascii="Cambria Math" w:hAnsi="Cambria Math"/>
                      <w:i/>
                    </w:rPr>
                  </m:ctrlP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t=0</m:t>
                      </m:r>
                    </m:sub>
                  </m:sSub>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k-r</m:t>
              </m:r>
            </m:e>
          </m:d>
          <m:r>
            <m:rPr>
              <m:sty m:val="p"/>
            </m:rPr>
            <w:rPr>
              <w:rFonts w:ascii="Cambria Math" w:hAnsi="Cambria Math"/>
            </w:rPr>
            <m:t>⋅</m:t>
          </m:r>
          <m:r>
            <w:rPr>
              <w:rFonts w:ascii="Cambria Math" w:hAnsi="Cambria Math"/>
            </w:rPr>
            <m:t>T</m:t>
          </m:r>
        </m:oMath>
      </m:oMathPara>
    </w:p>
    <w:p w14:paraId="54D645BD" w14:textId="2D58258D" w:rsidR="009B77FF" w:rsidRPr="009B77FF" w:rsidRDefault="009B77FF" w:rsidP="009B77FF">
      <w:pPr>
        <w:ind w:firstLine="480"/>
      </w:pPr>
      <w:r w:rsidRPr="009B77FF">
        <w:t>​</w:t>
      </w:r>
      <w:r w:rsidR="00C84952">
        <w:rPr>
          <w:rFonts w:hint="eastAsia"/>
        </w:rPr>
        <w:t>假设</w:t>
      </w:r>
      <w:r w:rsidRPr="009B77FF">
        <w:t>到期</w:t>
      </w:r>
      <w:r w:rsidRPr="009B77FF">
        <w:t xml:space="preserve"> T </w:t>
      </w:r>
      <w:r w:rsidRPr="009B77FF">
        <w:t>年后市净率回归基本面，即：</w:t>
      </w:r>
    </w:p>
    <w:p w14:paraId="3B3E3DA6" w14:textId="6CA3CEAF" w:rsidR="009B77FF" w:rsidRPr="009B77FF" w:rsidRDefault="00000000" w:rsidP="009B77FF">
      <w:pPr>
        <w:ind w:firstLine="480"/>
      </w:pPr>
      <m:oMathPara>
        <m:oMath>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t=T</m:t>
              </m:r>
            </m:sub>
          </m:sSub>
          <m:r>
            <w:rPr>
              <w:rFonts w:ascii="Cambria Math" w:hAnsi="Cambria Math"/>
            </w:rPr>
            <m:t>=1</m:t>
          </m:r>
        </m:oMath>
      </m:oMathPara>
    </w:p>
    <w:p w14:paraId="5DCFE8E9" w14:textId="24A44B75" w:rsidR="009B77FF" w:rsidRPr="009B77FF" w:rsidRDefault="00C84952" w:rsidP="009B77FF">
      <w:pPr>
        <w:ind w:firstLine="480"/>
      </w:pPr>
      <w:r>
        <w:rPr>
          <w:rFonts w:hint="eastAsia"/>
        </w:rPr>
        <w:t>可得</w:t>
      </w:r>
      <w:r w:rsidR="009B77FF" w:rsidRPr="009B77FF">
        <w:t>：</w:t>
      </w:r>
    </w:p>
    <w:p w14:paraId="70888A0D" w14:textId="6FD95488" w:rsidR="009B77FF" w:rsidRPr="009B77FF" w:rsidRDefault="00000000" w:rsidP="009B77FF">
      <w:pPr>
        <w:ind w:firstLine="480"/>
      </w:pPr>
      <m:oMathPara>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r>
                        <w:rPr>
                          <w:rFonts w:ascii="Cambria Math" w:hAnsi="Cambria Math"/>
                        </w:rPr>
                        <m:t>P</m:t>
                      </m:r>
                      <m:ctrlPr>
                        <w:rPr>
                          <w:rFonts w:ascii="Cambria Math" w:hAnsi="Cambria Math"/>
                          <w:i/>
                        </w:rPr>
                      </m:ctrlPr>
                    </m:num>
                    <m:den>
                      <m:r>
                        <w:rPr>
                          <w:rFonts w:ascii="Cambria Math" w:hAnsi="Cambria Math"/>
                        </w:rPr>
                        <m:t>B</m:t>
                      </m:r>
                      <m:ctrlPr>
                        <w:rPr>
                          <w:rFonts w:ascii="Cambria Math" w:hAnsi="Cambria Math"/>
                          <w:i/>
                        </w:rPr>
                      </m:ctrlPr>
                    </m:den>
                  </m:f>
                  <m:ctrlPr>
                    <w:rPr>
                      <w:rFonts w:ascii="Cambria Math" w:hAnsi="Cambria Math"/>
                      <w:i/>
                    </w:rPr>
                  </m:ctrlPr>
                </m:e>
              </m:d>
            </m:e>
          </m:func>
          <m:r>
            <w:rPr>
              <w:rFonts w:ascii="Cambria Math" w:hAnsi="Cambria Math"/>
            </w:rPr>
            <m:t>=</m:t>
          </m:r>
          <m:d>
            <m:dPr>
              <m:ctrlPr>
                <w:rPr>
                  <w:rFonts w:ascii="Cambria Math" w:hAnsi="Cambria Math"/>
                  <w:i/>
                </w:rPr>
              </m:ctrlPr>
            </m:dPr>
            <m:e>
              <m:r>
                <w:rPr>
                  <w:rFonts w:ascii="Cambria Math" w:hAnsi="Cambria Math"/>
                </w:rPr>
                <m:t>r-k</m:t>
              </m:r>
            </m:e>
          </m:d>
          <m:r>
            <m:rPr>
              <m:sty m:val="p"/>
            </m:rPr>
            <w:rPr>
              <w:rFonts w:ascii="Cambria Math" w:hAnsi="Cambria Math"/>
            </w:rPr>
            <m:t>⋅</m:t>
          </m:r>
          <m:r>
            <w:rPr>
              <w:rFonts w:ascii="Cambria Math" w:hAnsi="Cambria Math"/>
            </w:rPr>
            <m:t>T</m:t>
          </m:r>
        </m:oMath>
      </m:oMathPara>
    </w:p>
    <w:p w14:paraId="0E6D7EEE" w14:textId="63962319" w:rsidR="00A81D56" w:rsidRDefault="00C84952" w:rsidP="00A81D56">
      <w:pPr>
        <w:ind w:firstLine="480"/>
      </w:pPr>
      <w:r>
        <w:rPr>
          <w:rFonts w:hint="eastAsia"/>
        </w:rPr>
        <w:t>上述推导</w:t>
      </w:r>
      <w:r w:rsidR="00A81D56">
        <w:rPr>
          <w:rFonts w:hint="eastAsia"/>
        </w:rPr>
        <w:t>引入了两个核心假设：</w:t>
      </w:r>
    </w:p>
    <w:p w14:paraId="561879A7" w14:textId="11CD53BF" w:rsidR="00A81D56" w:rsidRDefault="00A81D56" w:rsidP="00A81D56">
      <w:pPr>
        <w:ind w:firstLine="482"/>
      </w:pPr>
      <w:r w:rsidRPr="00A11957">
        <w:rPr>
          <w:rFonts w:hint="eastAsia"/>
          <w:b/>
          <w:bCs/>
        </w:rPr>
        <w:t>投资期限（</w:t>
      </w:r>
      <w:r w:rsidRPr="00A11957">
        <w:rPr>
          <w:rFonts w:hint="eastAsia"/>
          <w:b/>
          <w:bCs/>
        </w:rPr>
        <w:t>T</w:t>
      </w:r>
      <w:r w:rsidRPr="00A11957">
        <w:rPr>
          <w:rFonts w:hint="eastAsia"/>
          <w:b/>
          <w:bCs/>
        </w:rPr>
        <w:t>）</w:t>
      </w:r>
      <w:r>
        <w:rPr>
          <w:rFonts w:hint="eastAsia"/>
        </w:rPr>
        <w:t>：市场参与者对一个公司的估值判断，存在一个隐含的投资期限</w:t>
      </w:r>
      <w:r>
        <w:rPr>
          <w:rFonts w:hint="eastAsia"/>
        </w:rPr>
        <w:t xml:space="preserve"> T</w:t>
      </w:r>
      <w:r>
        <w:rPr>
          <w:rFonts w:hint="eastAsia"/>
        </w:rPr>
        <w:t>。</w:t>
      </w:r>
    </w:p>
    <w:p w14:paraId="69349A7A" w14:textId="0D127BD0" w:rsidR="00A81D56" w:rsidRDefault="00A81D56" w:rsidP="00A81D56">
      <w:pPr>
        <w:ind w:firstLine="482"/>
      </w:pPr>
      <w:r w:rsidRPr="00A11957">
        <w:rPr>
          <w:rFonts w:hint="eastAsia"/>
          <w:b/>
          <w:bCs/>
        </w:rPr>
        <w:t>均值回归</w:t>
      </w:r>
      <w:r>
        <w:rPr>
          <w:rFonts w:hint="eastAsia"/>
        </w:rPr>
        <w:t>：市场预期在</w:t>
      </w:r>
      <w:r>
        <w:rPr>
          <w:rFonts w:hint="eastAsia"/>
        </w:rPr>
        <w:t xml:space="preserve"> T </w:t>
      </w:r>
      <w:r>
        <w:rPr>
          <w:rFonts w:hint="eastAsia"/>
        </w:rPr>
        <w:t>年结束时，公司的估值水平将回归其基本面，即</w:t>
      </w:r>
      <w:r>
        <w:rPr>
          <w:rFonts w:hint="eastAsia"/>
        </w:rPr>
        <w:t xml:space="preserve"> </w:t>
      </w:r>
      <w:r>
        <w:rPr>
          <w:rFonts w:hint="eastAsia"/>
        </w:rPr>
        <w:t>市净率</w:t>
      </w:r>
      <w:r>
        <w:rPr>
          <w:rFonts w:hint="eastAsia"/>
        </w:rPr>
        <w:t>P/B</w:t>
      </w:r>
      <w:r>
        <w:rPr>
          <w:rFonts w:hint="eastAsia"/>
        </w:rPr>
        <w:t>回归至</w:t>
      </w:r>
      <w:r>
        <w:rPr>
          <w:rFonts w:hint="eastAsia"/>
        </w:rPr>
        <w:t>1</w:t>
      </w:r>
      <w:r>
        <w:rPr>
          <w:rFonts w:hint="eastAsia"/>
        </w:rPr>
        <w:t>。同时，公司的盈利能力（</w:t>
      </w:r>
      <w:r>
        <w:rPr>
          <w:rFonts w:hint="eastAsia"/>
        </w:rPr>
        <w:t>ROE</w:t>
      </w:r>
      <w:r>
        <w:rPr>
          <w:rFonts w:hint="eastAsia"/>
        </w:rPr>
        <w:t>）也将趋近于股东的要求回报率（</w:t>
      </w:r>
      <w:r>
        <w:rPr>
          <w:rFonts w:hint="eastAsia"/>
        </w:rPr>
        <w:t>k</w:t>
      </w:r>
      <w:r>
        <w:rPr>
          <w:rFonts w:hint="eastAsia"/>
        </w:rPr>
        <w:t>）。</w:t>
      </w:r>
    </w:p>
    <w:p w14:paraId="279841CE" w14:textId="77777777" w:rsidR="00A11957" w:rsidRDefault="00A11957" w:rsidP="00A11957">
      <w:pPr>
        <w:ind w:firstLine="480"/>
      </w:pPr>
      <w:r>
        <w:rPr>
          <w:rFonts w:hint="eastAsia"/>
        </w:rPr>
        <w:t>“</w:t>
      </w:r>
      <w:r>
        <w:rPr>
          <w:rFonts w:hint="eastAsia"/>
        </w:rPr>
        <w:t>P/B</w:t>
      </w:r>
      <w:r>
        <w:rPr>
          <w:rFonts w:hint="eastAsia"/>
        </w:rPr>
        <w:t>回归至</w:t>
      </w:r>
      <w:r>
        <w:rPr>
          <w:rFonts w:hint="eastAsia"/>
        </w:rPr>
        <w:t>1</w:t>
      </w:r>
      <w:r>
        <w:rPr>
          <w:rFonts w:hint="eastAsia"/>
        </w:rPr>
        <w:t>”是此模型的关键前提，它设定了一个估值的终点状态：价格等于净资产。</w:t>
      </w:r>
    </w:p>
    <w:p w14:paraId="52D392D3" w14:textId="440390BD" w:rsidR="00C84952" w:rsidRDefault="00C84952" w:rsidP="00C84952">
      <w:pPr>
        <w:ind w:firstLine="480"/>
      </w:pPr>
      <w:r>
        <w:rPr>
          <w:rFonts w:hint="eastAsia"/>
        </w:rPr>
        <w:t>因此，</w:t>
      </w:r>
      <w:r w:rsidRPr="00C84952">
        <w:rPr>
          <w:rFonts w:hint="eastAsia"/>
        </w:rPr>
        <w:t>从投资者的收益来源出发，通过引入关键假设，最终得出一个静态的估值方程</w:t>
      </w:r>
      <w:r>
        <w:rPr>
          <w:rFonts w:hint="eastAsia"/>
        </w:rPr>
        <w:t>。在连续复利与均值回归的前提下，市净率与</w:t>
      </w:r>
      <w:r>
        <w:rPr>
          <w:rFonts w:hint="eastAsia"/>
        </w:rPr>
        <w:t xml:space="preserve"> ROE</w:t>
      </w:r>
      <w:r>
        <w:rPr>
          <w:rFonts w:hint="eastAsia"/>
        </w:rPr>
        <w:t>、股东要求回报率</w:t>
      </w:r>
      <w:r>
        <w:rPr>
          <w:rFonts w:hint="eastAsia"/>
        </w:rPr>
        <w:t xml:space="preserve"> k</w:t>
      </w:r>
      <w:r>
        <w:rPr>
          <w:rFonts w:hint="eastAsia"/>
        </w:rPr>
        <w:t>、估值期</w:t>
      </w:r>
      <w:r>
        <w:rPr>
          <w:rFonts w:hint="eastAsia"/>
        </w:rPr>
        <w:t xml:space="preserve"> T </w:t>
      </w:r>
      <w:r>
        <w:rPr>
          <w:rFonts w:hint="eastAsia"/>
        </w:rPr>
        <w:t>的关系为：</w:t>
      </w:r>
    </w:p>
    <w:p w14:paraId="0876633A" w14:textId="23618FCD" w:rsidR="00A11957" w:rsidRDefault="00A11957" w:rsidP="00A11957">
      <w:pPr>
        <w:ind w:firstLine="480"/>
      </w:pPr>
      <m:oMathPara>
        <m:oMath>
          <m:r>
            <w:rPr>
              <w:rFonts w:ascii="Cambria Math" w:hAnsi="Cambria Math"/>
            </w:rPr>
            <m:t>l</m:t>
          </m:r>
          <m:r>
            <w:rPr>
              <w:rFonts w:ascii="Cambria Math" w:hAnsi="Cambria Math" w:hint="eastAsia"/>
            </w:rPr>
            <m:t>n</m:t>
          </m:r>
          <m:d>
            <m:dPr>
              <m:ctrlPr>
                <w:rPr>
                  <w:rFonts w:ascii="Cambria Math" w:hAnsi="Cambria Math"/>
                  <w:i/>
                </w:rPr>
              </m:ctrlPr>
            </m:dPr>
            <m:e>
              <m:r>
                <w:rPr>
                  <w:rFonts w:ascii="Cambria Math" w:hAnsi="Cambria Math"/>
                </w:rPr>
                <m:t>P</m:t>
              </m:r>
              <m:r>
                <m:rPr>
                  <m:lit/>
                </m:rPr>
                <w:rPr>
                  <w:rFonts w:ascii="Cambria Math" w:hAnsi="Cambria Math"/>
                </w:rPr>
                <m:t>/</m:t>
              </m:r>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r-k</m:t>
              </m:r>
            </m:e>
          </m:d>
          <m:r>
            <w:rPr>
              <w:rFonts w:ascii="Cambria Math" w:hAnsi="Cambria Math"/>
            </w:rPr>
            <m:t>×T</m:t>
          </m:r>
        </m:oMath>
      </m:oMathPara>
    </w:p>
    <w:p w14:paraId="55A310A8" w14:textId="661B087F" w:rsidR="00A11957" w:rsidRDefault="00A11957" w:rsidP="00A11957">
      <w:pPr>
        <w:ind w:firstLine="480"/>
      </w:pPr>
      <w:r>
        <w:rPr>
          <w:rFonts w:hint="eastAsia"/>
        </w:rPr>
        <w:t>k</w:t>
      </w:r>
      <w:r>
        <w:rPr>
          <w:rFonts w:hint="eastAsia"/>
        </w:rPr>
        <w:t>是股东对该公司所要求的必要回报率（</w:t>
      </w:r>
      <w:r>
        <w:rPr>
          <w:rFonts w:hint="eastAsia"/>
        </w:rPr>
        <w:t>Required Rate of Return</w:t>
      </w:r>
      <w:r>
        <w:rPr>
          <w:rFonts w:hint="eastAsia"/>
        </w:rPr>
        <w:t>），代表资金的机会成本或贴现率。</w:t>
      </w:r>
    </w:p>
    <w:p w14:paraId="489224AE" w14:textId="77777777" w:rsidR="00A461D7" w:rsidRDefault="00A461D7" w:rsidP="00A461D7">
      <w:pPr>
        <w:ind w:firstLine="480"/>
      </w:pPr>
    </w:p>
    <w:p w14:paraId="355E152F" w14:textId="6A11D12A" w:rsidR="00A461D7" w:rsidRPr="00A461D7" w:rsidRDefault="00A461D7" w:rsidP="00A461D7">
      <w:pPr>
        <w:ind w:firstLine="482"/>
        <w:rPr>
          <w:b/>
          <w:bCs/>
        </w:rPr>
      </w:pPr>
      <w:r w:rsidRPr="00A461D7">
        <w:rPr>
          <w:b/>
          <w:bCs/>
        </w:rPr>
        <w:t>盈利能力与估值的关系</w:t>
      </w:r>
    </w:p>
    <w:p w14:paraId="1A428964" w14:textId="77777777" w:rsidR="009B302A" w:rsidRDefault="009B302A" w:rsidP="00E7672D">
      <w:pPr>
        <w:ind w:firstLine="480"/>
      </w:pPr>
      <w:r>
        <w:rPr>
          <w:rFonts w:hint="eastAsia"/>
        </w:rPr>
        <w:t>根据上述</w:t>
      </w:r>
      <w:r w:rsidR="00E7672D">
        <w:rPr>
          <w:rFonts w:hint="eastAsia"/>
        </w:rPr>
        <w:t>理论推导</w:t>
      </w:r>
      <w:r>
        <w:rPr>
          <w:rFonts w:hint="eastAsia"/>
        </w:rPr>
        <w:t>出的</w:t>
      </w:r>
      <w:r w:rsidR="00E7672D">
        <w:rPr>
          <w:rFonts w:hint="eastAsia"/>
        </w:rPr>
        <w:t>公式</w:t>
      </w:r>
      <w:r>
        <w:rPr>
          <w:rFonts w:hint="eastAsia"/>
        </w:rPr>
        <w:t>，我们有了评估股票价值的第一条规则：</w:t>
      </w:r>
    </w:p>
    <w:p w14:paraId="3922F74B" w14:textId="3FC02CB9" w:rsidR="00E7672D" w:rsidRPr="009B302A" w:rsidRDefault="009B302A" w:rsidP="00E7672D">
      <w:pPr>
        <w:ind w:firstLine="482"/>
        <w:rPr>
          <w:b/>
          <w:bCs/>
        </w:rPr>
      </w:pPr>
      <w:r w:rsidRPr="009B302A">
        <w:rPr>
          <w:rFonts w:hint="eastAsia"/>
          <w:b/>
          <w:bCs/>
        </w:rPr>
        <w:t>规则</w:t>
      </w:r>
      <w:r w:rsidR="00B30B31">
        <w:rPr>
          <w:rFonts w:hint="eastAsia"/>
          <w:b/>
          <w:bCs/>
        </w:rPr>
        <w:t>一</w:t>
      </w:r>
      <w:r w:rsidRPr="009B302A">
        <w:rPr>
          <w:rFonts w:hint="eastAsia"/>
          <w:b/>
          <w:bCs/>
        </w:rPr>
        <w:t>：</w:t>
      </w:r>
      <w:r w:rsidR="00E7672D" w:rsidRPr="009B302A">
        <w:rPr>
          <w:rFonts w:hint="eastAsia"/>
          <w:b/>
          <w:bCs/>
        </w:rPr>
        <w:t>更高的盈利能力（</w:t>
      </w:r>
      <w:r w:rsidR="00E7672D" w:rsidRPr="009B302A">
        <w:rPr>
          <w:rFonts w:hint="eastAsia"/>
          <w:b/>
          <w:bCs/>
        </w:rPr>
        <w:t>ROE</w:t>
      </w:r>
      <w:r w:rsidR="00E7672D" w:rsidRPr="009B302A">
        <w:rPr>
          <w:rFonts w:hint="eastAsia"/>
          <w:b/>
          <w:bCs/>
        </w:rPr>
        <w:t>）理应获得更高的估值（</w:t>
      </w:r>
      <w:r w:rsidR="00E7672D" w:rsidRPr="009B302A">
        <w:rPr>
          <w:rFonts w:hint="eastAsia"/>
          <w:b/>
          <w:bCs/>
        </w:rPr>
        <w:t>P/B</w:t>
      </w:r>
      <w:r w:rsidR="00E7672D" w:rsidRPr="009B302A">
        <w:rPr>
          <w:rFonts w:hint="eastAsia"/>
          <w:b/>
          <w:bCs/>
        </w:rPr>
        <w:t>）。</w:t>
      </w:r>
    </w:p>
    <w:p w14:paraId="0D75C19B" w14:textId="2CEBCAC5" w:rsidR="00E7672D" w:rsidRDefault="00E7672D" w:rsidP="00E7672D">
      <w:pPr>
        <w:ind w:firstLine="480"/>
      </w:pPr>
      <w:r>
        <w:rPr>
          <w:rFonts w:hint="eastAsia"/>
        </w:rPr>
        <w:t>为了更直观地观察这一理论关系在真实市场中的表现，我们可以</w:t>
      </w:r>
      <w:r w:rsidR="009B302A">
        <w:rPr>
          <w:rFonts w:hint="eastAsia"/>
        </w:rPr>
        <w:t>使用下面的</w:t>
      </w:r>
      <w:r w:rsidR="00DA53E5">
        <w:rPr>
          <w:rFonts w:hint="eastAsia"/>
        </w:rPr>
        <w:t>ln</w:t>
      </w:r>
      <w:r>
        <w:rPr>
          <w:rFonts w:hint="eastAsia"/>
        </w:rPr>
        <w:t>P</w:t>
      </w:r>
      <w:r w:rsidR="00DA53E5">
        <w:rPr>
          <w:rFonts w:hint="eastAsia"/>
        </w:rPr>
        <w:t>/</w:t>
      </w:r>
      <w:r>
        <w:rPr>
          <w:rFonts w:hint="eastAsia"/>
        </w:rPr>
        <w:t>B-ROE</w:t>
      </w:r>
      <w:r>
        <w:rPr>
          <w:rFonts w:hint="eastAsia"/>
        </w:rPr>
        <w:t>散点图。</w:t>
      </w:r>
    </w:p>
    <w:p w14:paraId="35A242DF" w14:textId="3B9F87E5" w:rsidR="009B302A" w:rsidRDefault="00C936D5" w:rsidP="00687E65">
      <w:pPr>
        <w:ind w:firstLineChars="0" w:firstLine="0"/>
        <w:jc w:val="center"/>
      </w:pPr>
      <w:r>
        <w:rPr>
          <w:noProof/>
        </w:rPr>
        <w:drawing>
          <wp:inline distT="0" distB="0" distL="0" distR="0" wp14:anchorId="722D3714" wp14:editId="7054D4E7">
            <wp:extent cx="5274310" cy="3453130"/>
            <wp:effectExtent l="0" t="0" r="2540" b="0"/>
            <wp:docPr id="1886980875" name="图片 2"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0875" name="图片 2" descr="图表, 散点图&#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453130"/>
                    </a:xfrm>
                    <a:prstGeom prst="rect">
                      <a:avLst/>
                    </a:prstGeom>
                  </pic:spPr>
                </pic:pic>
              </a:graphicData>
            </a:graphic>
          </wp:inline>
        </w:drawing>
      </w:r>
    </w:p>
    <w:p w14:paraId="2DCE63FC" w14:textId="77777777" w:rsidR="004748D8" w:rsidRDefault="00A461D7" w:rsidP="004748D8">
      <w:pPr>
        <w:ind w:firstLine="480"/>
      </w:pPr>
      <w:r w:rsidRPr="00A461D7">
        <w:rPr>
          <w:rFonts w:hint="eastAsia"/>
        </w:rPr>
        <w:t>图</w:t>
      </w:r>
      <w:r w:rsidRPr="00A461D7">
        <w:rPr>
          <w:rFonts w:hint="eastAsia"/>
        </w:rPr>
        <w:t xml:space="preserve"> 1.1 </w:t>
      </w:r>
      <w:r w:rsidRPr="00A461D7">
        <w:rPr>
          <w:rFonts w:hint="eastAsia"/>
        </w:rPr>
        <w:t>展示了截至</w:t>
      </w:r>
      <w:r w:rsidRPr="00A461D7">
        <w:rPr>
          <w:rFonts w:hint="eastAsia"/>
        </w:rPr>
        <w:t>2024</w:t>
      </w:r>
      <w:r w:rsidRPr="00A461D7">
        <w:rPr>
          <w:rFonts w:hint="eastAsia"/>
        </w:rPr>
        <w:t>年</w:t>
      </w:r>
      <w:r w:rsidRPr="00A461D7">
        <w:rPr>
          <w:rFonts w:hint="eastAsia"/>
        </w:rPr>
        <w:t>12</w:t>
      </w:r>
      <w:r w:rsidRPr="00A461D7">
        <w:rPr>
          <w:rFonts w:hint="eastAsia"/>
        </w:rPr>
        <w:t>月</w:t>
      </w:r>
      <w:r w:rsidRPr="00A461D7">
        <w:rPr>
          <w:rFonts w:hint="eastAsia"/>
        </w:rPr>
        <w:t>31</w:t>
      </w:r>
      <w:r w:rsidRPr="00A461D7">
        <w:rPr>
          <w:rFonts w:hint="eastAsia"/>
        </w:rPr>
        <w:t>日，沪深</w:t>
      </w:r>
      <w:r w:rsidRPr="00A461D7">
        <w:rPr>
          <w:rFonts w:hint="eastAsia"/>
        </w:rPr>
        <w:t>A</w:t>
      </w:r>
      <w:r w:rsidRPr="00A461D7">
        <w:rPr>
          <w:rFonts w:hint="eastAsia"/>
        </w:rPr>
        <w:t>股市场的估值状况快照。该图以净资产收益率（</w:t>
      </w:r>
      <w:r w:rsidRPr="00A461D7">
        <w:rPr>
          <w:rFonts w:hint="eastAsia"/>
        </w:rPr>
        <w:t>ROE</w:t>
      </w:r>
      <w:r w:rsidRPr="00A461D7">
        <w:rPr>
          <w:rFonts w:hint="eastAsia"/>
        </w:rPr>
        <w:t>）为横轴，市净率的自然对数（</w:t>
      </w:r>
      <w:r w:rsidRPr="00A461D7">
        <w:rPr>
          <w:rFonts w:hint="eastAsia"/>
        </w:rPr>
        <w:t>ln(P/B)</w:t>
      </w:r>
      <w:r w:rsidRPr="00A461D7">
        <w:rPr>
          <w:rFonts w:hint="eastAsia"/>
        </w:rPr>
        <w:t>）为纵轴，图中的每一个点都代表着一家上市公司在特定时间点的盈利能力与估值水平。为了使分析更聚焦于盈利能力对估值的影响，我们在此剔除了</w:t>
      </w:r>
      <w:r w:rsidRPr="00A461D7">
        <w:rPr>
          <w:rFonts w:hint="eastAsia"/>
        </w:rPr>
        <w:t>ROE</w:t>
      </w:r>
      <w:r w:rsidRPr="00A461D7">
        <w:rPr>
          <w:rFonts w:hint="eastAsia"/>
        </w:rPr>
        <w:t>低于</w:t>
      </w:r>
      <w:r w:rsidRPr="00A461D7">
        <w:rPr>
          <w:rFonts w:hint="eastAsia"/>
        </w:rPr>
        <w:t>10%</w:t>
      </w:r>
      <w:r w:rsidRPr="00A461D7">
        <w:rPr>
          <w:rFonts w:hint="eastAsia"/>
        </w:rPr>
        <w:t>的公司样本。</w:t>
      </w:r>
    </w:p>
    <w:p w14:paraId="328A4B9D" w14:textId="1D497A72" w:rsidR="00A461D7" w:rsidRPr="00A461D7" w:rsidRDefault="00A461D7" w:rsidP="00DA53E5">
      <w:pPr>
        <w:ind w:firstLine="480"/>
      </w:pPr>
      <w:r w:rsidRPr="00A461D7">
        <w:t>从图中涵盖的</w:t>
      </w:r>
      <w:r w:rsidRPr="00A461D7">
        <w:t>4653</w:t>
      </w:r>
      <w:r w:rsidRPr="00A461D7">
        <w:t>家上市公司数据中，我们可以清晰地观察到一条向上倾斜的趋势线，这直观地验证了</w:t>
      </w:r>
      <w:r w:rsidRPr="00A461D7">
        <w:t>ln(P/B)</w:t>
      </w:r>
      <w:r w:rsidRPr="00A461D7">
        <w:t>与</w:t>
      </w:r>
      <w:r w:rsidRPr="00A461D7">
        <w:t>ROE</w:t>
      </w:r>
      <w:r w:rsidRPr="00A461D7">
        <w:t>之间存在显著的正相关关系，与我们基于公式推导出的理论预期吻合。</w:t>
      </w:r>
    </w:p>
    <w:p w14:paraId="281104DC" w14:textId="314B6055" w:rsidR="00A461D7" w:rsidRDefault="00A461D7" w:rsidP="00DA53E5">
      <w:pPr>
        <w:ind w:firstLine="480"/>
      </w:pPr>
      <w:r w:rsidRPr="00A461D7">
        <w:t>在假设股东要求回报率</w:t>
      </w:r>
      <w:r w:rsidRPr="00A461D7">
        <w:t xml:space="preserve"> k </w:t>
      </w:r>
      <w:r w:rsidRPr="00A461D7">
        <w:t>在样本中大体一致的前提下，此处的斜率在数值上可以近似理解为市场投资者隐含的投资期限</w:t>
      </w:r>
      <w:r w:rsidRPr="00A461D7">
        <w:t xml:space="preserve"> T</w:t>
      </w:r>
      <w:r w:rsidRPr="00A461D7">
        <w:t>。因此，</w:t>
      </w:r>
      <w:r w:rsidRPr="00A461D7">
        <w:t>1.93</w:t>
      </w:r>
      <w:r w:rsidRPr="00A461D7">
        <w:t>的斜率意味着在当时的市况下，市场对公司价值评估的平均隐含期限约为</w:t>
      </w:r>
      <w:r w:rsidRPr="00A461D7">
        <w:t>1.93</w:t>
      </w:r>
      <w:r w:rsidRPr="00A461D7">
        <w:t>年。</w:t>
      </w:r>
    </w:p>
    <w:p w14:paraId="3B1E140E" w14:textId="32A6F6E0" w:rsidR="004748D8" w:rsidRDefault="004748D8" w:rsidP="00687E65">
      <w:pPr>
        <w:ind w:firstLineChars="0" w:firstLine="0"/>
        <w:jc w:val="center"/>
      </w:pPr>
      <w:r>
        <w:rPr>
          <w:rFonts w:hint="eastAsia"/>
          <w:noProof/>
        </w:rPr>
        <w:drawing>
          <wp:inline distT="0" distB="0" distL="0" distR="0" wp14:anchorId="4A59B894" wp14:editId="4AAEC6CC">
            <wp:extent cx="5268823" cy="3449538"/>
            <wp:effectExtent l="0" t="0" r="8255" b="0"/>
            <wp:docPr id="992927099" name="图片 3"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27099" name="图片 3" descr="图表, 散点图&#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6230" cy="3460935"/>
                    </a:xfrm>
                    <a:prstGeom prst="rect">
                      <a:avLst/>
                    </a:prstGeom>
                  </pic:spPr>
                </pic:pic>
              </a:graphicData>
            </a:graphic>
          </wp:inline>
        </w:drawing>
      </w:r>
    </w:p>
    <w:p w14:paraId="7541953B" w14:textId="6C9A1214" w:rsidR="004748D8" w:rsidRDefault="00687E65" w:rsidP="00E7672D">
      <w:pPr>
        <w:ind w:firstLine="480"/>
      </w:pPr>
      <w:r w:rsidRPr="00687E65">
        <w:t>为进一步验证</w:t>
      </w:r>
      <w:r>
        <w:rPr>
          <w:rFonts w:hint="eastAsia"/>
        </w:rPr>
        <w:t>规则</w:t>
      </w:r>
      <w:r w:rsidR="00B30B31">
        <w:rPr>
          <w:rFonts w:hint="eastAsia"/>
        </w:rPr>
        <w:t>一</w:t>
      </w:r>
      <w:r w:rsidRPr="00687E65">
        <w:t>的稳健性，我们将时间回溯至</w:t>
      </w:r>
      <w:r w:rsidRPr="00687E65">
        <w:t>2017</w:t>
      </w:r>
      <w:r w:rsidRPr="00687E65">
        <w:t>年</w:t>
      </w:r>
      <w:r w:rsidRPr="00687E65">
        <w:t>12</w:t>
      </w:r>
      <w:r w:rsidRPr="00687E65">
        <w:t>月</w:t>
      </w:r>
      <w:r w:rsidRPr="00687E65">
        <w:t>31</w:t>
      </w:r>
      <w:r w:rsidRPr="00687E65">
        <w:t>日，对当时沪深</w:t>
      </w:r>
      <w:r w:rsidRPr="00687E65">
        <w:t>A</w:t>
      </w:r>
      <w:r w:rsidRPr="00687E65">
        <w:t>股市场的估值与盈利能力关系进行了同样的分析。图</w:t>
      </w:r>
      <w:r w:rsidRPr="00687E65">
        <w:t>1.2</w:t>
      </w:r>
      <w:r w:rsidRPr="00687E65">
        <w:t>展示了</w:t>
      </w:r>
      <w:r w:rsidRPr="00687E65">
        <w:t>2017</w:t>
      </w:r>
      <w:r w:rsidRPr="00687E65">
        <w:t>年底的</w:t>
      </w:r>
      <w:r w:rsidRPr="00687E65">
        <w:t>ln(P/B)-ROE</w:t>
      </w:r>
      <w:r w:rsidRPr="00687E65">
        <w:t>散点图，样本数量为</w:t>
      </w:r>
      <w:r w:rsidRPr="00687E65">
        <w:t>3204</w:t>
      </w:r>
      <w:r w:rsidRPr="00687E65">
        <w:t>家上市公司，同样剔除了</w:t>
      </w:r>
      <w:r w:rsidRPr="00687E65">
        <w:t>ROE</w:t>
      </w:r>
      <w:r w:rsidRPr="00687E65">
        <w:t>低于</w:t>
      </w:r>
      <w:r w:rsidRPr="00687E65">
        <w:t>10%</w:t>
      </w:r>
      <w:r w:rsidRPr="00687E65">
        <w:t>的公司。</w:t>
      </w:r>
    </w:p>
    <w:p w14:paraId="6FA8547E" w14:textId="44F8571A" w:rsidR="00687E65" w:rsidRDefault="00687E65" w:rsidP="00E7672D">
      <w:pPr>
        <w:ind w:firstLine="480"/>
      </w:pPr>
      <w:r w:rsidRPr="00687E65">
        <w:t>尽管样本数量和市场环境与</w:t>
      </w:r>
      <w:r w:rsidRPr="00687E65">
        <w:t>2024</w:t>
      </w:r>
      <w:r w:rsidRPr="00687E65">
        <w:t>年有所不同，但整体趋势依然保持一致：市净率的自然对数（</w:t>
      </w:r>
      <w:r w:rsidRPr="00687E65">
        <w:t>ln(P/B)</w:t>
      </w:r>
      <w:r w:rsidRPr="00687E65">
        <w:t>）与净资产收益率（</w:t>
      </w:r>
      <w:r w:rsidRPr="00687E65">
        <w:t>ROE</w:t>
      </w:r>
      <w:r w:rsidRPr="00687E65">
        <w:t>）之间呈现出正相关关系。，相较于</w:t>
      </w:r>
      <w:r w:rsidRPr="00687E65">
        <w:t>2024</w:t>
      </w:r>
      <w:r w:rsidRPr="00687E65">
        <w:t>年，</w:t>
      </w:r>
      <w:r w:rsidRPr="00687E65">
        <w:t>2017</w:t>
      </w:r>
      <w:r w:rsidRPr="00687E65">
        <w:t>年这一相关性的强度（</w:t>
      </w:r>
      <w:r w:rsidRPr="00687E65">
        <w:t>R</w:t>
      </w:r>
      <w:r w:rsidRPr="00687E65">
        <w:t>平方值）略弱，说明当时市场对盈利能力的定价效率相对较低，或是受到更多其他因素的影响。</w:t>
      </w:r>
    </w:p>
    <w:p w14:paraId="63C212C7" w14:textId="2E64E4C0" w:rsidR="00687E65" w:rsidRDefault="00687E65" w:rsidP="00E7672D">
      <w:pPr>
        <w:ind w:firstLine="480"/>
      </w:pPr>
      <w:r w:rsidRPr="00687E65">
        <w:t>2017</w:t>
      </w:r>
      <w:r w:rsidRPr="00687E65">
        <w:t>年趋势线的斜率为</w:t>
      </w:r>
      <w:r w:rsidRPr="00687E65">
        <w:t>2.29</w:t>
      </w:r>
      <w:r w:rsidRPr="00687E65">
        <w:t>，高于</w:t>
      </w:r>
      <w:r w:rsidRPr="00687E65">
        <w:t>2024</w:t>
      </w:r>
      <w:r w:rsidRPr="00687E65">
        <w:t>年的</w:t>
      </w:r>
      <w:r w:rsidRPr="00687E65">
        <w:t>1.93</w:t>
      </w:r>
      <w:r w:rsidRPr="00687E65">
        <w:t>。这意味着在</w:t>
      </w:r>
      <w:r w:rsidRPr="00687E65">
        <w:t>2017</w:t>
      </w:r>
      <w:r w:rsidRPr="00687E65">
        <w:t>年，市场投资者对公司价值评估的平均隐含期限更长，约为</w:t>
      </w:r>
      <w:r w:rsidRPr="00687E65">
        <w:t>2.29</w:t>
      </w:r>
      <w:r w:rsidRPr="00687E65">
        <w:t>年。这一变化可能反映了市场风险偏好、流动性环境或宏观经济预期的不同。</w:t>
      </w:r>
    </w:p>
    <w:p w14:paraId="58ECA62A" w14:textId="77777777" w:rsidR="00687E65" w:rsidRDefault="00687E65" w:rsidP="00E7672D">
      <w:pPr>
        <w:ind w:firstLine="480"/>
      </w:pPr>
    </w:p>
    <w:p w14:paraId="0DF21448" w14:textId="3678EF33" w:rsidR="004748D8" w:rsidRDefault="004748D8" w:rsidP="00E7672D">
      <w:pPr>
        <w:ind w:firstLine="480"/>
      </w:pPr>
      <w:r w:rsidRPr="004748D8">
        <w:rPr>
          <w:rFonts w:hint="eastAsia"/>
        </w:rPr>
        <w:t>然而，一个严谨的读者可能会提出一个问题：理论模型要求的是预期净资产收益率</w:t>
      </w:r>
      <w:r w:rsidRPr="004748D8">
        <w:rPr>
          <w:rFonts w:hint="eastAsia"/>
        </w:rPr>
        <w:t>(r)</w:t>
      </w:r>
      <w:r w:rsidRPr="004748D8">
        <w:rPr>
          <w:rFonts w:hint="eastAsia"/>
        </w:rPr>
        <w:t>，即公司未来的盈利能力，而我们在图</w:t>
      </w:r>
      <w:r w:rsidRPr="004748D8">
        <w:rPr>
          <w:rFonts w:hint="eastAsia"/>
        </w:rPr>
        <w:t>1.1</w:t>
      </w:r>
      <w:r w:rsidRPr="004748D8">
        <w:rPr>
          <w:rFonts w:hint="eastAsia"/>
        </w:rPr>
        <w:t>中使用的是历史滚动市盈率（</w:t>
      </w:r>
      <w:r w:rsidRPr="004748D8">
        <w:rPr>
          <w:rFonts w:hint="eastAsia"/>
        </w:rPr>
        <w:t>ROETTM</w:t>
      </w:r>
      <w:r w:rsidRPr="004748D8">
        <w:rPr>
          <w:rFonts w:hint="eastAsia"/>
        </w:rPr>
        <w:t>），即公司过去十二个月的实际盈利表现。</w:t>
      </w:r>
    </w:p>
    <w:p w14:paraId="5FF31C72" w14:textId="00FCFAA6" w:rsidR="004748D8" w:rsidRDefault="004748D8" w:rsidP="00E7672D">
      <w:pPr>
        <w:ind w:firstLine="480"/>
      </w:pPr>
      <w:r w:rsidRPr="004748D8">
        <w:rPr>
          <w:rFonts w:hint="eastAsia"/>
        </w:rPr>
        <w:t>在绝大多数情况下，使用历史</w:t>
      </w:r>
      <w:r w:rsidRPr="004748D8">
        <w:rPr>
          <w:rFonts w:hint="eastAsia"/>
        </w:rPr>
        <w:t>ROE</w:t>
      </w:r>
      <w:r w:rsidRPr="004748D8">
        <w:rPr>
          <w:rFonts w:hint="eastAsia"/>
        </w:rPr>
        <w:t>，作为预期</w:t>
      </w:r>
      <w:r w:rsidRPr="004748D8">
        <w:rPr>
          <w:rFonts w:hint="eastAsia"/>
        </w:rPr>
        <w:t>ROE</w:t>
      </w:r>
      <w:r w:rsidRPr="004748D8">
        <w:rPr>
          <w:rFonts w:hint="eastAsia"/>
        </w:rPr>
        <w:t>的代理变量是合理且有效的。</w:t>
      </w:r>
      <w:r w:rsidR="004A7116" w:rsidRPr="004A7116">
        <w:rPr>
          <w:rFonts w:hint="eastAsia"/>
        </w:rPr>
        <w:t>为了验证这一假设的合理性，我们对沪深</w:t>
      </w:r>
      <w:r w:rsidR="004A7116" w:rsidRPr="004A7116">
        <w:rPr>
          <w:rFonts w:hint="eastAsia"/>
        </w:rPr>
        <w:t>A</w:t>
      </w:r>
      <w:r w:rsidR="004A7116" w:rsidRPr="004A7116">
        <w:rPr>
          <w:rFonts w:hint="eastAsia"/>
        </w:rPr>
        <w:t>股上市公司连续两年间的</w:t>
      </w:r>
      <w:r w:rsidR="004A7116" w:rsidRPr="004A7116">
        <w:rPr>
          <w:rFonts w:hint="eastAsia"/>
        </w:rPr>
        <w:t>ROE</w:t>
      </w:r>
      <w:r w:rsidR="004A7116" w:rsidRPr="004A7116">
        <w:rPr>
          <w:rFonts w:hint="eastAsia"/>
        </w:rPr>
        <w:t>相关性进行了实证检验。图</w:t>
      </w:r>
      <w:r w:rsidR="004A7116" w:rsidRPr="004A7116">
        <w:rPr>
          <w:rFonts w:hint="eastAsia"/>
        </w:rPr>
        <w:t>a</w:t>
      </w:r>
      <w:r w:rsidR="004A7116" w:rsidRPr="004A7116">
        <w:rPr>
          <w:rFonts w:hint="eastAsia"/>
        </w:rPr>
        <w:t>至图</w:t>
      </w:r>
      <w:r w:rsidR="004A7116" w:rsidRPr="004A7116">
        <w:rPr>
          <w:rFonts w:hint="eastAsia"/>
        </w:rPr>
        <w:t>d</w:t>
      </w:r>
      <w:r w:rsidR="004A7116" w:rsidRPr="004A7116">
        <w:rPr>
          <w:rFonts w:hint="eastAsia"/>
        </w:rPr>
        <w:t>分别展示了从</w:t>
      </w:r>
      <w:r w:rsidR="004A7116" w:rsidRPr="004A7116">
        <w:rPr>
          <w:rFonts w:hint="eastAsia"/>
        </w:rPr>
        <w:t>2020</w:t>
      </w:r>
      <w:r w:rsidR="004A7116" w:rsidRPr="004A7116">
        <w:rPr>
          <w:rFonts w:hint="eastAsia"/>
        </w:rPr>
        <w:t>年至</w:t>
      </w:r>
      <w:r w:rsidR="004A7116" w:rsidRPr="004A7116">
        <w:rPr>
          <w:rFonts w:hint="eastAsia"/>
        </w:rPr>
        <w:t>2024</w:t>
      </w:r>
      <w:r w:rsidR="004A7116" w:rsidRPr="004A7116">
        <w:rPr>
          <w:rFonts w:hint="eastAsia"/>
        </w:rPr>
        <w:t>年四个年度区间内，期初时点（如</w:t>
      </w:r>
      <w:r w:rsidR="004A7116" w:rsidRPr="004A7116">
        <w:rPr>
          <w:rFonts w:hint="eastAsia"/>
        </w:rPr>
        <w:t>2023</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日）的</w:t>
      </w:r>
      <w:r w:rsidR="004A7116" w:rsidRPr="004A7116">
        <w:rPr>
          <w:rFonts w:hint="eastAsia"/>
        </w:rPr>
        <w:t>ROETTM</w:t>
      </w:r>
      <w:r w:rsidR="004A7116" w:rsidRPr="004A7116">
        <w:rPr>
          <w:rFonts w:hint="eastAsia"/>
        </w:rPr>
        <w:t>与一年后（如</w:t>
      </w:r>
      <w:r w:rsidR="004A7116" w:rsidRPr="004A7116">
        <w:rPr>
          <w:rFonts w:hint="eastAsia"/>
        </w:rPr>
        <w:t>2024</w:t>
      </w:r>
      <w:r w:rsidR="004A7116" w:rsidRPr="004A7116">
        <w:rPr>
          <w:rFonts w:hint="eastAsia"/>
        </w:rPr>
        <w:t>年</w:t>
      </w:r>
      <w:r w:rsidR="004A7116" w:rsidRPr="004A7116">
        <w:rPr>
          <w:rFonts w:hint="eastAsia"/>
        </w:rPr>
        <w:t>12</w:t>
      </w:r>
      <w:r w:rsidR="004A7116" w:rsidRPr="004A7116">
        <w:rPr>
          <w:rFonts w:hint="eastAsia"/>
        </w:rPr>
        <w:t>月</w:t>
      </w:r>
      <w:r w:rsidR="004A7116" w:rsidRPr="004A7116">
        <w:rPr>
          <w:rFonts w:hint="eastAsia"/>
        </w:rPr>
        <w:t>31</w:t>
      </w:r>
      <w:r w:rsidR="004A7116" w:rsidRPr="004A7116">
        <w:rPr>
          <w:rFonts w:hint="eastAsia"/>
        </w:rPr>
        <w:t>日）</w:t>
      </w:r>
      <w:r w:rsidR="004A7116" w:rsidRPr="004A7116">
        <w:rPr>
          <w:rFonts w:hint="eastAsia"/>
        </w:rPr>
        <w:t>ROETTM</w:t>
      </w:r>
      <w:r w:rsidR="004A7116" w:rsidRPr="004A7116">
        <w:rPr>
          <w:rFonts w:hint="eastAsia"/>
        </w:rPr>
        <w:t>的散点图。图中每一个点代表一家公司，我们观察其盈利能力在时间上的延续性。</w:t>
      </w:r>
    </w:p>
    <w:p w14:paraId="7F53F7D5" w14:textId="410E455A" w:rsidR="004A7116" w:rsidRDefault="004A7116" w:rsidP="004A7116">
      <w:pPr>
        <w:ind w:firstLineChars="0" w:firstLine="0"/>
      </w:pPr>
      <w:r>
        <w:rPr>
          <w:noProof/>
        </w:rPr>
        <w:drawing>
          <wp:inline distT="0" distB="0" distL="0" distR="0" wp14:anchorId="5B875C72" wp14:editId="39D3ED20">
            <wp:extent cx="6188710" cy="5246370"/>
            <wp:effectExtent l="0" t="0" r="2540" b="0"/>
            <wp:docPr id="1574171827" name="图片 4"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71827" name="图片 4" descr="图表, 散点图&#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5246370"/>
                    </a:xfrm>
                    <a:prstGeom prst="rect">
                      <a:avLst/>
                    </a:prstGeom>
                  </pic:spPr>
                </pic:pic>
              </a:graphicData>
            </a:graphic>
          </wp:inline>
        </w:drawing>
      </w:r>
    </w:p>
    <w:p w14:paraId="6F5AD2AB" w14:textId="77777777" w:rsidR="004A7116" w:rsidRPr="004A7116" w:rsidRDefault="004A7116" w:rsidP="004A7116">
      <w:pPr>
        <w:ind w:firstLine="480"/>
        <w:jc w:val="center"/>
      </w:pPr>
      <w:r>
        <w:rPr>
          <w:rFonts w:hint="eastAsia"/>
        </w:rPr>
        <w:t>图</w:t>
      </w:r>
      <w:r>
        <w:rPr>
          <w:rFonts w:hint="eastAsia"/>
        </w:rPr>
        <w:t>x</w:t>
      </w:r>
      <w:r>
        <w:rPr>
          <w:rFonts w:hint="eastAsia"/>
        </w:rPr>
        <w:t>：</w:t>
      </w:r>
      <w:r w:rsidRPr="004A7116">
        <w:t>历史</w:t>
      </w:r>
      <w:r w:rsidRPr="004A7116">
        <w:t>ROE</w:t>
      </w:r>
      <w:r w:rsidRPr="004A7116">
        <w:t>作为预期</w:t>
      </w:r>
      <w:r w:rsidRPr="004A7116">
        <w:t>ROE</w:t>
      </w:r>
      <w:r w:rsidRPr="004A7116">
        <w:t>代理变量的有效性分析</w:t>
      </w:r>
    </w:p>
    <w:p w14:paraId="6F5B9D7A" w14:textId="0C497D06" w:rsidR="004748D8" w:rsidRDefault="00B2756A" w:rsidP="00E7672D">
      <w:pPr>
        <w:ind w:firstLine="480"/>
      </w:pPr>
      <w:r w:rsidRPr="00B2756A">
        <w:t>图</w:t>
      </w:r>
      <w:r w:rsidRPr="00B2756A">
        <w:t>a</w:t>
      </w:r>
      <w:r w:rsidRPr="00B2756A">
        <w:t>至图</w:t>
      </w:r>
      <w:r w:rsidRPr="00B2756A">
        <w:t>d</w:t>
      </w:r>
      <w:r w:rsidRPr="00B2756A">
        <w:t>的结果表明，沪深</w:t>
      </w:r>
      <w:r w:rsidRPr="00B2756A">
        <w:t>A</w:t>
      </w:r>
      <w:r w:rsidRPr="00B2756A">
        <w:t>股上市公司的盈利能力具有显著的持续性。连续四年的数据显示，期初的滚动市盈率（</w:t>
      </w:r>
      <w:r w:rsidRPr="00B2756A">
        <w:t>ROETTM</w:t>
      </w:r>
      <w:r w:rsidRPr="00B2756A">
        <w:t>）与一年后的</w:t>
      </w:r>
      <w:r w:rsidRPr="00B2756A">
        <w:t>ROETTM</w:t>
      </w:r>
      <w:r w:rsidRPr="00B2756A">
        <w:t>之间始终存在高度的正相关关系。这一点从散点图中密集的点簇和清晰的向上趋势线可以得到直观的印证</w:t>
      </w:r>
      <w:r w:rsidR="00B5195B">
        <w:rPr>
          <w:rFonts w:hint="eastAsia"/>
        </w:rPr>
        <w:t>。</w:t>
      </w:r>
    </w:p>
    <w:p w14:paraId="61B2458C" w14:textId="7E40F78F" w:rsidR="00B2756A" w:rsidRPr="00B2756A" w:rsidRDefault="00B2756A" w:rsidP="00B2756A">
      <w:pPr>
        <w:ind w:firstLine="480"/>
      </w:pPr>
      <w:r w:rsidRPr="00B2756A">
        <w:t>虽然历史表现不完全等同于未来预期，但使用历史</w:t>
      </w:r>
      <w:r w:rsidRPr="00B2756A">
        <w:t>ROE</w:t>
      </w:r>
      <w:r w:rsidRPr="00B2756A">
        <w:t>（</w:t>
      </w:r>
      <w:r w:rsidRPr="00B2756A">
        <w:t>ROETTM</w:t>
      </w:r>
      <w:r w:rsidRPr="00B2756A">
        <w:t>）来近似代表预期</w:t>
      </w:r>
      <w:r w:rsidRPr="00B2756A">
        <w:t>ROE</w:t>
      </w:r>
      <w:r w:rsidRPr="00B2756A">
        <w:t>，是模型中一个合理且高效的简化处理。</w:t>
      </w:r>
      <w:r>
        <w:rPr>
          <w:rFonts w:hint="eastAsia"/>
        </w:rPr>
        <w:t>此外</w:t>
      </w:r>
      <w:r w:rsidRPr="00B2756A">
        <w:t>，我们选择</w:t>
      </w:r>
      <w:r w:rsidRPr="00B2756A">
        <w:t>ROETTM</w:t>
      </w:r>
      <w:r w:rsidRPr="00B2756A">
        <w:t>而非年度</w:t>
      </w:r>
      <w:r w:rsidRPr="00B2756A">
        <w:t>ROE</w:t>
      </w:r>
      <w:r w:rsidRPr="00B2756A">
        <w:t>，正是看重其更强的时效性。通过滚动计算，</w:t>
      </w:r>
      <w:r w:rsidRPr="00B2756A">
        <w:t>ROETTM</w:t>
      </w:r>
      <w:r w:rsidRPr="00B2756A">
        <w:t>能及时反映公司最新的季度财务状况，帮助我们更敏锐地捕捉基本面的边际变化。</w:t>
      </w:r>
    </w:p>
    <w:p w14:paraId="4E30ADF8" w14:textId="77777777" w:rsidR="00B2756A" w:rsidRPr="00B2756A" w:rsidRDefault="00B2756A" w:rsidP="00E7672D">
      <w:pPr>
        <w:ind w:firstLine="480"/>
      </w:pPr>
    </w:p>
    <w:p w14:paraId="02B6DC7C" w14:textId="77777777" w:rsidR="004B276E" w:rsidRDefault="004B276E" w:rsidP="004B276E">
      <w:pPr>
        <w:ind w:firstLine="480"/>
      </w:pPr>
      <w:r>
        <w:rPr>
          <w:rFonts w:hint="eastAsia"/>
        </w:rPr>
        <w:t>接下来我们按照上述逻辑构建一个</w:t>
      </w:r>
      <w:r>
        <w:rPr>
          <w:rFonts w:hint="eastAsia"/>
        </w:rPr>
        <w:t>PB-ROE</w:t>
      </w:r>
      <w:r>
        <w:rPr>
          <w:rFonts w:hint="eastAsia"/>
        </w:rPr>
        <w:t>策略</w:t>
      </w:r>
    </w:p>
    <w:p w14:paraId="1290923E" w14:textId="77777777" w:rsidR="00CD5184" w:rsidRPr="00CD5184" w:rsidRDefault="00CD5184" w:rsidP="000C27A7">
      <w:pPr>
        <w:ind w:firstLine="480"/>
      </w:pPr>
      <w:r w:rsidRPr="00CD5184">
        <w:t>策略的内在逻辑：寻找被低估的绩优股</w:t>
      </w:r>
    </w:p>
    <w:p w14:paraId="4F46FD49" w14:textId="57A419E4" w:rsidR="00CD5184" w:rsidRPr="00CD5184" w:rsidRDefault="000C27A7" w:rsidP="00CD5184">
      <w:pPr>
        <w:ind w:firstLine="480"/>
      </w:pPr>
      <w:r>
        <w:rPr>
          <w:rFonts w:hint="eastAsia"/>
        </w:rPr>
        <w:t>规则一指出</w:t>
      </w:r>
      <w:r w:rsidR="00CD5184" w:rsidRPr="00CD5184">
        <w:t>：一家拥有更强盈利能力（高</w:t>
      </w:r>
      <w:r w:rsidR="00CD5184" w:rsidRPr="00CD5184">
        <w:t>ROE</w:t>
      </w:r>
      <w:r w:rsidR="00CD5184" w:rsidRPr="00CD5184">
        <w:t>）的公司，理应在市场上获得更高的估值（高</w:t>
      </w:r>
      <w:r w:rsidR="00CD5184" w:rsidRPr="00CD5184">
        <w:t>P/B</w:t>
      </w:r>
      <w:r w:rsidR="00CD5184" w:rsidRPr="00CD5184">
        <w:t>）。</w:t>
      </w:r>
    </w:p>
    <w:p w14:paraId="716FAC2A" w14:textId="77777777" w:rsidR="00CD5184" w:rsidRPr="00CD5184" w:rsidRDefault="00CD5184" w:rsidP="000C27A7">
      <w:pPr>
        <w:ind w:firstLine="480"/>
      </w:pPr>
      <w:r w:rsidRPr="00CD5184">
        <w:t>净资产收益率（</w:t>
      </w:r>
      <w:r w:rsidRPr="00CD5184">
        <w:t>ROE - Return on Equity</w:t>
      </w:r>
      <w:r w:rsidRPr="00CD5184">
        <w:t>）</w:t>
      </w:r>
      <w:r w:rsidRPr="00CD5184">
        <w:t xml:space="preserve"> </w:t>
      </w:r>
      <w:r w:rsidRPr="00CD5184">
        <w:t>是衡量公司</w:t>
      </w:r>
      <w:r w:rsidRPr="00CD5184">
        <w:t>“</w:t>
      </w:r>
      <w:r w:rsidRPr="00CD5184">
        <w:t>质地</w:t>
      </w:r>
      <w:r w:rsidRPr="00CD5184">
        <w:t>”</w:t>
      </w:r>
      <w:r w:rsidRPr="00CD5184">
        <w:t>的核心指标。它反映了公司利用股东投入的资本创造利润的效率。更高的</w:t>
      </w:r>
      <w:r w:rsidRPr="00CD5184">
        <w:t>ROE</w:t>
      </w:r>
      <w:r w:rsidRPr="00CD5184">
        <w:t>通常意味着公司拥有更强的品牌护城河、更优秀的管理能力或更出色的商业模式。</w:t>
      </w:r>
    </w:p>
    <w:p w14:paraId="642CAE82" w14:textId="77777777" w:rsidR="00CD5184" w:rsidRPr="00CD5184" w:rsidRDefault="00CD5184" w:rsidP="000C27A7">
      <w:pPr>
        <w:ind w:firstLine="480"/>
      </w:pPr>
      <w:r w:rsidRPr="00CD5184">
        <w:t>市净率（</w:t>
      </w:r>
      <w:r w:rsidRPr="00CD5184">
        <w:t>P/B - Price-to-Book Ratio</w:t>
      </w:r>
      <w:r w:rsidRPr="00CD5184">
        <w:t>）</w:t>
      </w:r>
      <w:r w:rsidRPr="00CD5184">
        <w:t xml:space="preserve"> </w:t>
      </w:r>
      <w:r w:rsidRPr="00CD5184">
        <w:t>则是衡量公司</w:t>
      </w:r>
      <w:r w:rsidRPr="00CD5184">
        <w:t>“</w:t>
      </w:r>
      <w:r w:rsidRPr="00CD5184">
        <w:t>价格</w:t>
      </w:r>
      <w:r w:rsidRPr="00CD5184">
        <w:t>”</w:t>
      </w:r>
      <w:r w:rsidRPr="00CD5184">
        <w:t>的关键尺度。它表示公司市值相对于其账面净资产的倍数。较低的</w:t>
      </w:r>
      <w:r w:rsidRPr="00CD5184">
        <w:t>P/B</w:t>
      </w:r>
      <w:r w:rsidRPr="00CD5184">
        <w:t>意味着市场对该公司的定价相对保守，可能存在低估的机会，为投资提供了安全边际。</w:t>
      </w:r>
    </w:p>
    <w:p w14:paraId="212F96C2" w14:textId="04CEA9CE" w:rsidR="00CD5184" w:rsidRDefault="00CD5184" w:rsidP="00CD5184">
      <w:pPr>
        <w:ind w:firstLine="480"/>
      </w:pPr>
      <w:r w:rsidRPr="00CD5184">
        <w:t>将这两个维度结合起来，</w:t>
      </w:r>
      <w:r w:rsidRPr="00CD5184">
        <w:t>PB-ROE</w:t>
      </w:r>
      <w:r w:rsidRPr="00CD5184">
        <w:t>策略的目标就非常明确了：在</w:t>
      </w:r>
      <w:r w:rsidRPr="00CD5184">
        <w:t>A</w:t>
      </w:r>
      <w:r w:rsidRPr="00CD5184">
        <w:t>股市场中，筛选出那些盈利能力强（高</w:t>
      </w:r>
      <w:r w:rsidRPr="00CD5184">
        <w:t>ROE</w:t>
      </w:r>
      <w:r w:rsidRPr="00CD5184">
        <w:t>）但市场估值又相对较低（低</w:t>
      </w:r>
      <w:r w:rsidRPr="00CD5184">
        <w:t>P/B</w:t>
      </w:r>
      <w:r w:rsidRPr="00CD5184">
        <w:t>）的公司组合。</w:t>
      </w:r>
      <w:r w:rsidRPr="00CD5184">
        <w:t xml:space="preserve"> </w:t>
      </w:r>
      <w:r w:rsidRPr="00CD5184">
        <w:t>这本质上是一种兼顾了</w:t>
      </w:r>
      <w:r w:rsidRPr="00CD5184">
        <w:t>“</w:t>
      </w:r>
      <w:r w:rsidRPr="00CD5184">
        <w:t>品质</w:t>
      </w:r>
      <w:r w:rsidRPr="00CD5184">
        <w:t>”</w:t>
      </w:r>
      <w:r w:rsidRPr="00CD5184">
        <w:t>与</w:t>
      </w:r>
      <w:r w:rsidRPr="00CD5184">
        <w:t>“</w:t>
      </w:r>
      <w:r w:rsidRPr="00CD5184">
        <w:t>价值</w:t>
      </w:r>
      <w:r w:rsidRPr="00CD5184">
        <w:t>”</w:t>
      </w:r>
      <w:r w:rsidRPr="00CD5184">
        <w:t>的投资实践，旨在捕获因市场短期失灵而被</w:t>
      </w:r>
      <w:r w:rsidR="000C27A7">
        <w:rPr>
          <w:rFonts w:hint="eastAsia"/>
        </w:rPr>
        <w:t>错误定价</w:t>
      </w:r>
      <w:r w:rsidRPr="00CD5184">
        <w:t>的优质企业，从而实现长期的超额收益。</w:t>
      </w:r>
    </w:p>
    <w:p w14:paraId="62E83AFD" w14:textId="77777777" w:rsidR="000C27A7" w:rsidRPr="00CD5184" w:rsidRDefault="000C27A7" w:rsidP="00CD5184">
      <w:pPr>
        <w:ind w:firstLine="480"/>
      </w:pPr>
    </w:p>
    <w:p w14:paraId="39B748AC" w14:textId="63515317" w:rsidR="00CD5184" w:rsidRPr="00CD5184" w:rsidRDefault="00CD5184" w:rsidP="000C27A7">
      <w:pPr>
        <w:ind w:firstLine="482"/>
        <w:rPr>
          <w:b/>
          <w:bCs/>
        </w:rPr>
      </w:pPr>
      <w:r w:rsidRPr="00CD5184">
        <w:rPr>
          <w:b/>
          <w:bCs/>
        </w:rPr>
        <w:t>策略构建</w:t>
      </w:r>
    </w:p>
    <w:p w14:paraId="0E441A91" w14:textId="4283F384" w:rsidR="00CD5184" w:rsidRPr="00CD5184" w:rsidRDefault="00CD5184" w:rsidP="000C27A7">
      <w:pPr>
        <w:ind w:firstLine="480"/>
      </w:pPr>
      <w:r w:rsidRPr="00CD5184">
        <w:t>回测区间：</w:t>
      </w:r>
      <w:r w:rsidRPr="00CD5184">
        <w:t xml:space="preserve"> 2010</w:t>
      </w:r>
      <w:r w:rsidRPr="00CD5184">
        <w:t>年</w:t>
      </w:r>
      <w:r w:rsidRPr="00CD5184">
        <w:t>5</w:t>
      </w:r>
      <w:r w:rsidRPr="00CD5184">
        <w:t>月</w:t>
      </w:r>
      <w:r w:rsidRPr="00CD5184">
        <w:t>1</w:t>
      </w:r>
      <w:r w:rsidRPr="00CD5184">
        <w:t>日至</w:t>
      </w:r>
      <w:r w:rsidRPr="00CD5184">
        <w:t>2025</w:t>
      </w:r>
      <w:r w:rsidRPr="00CD5184">
        <w:t>年</w:t>
      </w:r>
      <w:r w:rsidRPr="00CD5184">
        <w:t>4</w:t>
      </w:r>
      <w:r w:rsidRPr="00CD5184">
        <w:t>月</w:t>
      </w:r>
      <w:r w:rsidRPr="00CD5184">
        <w:t>30</w:t>
      </w:r>
      <w:r w:rsidRPr="00CD5184">
        <w:t>日。</w:t>
      </w:r>
    </w:p>
    <w:p w14:paraId="65BBEC23" w14:textId="77777777" w:rsidR="00CD5184" w:rsidRPr="00CD5184" w:rsidRDefault="00CD5184" w:rsidP="000C27A7">
      <w:pPr>
        <w:ind w:firstLine="480"/>
      </w:pPr>
      <w:r w:rsidRPr="00CD5184">
        <w:t>调仓周期：</w:t>
      </w:r>
      <w:r w:rsidRPr="00CD5184">
        <w:t xml:space="preserve"> </w:t>
      </w:r>
      <w:r w:rsidRPr="00CD5184">
        <w:t>每年调仓一次，固定在每年</w:t>
      </w:r>
      <w:r w:rsidRPr="00CD5184">
        <w:t>5</w:t>
      </w:r>
      <w:r w:rsidRPr="00CD5184">
        <w:t>月</w:t>
      </w:r>
      <w:r w:rsidRPr="00CD5184">
        <w:t>1</w:t>
      </w:r>
      <w:r w:rsidRPr="00CD5184">
        <w:t>日进行。选择</w:t>
      </w:r>
      <w:r w:rsidRPr="00CD5184">
        <w:t>5</w:t>
      </w:r>
      <w:r w:rsidRPr="00CD5184">
        <w:t>月，是因为此时所有</w:t>
      </w:r>
      <w:r w:rsidRPr="00CD5184">
        <w:t>A</w:t>
      </w:r>
      <w:r w:rsidRPr="00CD5184">
        <w:t>股公司的年报均已披露完毕，可以获取最准确、最完整的上一年财务数据。</w:t>
      </w:r>
    </w:p>
    <w:p w14:paraId="755EF525" w14:textId="77777777" w:rsidR="00CD5184" w:rsidRPr="00CD5184" w:rsidRDefault="00CD5184" w:rsidP="000C27A7">
      <w:pPr>
        <w:ind w:firstLine="480"/>
      </w:pPr>
      <w:r w:rsidRPr="00CD5184">
        <w:t>持有期：</w:t>
      </w:r>
      <w:r w:rsidRPr="00CD5184">
        <w:t xml:space="preserve"> </w:t>
      </w:r>
      <w:r w:rsidRPr="00CD5184">
        <w:t>从当年的</w:t>
      </w:r>
      <w:r w:rsidRPr="00CD5184">
        <w:t>5</w:t>
      </w:r>
      <w:r w:rsidRPr="00CD5184">
        <w:t>月</w:t>
      </w:r>
      <w:r w:rsidRPr="00CD5184">
        <w:t>1</w:t>
      </w:r>
      <w:r w:rsidRPr="00CD5184">
        <w:t>日一直持有至次年</w:t>
      </w:r>
      <w:r w:rsidRPr="00CD5184">
        <w:t>4</w:t>
      </w:r>
      <w:r w:rsidRPr="00CD5184">
        <w:t>月</w:t>
      </w:r>
      <w:r w:rsidRPr="00CD5184">
        <w:t>30</w:t>
      </w:r>
      <w:r w:rsidRPr="00CD5184">
        <w:t>日。</w:t>
      </w:r>
    </w:p>
    <w:p w14:paraId="56EF8500" w14:textId="77777777" w:rsidR="00CD5184" w:rsidRPr="00CD5184" w:rsidRDefault="00CD5184" w:rsidP="000C27A7">
      <w:pPr>
        <w:ind w:firstLine="480"/>
      </w:pPr>
      <w:r w:rsidRPr="00CD5184">
        <w:t>选股池构建：</w:t>
      </w:r>
      <w:r w:rsidRPr="00CD5184">
        <w:t xml:space="preserve"> </w:t>
      </w:r>
      <w:r w:rsidRPr="00CD5184">
        <w:t>在每个调仓日，我们对全市场股票进行如下三步筛选：</w:t>
      </w:r>
    </w:p>
    <w:p w14:paraId="3DCE34E1" w14:textId="77777777" w:rsidR="00CD5184" w:rsidRPr="00CD5184" w:rsidRDefault="00CD5184" w:rsidP="000C27A7">
      <w:pPr>
        <w:ind w:firstLine="480"/>
      </w:pPr>
      <w:r w:rsidRPr="00CD5184">
        <w:t>基础清洗：</w:t>
      </w:r>
      <w:r w:rsidRPr="00CD5184">
        <w:t xml:space="preserve"> </w:t>
      </w:r>
      <w:r w:rsidRPr="00CD5184">
        <w:t>剔除所有</w:t>
      </w:r>
      <w:r w:rsidRPr="00CD5184">
        <w:t>ST</w:t>
      </w:r>
      <w:r w:rsidRPr="00CD5184">
        <w:t>及</w:t>
      </w:r>
      <w:r w:rsidRPr="00CD5184">
        <w:t>*ST</w:t>
      </w:r>
      <w:r w:rsidRPr="00CD5184">
        <w:t>股票，规避潜在的退市和经营风险。</w:t>
      </w:r>
    </w:p>
    <w:p w14:paraId="2ACF7A73" w14:textId="0C3E56C2" w:rsidR="00CD5184" w:rsidRPr="00CD5184" w:rsidRDefault="000C27A7" w:rsidP="000C27A7">
      <w:pPr>
        <w:ind w:firstLine="482"/>
        <w:rPr>
          <w:b/>
          <w:bCs/>
        </w:rPr>
      </w:pPr>
      <w:r>
        <w:rPr>
          <w:rFonts w:hint="eastAsia"/>
          <w:b/>
          <w:bCs/>
        </w:rPr>
        <w:t>1.</w:t>
      </w:r>
      <w:r w:rsidR="00CD5184" w:rsidRPr="00CD5184">
        <w:rPr>
          <w:b/>
          <w:bCs/>
        </w:rPr>
        <w:t>高质量筛选</w:t>
      </w:r>
      <w:r w:rsidR="00CD5184" w:rsidRPr="00CD5184">
        <w:rPr>
          <w:b/>
          <w:bCs/>
        </w:rPr>
        <w:t xml:space="preserve"> (Top 33% ROE)</w:t>
      </w:r>
      <w:r w:rsidR="00CD5184" w:rsidRPr="00CD5184">
        <w:rPr>
          <w:b/>
          <w:bCs/>
        </w:rPr>
        <w:t>：</w:t>
      </w:r>
    </w:p>
    <w:p w14:paraId="74995807" w14:textId="77777777" w:rsidR="00CD5184" w:rsidRPr="00CD5184" w:rsidRDefault="00CD5184" w:rsidP="000C27A7">
      <w:pPr>
        <w:ind w:firstLine="480"/>
      </w:pPr>
      <w:r w:rsidRPr="00CD5184">
        <w:t>剔除</w:t>
      </w:r>
      <w:r w:rsidRPr="00CD5184">
        <w:t>ROE</w:t>
      </w:r>
      <w:r w:rsidRPr="00CD5184">
        <w:t>缺失或</w:t>
      </w:r>
      <w:r w:rsidRPr="00CD5184">
        <w:t>ROE</w:t>
      </w:r>
      <w:r w:rsidRPr="00CD5184">
        <w:t>过高（</w:t>
      </w:r>
      <w:r w:rsidRPr="00CD5184">
        <w:t>&gt;50%</w:t>
      </w:r>
      <w:r w:rsidRPr="00CD5184">
        <w:t>）的公司，以排除因财务异常（如变卖资产、债务重组）导致的指标失真。</w:t>
      </w:r>
    </w:p>
    <w:p w14:paraId="39D304F9" w14:textId="41288BAF" w:rsidR="00CD5184" w:rsidRDefault="00CD5184" w:rsidP="000C27A7">
      <w:pPr>
        <w:ind w:firstLine="480"/>
      </w:pPr>
      <w:r w:rsidRPr="00CD5184">
        <w:t>在剩余股票中，按上一年度的</w:t>
      </w:r>
      <w:r w:rsidRPr="00CD5184">
        <w:t>ROE</w:t>
      </w:r>
      <w:r w:rsidRPr="00CD5184">
        <w:t>从高到低排序，选取排名前</w:t>
      </w:r>
      <w:r w:rsidRPr="00CD5184">
        <w:t>33%</w:t>
      </w:r>
      <w:r w:rsidRPr="00CD5184">
        <w:t>的股票，构成</w:t>
      </w:r>
      <w:r w:rsidRPr="00CD5184">
        <w:t>“</w:t>
      </w:r>
      <w:r w:rsidRPr="00CD5184">
        <w:t>高质量股票池</w:t>
      </w:r>
      <w:r w:rsidRPr="00CD5184">
        <w:t>”</w:t>
      </w:r>
      <w:r w:rsidRPr="00CD5184">
        <w:t>。</w:t>
      </w:r>
    </w:p>
    <w:p w14:paraId="6F7284D1" w14:textId="7BBA9165" w:rsidR="00CD5184" w:rsidRPr="00CD5184" w:rsidRDefault="000C27A7" w:rsidP="000C27A7">
      <w:pPr>
        <w:ind w:firstLine="482"/>
        <w:rPr>
          <w:b/>
          <w:bCs/>
        </w:rPr>
      </w:pPr>
      <w:r>
        <w:rPr>
          <w:rFonts w:hint="eastAsia"/>
          <w:b/>
          <w:bCs/>
        </w:rPr>
        <w:t>2.</w:t>
      </w:r>
      <w:r w:rsidR="00CD5184" w:rsidRPr="00CD5184">
        <w:rPr>
          <w:b/>
          <w:bCs/>
        </w:rPr>
        <w:t>低估值筛选</w:t>
      </w:r>
      <w:r w:rsidR="00CD5184" w:rsidRPr="00CD5184">
        <w:rPr>
          <w:b/>
          <w:bCs/>
        </w:rPr>
        <w:t xml:space="preserve"> (Bottom 33% P/B)</w:t>
      </w:r>
      <w:r w:rsidR="00CD5184" w:rsidRPr="00CD5184">
        <w:rPr>
          <w:b/>
          <w:bCs/>
        </w:rPr>
        <w:t>：</w:t>
      </w:r>
    </w:p>
    <w:p w14:paraId="175E4741" w14:textId="77777777" w:rsidR="00CD5184" w:rsidRPr="00CD5184" w:rsidRDefault="00CD5184" w:rsidP="000C27A7">
      <w:pPr>
        <w:ind w:firstLine="480"/>
      </w:pPr>
      <w:r w:rsidRPr="00CD5184">
        <w:t>剔除</w:t>
      </w:r>
      <w:r w:rsidRPr="00CD5184">
        <w:t>P/B</w:t>
      </w:r>
      <w:r w:rsidRPr="00CD5184">
        <w:t>小于</w:t>
      </w:r>
      <w:r w:rsidRPr="00CD5184">
        <w:t>0</w:t>
      </w:r>
      <w:r w:rsidRPr="00CD5184">
        <w:t>的公司（通常为资不抵债的极端情况）。</w:t>
      </w:r>
    </w:p>
    <w:p w14:paraId="16E04FDF" w14:textId="77777777" w:rsidR="00CD5184" w:rsidRPr="00CD5184" w:rsidRDefault="00CD5184" w:rsidP="000C27A7">
      <w:pPr>
        <w:ind w:firstLine="480"/>
      </w:pPr>
      <w:r w:rsidRPr="00CD5184">
        <w:t>在剩余股票中，按上一年度末的</w:t>
      </w:r>
      <w:r w:rsidRPr="00CD5184">
        <w:t>P/B</w:t>
      </w:r>
      <w:r w:rsidRPr="00CD5184">
        <w:t>值从低到高排序，选取排名后</w:t>
      </w:r>
      <w:r w:rsidRPr="00CD5184">
        <w:t>33%</w:t>
      </w:r>
      <w:r w:rsidRPr="00CD5184">
        <w:t>（即估值最低的</w:t>
      </w:r>
      <w:r w:rsidRPr="00CD5184">
        <w:t>33%</w:t>
      </w:r>
      <w:r w:rsidRPr="00CD5184">
        <w:t>）的股票，构成</w:t>
      </w:r>
      <w:r w:rsidRPr="00CD5184">
        <w:t>“</w:t>
      </w:r>
      <w:r w:rsidRPr="00CD5184">
        <w:t>低估值股票池</w:t>
      </w:r>
      <w:r w:rsidRPr="00CD5184">
        <w:t>”</w:t>
      </w:r>
      <w:r w:rsidRPr="00CD5184">
        <w:t>。</w:t>
      </w:r>
    </w:p>
    <w:p w14:paraId="3664EDE3" w14:textId="77777777" w:rsidR="00CD5184" w:rsidRPr="00CD5184" w:rsidRDefault="00CD5184" w:rsidP="000C27A7">
      <w:pPr>
        <w:ind w:firstLine="480"/>
      </w:pPr>
      <w:r w:rsidRPr="00CD5184">
        <w:t>最终持仓：</w:t>
      </w:r>
      <w:r w:rsidRPr="00CD5184">
        <w:t xml:space="preserve"> </w:t>
      </w:r>
      <w:r w:rsidRPr="00CD5184">
        <w:t>最终的投资组合由同时满足</w:t>
      </w:r>
      <w:r w:rsidRPr="00CD5184">
        <w:t>“</w:t>
      </w:r>
      <w:r w:rsidRPr="00CD5184">
        <w:t>高质量</w:t>
      </w:r>
      <w:r w:rsidRPr="00CD5184">
        <w:t>”</w:t>
      </w:r>
      <w:r w:rsidRPr="00CD5184">
        <w:t>和</w:t>
      </w:r>
      <w:r w:rsidRPr="00CD5184">
        <w:t>“</w:t>
      </w:r>
      <w:r w:rsidRPr="00CD5184">
        <w:t>低估值</w:t>
      </w:r>
      <w:r w:rsidRPr="00CD5184">
        <w:t>”</w:t>
      </w:r>
      <w:r w:rsidRPr="00CD5184">
        <w:t>标准的股票构成，并等权重持有。</w:t>
      </w:r>
    </w:p>
    <w:p w14:paraId="5906E911" w14:textId="3F68C39B" w:rsidR="00CD5184" w:rsidRPr="00CD5184" w:rsidRDefault="00CD5184" w:rsidP="000C27A7">
      <w:pPr>
        <w:ind w:firstLine="480"/>
      </w:pPr>
      <w:r w:rsidRPr="00CD5184">
        <w:t>业绩基准：</w:t>
      </w:r>
      <w:r w:rsidRPr="00CD5184">
        <w:t xml:space="preserve"> </w:t>
      </w:r>
      <w:r w:rsidRPr="00CD5184">
        <w:t>沪深</w:t>
      </w:r>
      <w:r w:rsidRPr="00CD5184">
        <w:t>300</w:t>
      </w:r>
      <w:r w:rsidRPr="00CD5184">
        <w:t>指数。</w:t>
      </w:r>
    </w:p>
    <w:p w14:paraId="79281594" w14:textId="705DE279" w:rsidR="00CD5184" w:rsidRPr="00CD5184" w:rsidRDefault="00CD5184" w:rsidP="000C27A7">
      <w:pPr>
        <w:ind w:firstLine="480"/>
      </w:pPr>
      <w:r w:rsidRPr="00CD5184">
        <w:t>交易成本：不考虑交易成本。</w:t>
      </w:r>
    </w:p>
    <w:p w14:paraId="3BED836B" w14:textId="2D64B472" w:rsidR="000C27A7" w:rsidRDefault="00410164" w:rsidP="00CD5184">
      <w:pPr>
        <w:ind w:firstLine="482"/>
        <w:rPr>
          <w:b/>
          <w:bCs/>
        </w:rPr>
      </w:pPr>
      <w:r w:rsidRPr="00410164">
        <w:rPr>
          <w:rFonts w:hint="eastAsia"/>
          <w:b/>
          <w:bCs/>
        </w:rPr>
        <w:t>每期的成份股个数</w:t>
      </w:r>
    </w:p>
    <w:p w14:paraId="015F6F65" w14:textId="21CAA7BC" w:rsidR="00410164" w:rsidRPr="00410164" w:rsidRDefault="00410164" w:rsidP="00410164">
      <w:pPr>
        <w:ind w:firstLineChars="0" w:firstLine="0"/>
        <w:jc w:val="center"/>
      </w:pPr>
      <w:r>
        <w:rPr>
          <w:noProof/>
        </w:rPr>
        <w:drawing>
          <wp:inline distT="0" distB="0" distL="0" distR="0" wp14:anchorId="769190C4" wp14:editId="43245F3B">
            <wp:extent cx="6188710" cy="3465830"/>
            <wp:effectExtent l="0" t="0" r="2540" b="1270"/>
            <wp:docPr id="20055688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68823" name="图片 20055688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3465830"/>
                    </a:xfrm>
                    <a:prstGeom prst="rect">
                      <a:avLst/>
                    </a:prstGeom>
                  </pic:spPr>
                </pic:pic>
              </a:graphicData>
            </a:graphic>
          </wp:inline>
        </w:drawing>
      </w:r>
    </w:p>
    <w:p w14:paraId="11D0B7E5" w14:textId="5CC63BB5" w:rsidR="00CD5184" w:rsidRPr="00CD5184" w:rsidRDefault="00CD5184" w:rsidP="00262C96">
      <w:pPr>
        <w:ind w:left="60" w:firstLineChars="0" w:firstLine="420"/>
        <w:rPr>
          <w:b/>
          <w:bCs/>
          <w:sz w:val="30"/>
          <w:szCs w:val="30"/>
        </w:rPr>
      </w:pPr>
      <w:r w:rsidRPr="00CD5184">
        <w:rPr>
          <w:b/>
          <w:bCs/>
          <w:sz w:val="30"/>
          <w:szCs w:val="30"/>
        </w:rPr>
        <w:t>业绩表现与深度分析</w:t>
      </w:r>
    </w:p>
    <w:p w14:paraId="493D08D2" w14:textId="77777777" w:rsidR="00262C96" w:rsidRDefault="00262C96" w:rsidP="00CD5184">
      <w:pPr>
        <w:ind w:firstLine="480"/>
      </w:pPr>
      <w:r w:rsidRPr="00262C96">
        <w:t>为了评估</w:t>
      </w:r>
      <w:r w:rsidRPr="00262C96">
        <w:t>PB-ROE</w:t>
      </w:r>
      <w:r w:rsidRPr="00262C96">
        <w:t>策略的有效性，我们对其在</w:t>
      </w:r>
      <w:r w:rsidRPr="00262C96">
        <w:t>2010</w:t>
      </w:r>
      <w:r w:rsidRPr="00262C96">
        <w:t>年</w:t>
      </w:r>
      <w:r w:rsidRPr="00262C96">
        <w:t>5</w:t>
      </w:r>
      <w:r w:rsidRPr="00262C96">
        <w:t>月</w:t>
      </w:r>
      <w:r w:rsidRPr="00262C96">
        <w:t>1</w:t>
      </w:r>
      <w:r w:rsidRPr="00262C96">
        <w:t>日至</w:t>
      </w:r>
      <w:r w:rsidRPr="00262C96">
        <w:t>2025</w:t>
      </w:r>
      <w:r w:rsidRPr="00262C96">
        <w:t>年</w:t>
      </w:r>
      <w:r w:rsidRPr="00262C96">
        <w:t>4</w:t>
      </w:r>
      <w:r w:rsidRPr="00262C96">
        <w:t>月</w:t>
      </w:r>
      <w:r w:rsidRPr="00262C96">
        <w:t>30</w:t>
      </w:r>
      <w:r w:rsidRPr="00262C96">
        <w:t>日（共</w:t>
      </w:r>
      <w:r w:rsidRPr="00262C96">
        <w:t>180</w:t>
      </w:r>
      <w:r w:rsidRPr="00262C96">
        <w:t>个月）回测区间内的表现进行了量化分析。本节将从长期累计收益和分年度表现两个维度，对策略的收益与风险特征进行阐述。</w:t>
      </w:r>
    </w:p>
    <w:p w14:paraId="11E79F24" w14:textId="76532BAA" w:rsidR="00CD5184" w:rsidRPr="00CD5184" w:rsidRDefault="00CD5184" w:rsidP="00CD5184">
      <w:pPr>
        <w:ind w:firstLine="482"/>
        <w:rPr>
          <w:b/>
          <w:bCs/>
        </w:rPr>
      </w:pPr>
      <w:r w:rsidRPr="00CD5184">
        <w:rPr>
          <w:b/>
          <w:bCs/>
        </w:rPr>
        <w:t xml:space="preserve">1. </w:t>
      </w:r>
      <w:r w:rsidR="00262C96" w:rsidRPr="00262C96">
        <w:rPr>
          <w:b/>
          <w:bCs/>
        </w:rPr>
        <w:t>长期绩效评估</w:t>
      </w:r>
    </w:p>
    <w:p w14:paraId="7DD0F1E1" w14:textId="6153F913" w:rsidR="00CD5184" w:rsidRPr="00CD5184" w:rsidRDefault="00CD5184" w:rsidP="00CD5184">
      <w:pPr>
        <w:ind w:firstLine="480"/>
      </w:pPr>
      <w:r w:rsidRPr="00CD5184">
        <w:t>首先，从累计收益曲线（见图</w:t>
      </w:r>
      <w:r w:rsidRPr="00CD5184">
        <w:t>1</w:t>
      </w:r>
      <w:r w:rsidRPr="00CD5184">
        <w:t>）来看，</w:t>
      </w:r>
      <w:r w:rsidRPr="00CD5184">
        <w:t>PB-ROE</w:t>
      </w:r>
      <w:r w:rsidRPr="00CD5184">
        <w:t>策略的长期表现令人印象深刻。在整个回测区间内，策略实现了</w:t>
      </w:r>
      <w:r w:rsidRPr="00CD5184">
        <w:rPr>
          <w:b/>
          <w:bCs/>
        </w:rPr>
        <w:t>189.12%</w:t>
      </w:r>
      <w:r w:rsidRPr="00CD5184">
        <w:rPr>
          <w:b/>
          <w:bCs/>
        </w:rPr>
        <w:t>的累计收益，折合年化收益率高达</w:t>
      </w:r>
      <w:r w:rsidRPr="00CD5184">
        <w:rPr>
          <w:b/>
          <w:bCs/>
        </w:rPr>
        <w:t>7.33%</w:t>
      </w:r>
      <w:r w:rsidRPr="00CD5184">
        <w:t>。相比之下，同期沪深</w:t>
      </w:r>
      <w:r w:rsidRPr="00CD5184">
        <w:t>300</w:t>
      </w:r>
      <w:r w:rsidRPr="00CD5184">
        <w:t>指数的年化收益率仅为</w:t>
      </w:r>
      <w:r w:rsidRPr="00CD5184">
        <w:t>1.39%</w:t>
      </w:r>
      <w:r w:rsidRPr="00CD5184">
        <w:t>。这意味着，该策略创造了</w:t>
      </w:r>
      <w:r w:rsidRPr="00CD5184">
        <w:rPr>
          <w:b/>
          <w:bCs/>
        </w:rPr>
        <w:t>5.95%</w:t>
      </w:r>
      <w:r w:rsidRPr="00CD5184">
        <w:rPr>
          <w:b/>
          <w:bCs/>
        </w:rPr>
        <w:t>的年化超额收益</w:t>
      </w:r>
      <w:r w:rsidRPr="00CD5184">
        <w:t>。</w:t>
      </w:r>
    </w:p>
    <w:p w14:paraId="762908E4" w14:textId="1FAA0CFE" w:rsidR="000C27A7" w:rsidRDefault="000C27A7" w:rsidP="000C27A7">
      <w:pPr>
        <w:ind w:firstLine="480"/>
        <w:jc w:val="center"/>
        <w:rPr>
          <w:b/>
          <w:bCs/>
        </w:rPr>
      </w:pPr>
      <w:r>
        <w:rPr>
          <w:rFonts w:hint="eastAsia"/>
          <w:noProof/>
        </w:rPr>
        <w:drawing>
          <wp:inline distT="0" distB="0" distL="0" distR="0" wp14:anchorId="59C11C60" wp14:editId="6D26D69A">
            <wp:extent cx="5837025" cy="3203595"/>
            <wp:effectExtent l="0" t="0" r="0" b="0"/>
            <wp:docPr id="1915244264" name="图片 1" descr="图形用户界面, 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264" name="图片 1" descr="图形用户界面, 图表, 折线图, 直方图&#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6348" cy="3219688"/>
                    </a:xfrm>
                    <a:prstGeom prst="rect">
                      <a:avLst/>
                    </a:prstGeom>
                  </pic:spPr>
                </pic:pic>
              </a:graphicData>
            </a:graphic>
          </wp:inline>
        </w:drawing>
      </w:r>
    </w:p>
    <w:p w14:paraId="53DC41B8" w14:textId="6D872F28" w:rsidR="00CD5184" w:rsidRPr="00CD5184" w:rsidRDefault="00CD5184" w:rsidP="008F6B60">
      <w:pPr>
        <w:ind w:firstLineChars="0" w:firstLine="0"/>
        <w:jc w:val="center"/>
      </w:pPr>
      <w:r w:rsidRPr="00CD5184">
        <w:rPr>
          <w:b/>
          <w:bCs/>
        </w:rPr>
        <w:t>图</w:t>
      </w:r>
      <w:r w:rsidRPr="00CD5184">
        <w:rPr>
          <w:b/>
          <w:bCs/>
        </w:rPr>
        <w:t>1: PB-ROE</w:t>
      </w:r>
      <w:r w:rsidRPr="00CD5184">
        <w:rPr>
          <w:b/>
          <w:bCs/>
        </w:rPr>
        <w:t>策略</w:t>
      </w:r>
      <w:r w:rsidRPr="00CD5184">
        <w:rPr>
          <w:b/>
          <w:bCs/>
        </w:rPr>
        <w:t xml:space="preserve"> vs. </w:t>
      </w:r>
      <w:r w:rsidRPr="00CD5184">
        <w:rPr>
          <w:b/>
          <w:bCs/>
        </w:rPr>
        <w:t>沪深</w:t>
      </w:r>
      <w:r w:rsidRPr="00CD5184">
        <w:rPr>
          <w:b/>
          <w:bCs/>
        </w:rPr>
        <w:t xml:space="preserve">300 </w:t>
      </w:r>
      <w:r w:rsidRPr="00CD5184">
        <w:rPr>
          <w:b/>
          <w:bCs/>
        </w:rPr>
        <w:t>累计收益率</w:t>
      </w:r>
    </w:p>
    <w:p w14:paraId="59670707" w14:textId="77777777" w:rsidR="00262C96" w:rsidRPr="00262C96" w:rsidRDefault="00262C96" w:rsidP="00262C96">
      <w:pPr>
        <w:ind w:firstLine="480"/>
      </w:pPr>
      <w:r w:rsidRPr="00262C96">
        <w:t>从累计收益的角度看（见图</w:t>
      </w:r>
      <w:r w:rsidRPr="00262C96">
        <w:t>1</w:t>
      </w:r>
      <w:r w:rsidRPr="00262C96">
        <w:t>），</w:t>
      </w:r>
      <w:r w:rsidRPr="00262C96">
        <w:t>PB-ROE</w:t>
      </w:r>
      <w:r w:rsidRPr="00262C96">
        <w:t>策略在整个回测期内展现了超越基准的潜力。策略的累计收益率为</w:t>
      </w:r>
      <w:r w:rsidRPr="00262C96">
        <w:t>189.12%</w:t>
      </w:r>
      <w:r w:rsidRPr="00262C96">
        <w:t>，对应的年化收益率为</w:t>
      </w:r>
      <w:r w:rsidRPr="00262C96">
        <w:t>7.33%</w:t>
      </w:r>
      <w:r w:rsidRPr="00262C96">
        <w:t>。作为对比，同期沪深</w:t>
      </w:r>
      <w:r w:rsidRPr="00262C96">
        <w:t>300</w:t>
      </w:r>
      <w:r w:rsidRPr="00262C96">
        <w:t>指数的年化收益率为</w:t>
      </w:r>
      <w:r w:rsidRPr="00262C96">
        <w:t>1.39%</w:t>
      </w:r>
      <w:r w:rsidRPr="00262C96">
        <w:t>。二者相较，策略取得了</w:t>
      </w:r>
      <w:r w:rsidRPr="00262C96">
        <w:t>5.95%</w:t>
      </w:r>
      <w:r w:rsidRPr="00262C96">
        <w:t>的年化超额收益。净值曲线显示，在回测期间的大部分时间里，策略的累计表现均优于基准指数。</w:t>
      </w:r>
    </w:p>
    <w:p w14:paraId="60857EDE" w14:textId="77777777" w:rsidR="00262C96" w:rsidRPr="00262C96" w:rsidRDefault="00262C96" w:rsidP="00262C96">
      <w:pPr>
        <w:ind w:firstLine="480"/>
      </w:pPr>
      <w:r w:rsidRPr="00262C96">
        <w:t>在风险指标方面，策略的年化波动率为</w:t>
      </w:r>
      <w:r w:rsidRPr="00262C96">
        <w:t>23.76%</w:t>
      </w:r>
      <w:r w:rsidRPr="00262C96">
        <w:t>，高于同期沪深</w:t>
      </w:r>
      <w:r w:rsidRPr="00262C96">
        <w:t>300</w:t>
      </w:r>
      <w:r w:rsidRPr="00262C96">
        <w:t>指数。在整个回测期间，策略经历的最大回撤为</w:t>
      </w:r>
      <w:r w:rsidRPr="00262C96">
        <w:t>-39.43%</w:t>
      </w:r>
      <w:r w:rsidRPr="00262C96">
        <w:t>。这组数据显示，尽管策略的长期收益较高，但其净值波动与价值回撤的幅度也相对显著，对投资者的风险承受能力构成一定要求。</w:t>
      </w:r>
    </w:p>
    <w:p w14:paraId="7C60F6FE" w14:textId="77777777" w:rsidR="00262C96" w:rsidRPr="00262C96" w:rsidRDefault="00262C96" w:rsidP="00262C96">
      <w:pPr>
        <w:ind w:firstLine="480"/>
      </w:pPr>
      <w:r w:rsidRPr="00262C96">
        <w:t>为综合评估风险调整后的收益，我们计算了信息比率（</w:t>
      </w:r>
      <w:r w:rsidRPr="00262C96">
        <w:t>Information Ratio</w:t>
      </w:r>
      <w:r w:rsidRPr="00262C96">
        <w:t>）。该策略的信息比率为</w:t>
      </w:r>
      <w:r w:rsidRPr="00262C96">
        <w:t>0.5587</w:t>
      </w:r>
      <w:r w:rsidRPr="00262C96">
        <w:t>，此数值表明策略每承担一单位主动风险，能够相应地获取一定水平的超额回报。从胜率统计来看，在回测的</w:t>
      </w:r>
      <w:r w:rsidRPr="00262C96">
        <w:t>180</w:t>
      </w:r>
      <w:r w:rsidRPr="00262C96">
        <w:t>个月中，策略实现正收益的月份占比为</w:t>
      </w:r>
      <w:r w:rsidRPr="00262C96">
        <w:t>53.89%</w:t>
      </w:r>
      <w:r w:rsidRPr="00262C96">
        <w:t>；与基准比较，策略表现在</w:t>
      </w:r>
      <w:r w:rsidRPr="00262C96">
        <w:t>103</w:t>
      </w:r>
      <w:r w:rsidRPr="00262C96">
        <w:t>个月中优于沪深</w:t>
      </w:r>
      <w:r w:rsidRPr="00262C96">
        <w:t>300</w:t>
      </w:r>
      <w:r w:rsidRPr="00262C96">
        <w:t>指数，月度胜率为</w:t>
      </w:r>
      <w:r w:rsidRPr="00262C96">
        <w:t>57.22%</w:t>
      </w:r>
      <w:r w:rsidRPr="00262C96">
        <w:t>。</w:t>
      </w:r>
    </w:p>
    <w:p w14:paraId="2D7278B0" w14:textId="7268B71C" w:rsidR="00CD5184" w:rsidRPr="00CD5184" w:rsidRDefault="008F6B60" w:rsidP="00CD5184">
      <w:pPr>
        <w:ind w:firstLine="482"/>
        <w:rPr>
          <w:b/>
          <w:bCs/>
        </w:rPr>
      </w:pPr>
      <w:r>
        <w:rPr>
          <w:rFonts w:hint="eastAsia"/>
          <w:b/>
          <w:bCs/>
        </w:rPr>
        <w:t>2</w:t>
      </w:r>
      <w:r w:rsidR="00CD5184" w:rsidRPr="00CD5184">
        <w:rPr>
          <w:b/>
          <w:bCs/>
        </w:rPr>
        <w:t xml:space="preserve">. </w:t>
      </w:r>
      <w:r w:rsidR="00CD5184" w:rsidRPr="00CD5184">
        <w:rPr>
          <w:b/>
          <w:bCs/>
        </w:rPr>
        <w:t>年度表现剖析</w:t>
      </w:r>
    </w:p>
    <w:p w14:paraId="4AD4A57A" w14:textId="2DA0D6C8" w:rsidR="008F6B60" w:rsidRPr="00CD5184" w:rsidRDefault="00262C96" w:rsidP="008F6B60">
      <w:pPr>
        <w:ind w:firstLineChars="0" w:firstLine="0"/>
        <w:jc w:val="center"/>
      </w:pPr>
      <w:r w:rsidRPr="00262C96">
        <w:t>图</w:t>
      </w:r>
      <w:r w:rsidRPr="00262C96">
        <w:t>2</w:t>
      </w:r>
      <w:r w:rsidRPr="00262C96">
        <w:t>展示了</w:t>
      </w:r>
      <w:r w:rsidRPr="00262C96">
        <w:t>PB-ROE</w:t>
      </w:r>
      <w:r w:rsidRPr="00262C96">
        <w:t>策略与沪深</w:t>
      </w:r>
      <w:r w:rsidRPr="00262C96">
        <w:t>300</w:t>
      </w:r>
      <w:r w:rsidRPr="00262C96">
        <w:t>指数在每个完整年度的收益率对比，这有助于我们观察策略在不同市场环境下的具体表现。</w:t>
      </w:r>
      <w:r w:rsidR="008F6B60">
        <w:rPr>
          <w:rFonts w:hint="eastAsia"/>
          <w:noProof/>
        </w:rPr>
        <w:drawing>
          <wp:inline distT="0" distB="0" distL="0" distR="0" wp14:anchorId="4343CAE9" wp14:editId="1ACC36AC">
            <wp:extent cx="5632755" cy="2973003"/>
            <wp:effectExtent l="0" t="0" r="6350" b="0"/>
            <wp:docPr id="169484963" name="图片 3"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963" name="图片 3" descr="图表, 条形图&#10;&#10;AI 生成的内容可能不正确。"/>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237" cy="2975897"/>
                    </a:xfrm>
                    <a:prstGeom prst="rect">
                      <a:avLst/>
                    </a:prstGeom>
                  </pic:spPr>
                </pic:pic>
              </a:graphicData>
            </a:graphic>
          </wp:inline>
        </w:drawing>
      </w:r>
    </w:p>
    <w:p w14:paraId="0036C090" w14:textId="77777777" w:rsidR="00CD5184" w:rsidRPr="00CD5184" w:rsidRDefault="00CD5184" w:rsidP="008F6B60">
      <w:pPr>
        <w:ind w:firstLineChars="0" w:firstLine="0"/>
        <w:jc w:val="center"/>
      </w:pPr>
      <w:r w:rsidRPr="00CD5184">
        <w:t>图</w:t>
      </w:r>
      <w:r w:rsidRPr="00CD5184">
        <w:t>2: PB-ROE</w:t>
      </w:r>
      <w:r w:rsidRPr="00CD5184">
        <w:t>策略</w:t>
      </w:r>
      <w:r w:rsidRPr="00CD5184">
        <w:t xml:space="preserve"> vs. </w:t>
      </w:r>
      <w:r w:rsidRPr="00CD5184">
        <w:t>沪深</w:t>
      </w:r>
      <w:r w:rsidRPr="00CD5184">
        <w:t xml:space="preserve">300 </w:t>
      </w:r>
      <w:r w:rsidRPr="00CD5184">
        <w:t>年度收益率对比</w:t>
      </w:r>
    </w:p>
    <w:p w14:paraId="12F60AA1" w14:textId="77777777" w:rsidR="00262C96" w:rsidRPr="00262C96" w:rsidRDefault="00262C96" w:rsidP="00262C96">
      <w:pPr>
        <w:ind w:firstLine="480"/>
      </w:pPr>
      <w:r w:rsidRPr="00262C96">
        <w:t>通过对年度数据的分析，可以观察到以下几点：</w:t>
      </w:r>
    </w:p>
    <w:p w14:paraId="04026AE1" w14:textId="77777777" w:rsidR="00262C96" w:rsidRPr="00262C96" w:rsidRDefault="00262C96" w:rsidP="00262C96">
      <w:pPr>
        <w:ind w:firstLine="480"/>
      </w:pPr>
      <w:r w:rsidRPr="00262C96">
        <w:t>在上行市场中的表现：在市场整体上涨的年份，例如</w:t>
      </w:r>
      <w:r w:rsidRPr="00262C96">
        <w:t>2014</w:t>
      </w:r>
      <w:r w:rsidRPr="00262C96">
        <w:t>年，策略获得了</w:t>
      </w:r>
      <w:r w:rsidRPr="00262C96">
        <w:t>167.8%</w:t>
      </w:r>
      <w:r w:rsidRPr="00262C96">
        <w:t>的年度收益，显著高于基准</w:t>
      </w:r>
      <w:r w:rsidRPr="00262C96">
        <w:t>50.04%</w:t>
      </w:r>
      <w:r w:rsidRPr="00262C96">
        <w:t>的涨幅。这在一定程度上反映了策略所选的低估值、高盈利股票在市场情绪乐观时可能具备较强的估值修复潜力。</w:t>
      </w:r>
    </w:p>
    <w:p w14:paraId="6BCAE98A" w14:textId="33B43AB9" w:rsidR="00262C96" w:rsidRPr="00262C96" w:rsidRDefault="00262C96" w:rsidP="00262C96">
      <w:pPr>
        <w:ind w:firstLine="480"/>
      </w:pPr>
      <w:r w:rsidRPr="00262C96">
        <w:t>在下行及震荡市场中的表现：在市场整体下跌或震荡的年份，例如</w:t>
      </w:r>
      <w:r w:rsidRPr="00262C96">
        <w:t>201</w:t>
      </w:r>
      <w:r>
        <w:rPr>
          <w:rFonts w:hint="eastAsia"/>
        </w:rPr>
        <w:t>3</w:t>
      </w:r>
      <w:r w:rsidRPr="00262C96">
        <w:t>年、</w:t>
      </w:r>
      <w:r w:rsidRPr="00262C96">
        <w:t>201</w:t>
      </w:r>
      <w:r>
        <w:rPr>
          <w:rFonts w:hint="eastAsia"/>
        </w:rPr>
        <w:t>5</w:t>
      </w:r>
      <w:r w:rsidRPr="00262C96">
        <w:t>年</w:t>
      </w:r>
      <w:r>
        <w:rPr>
          <w:rFonts w:hint="eastAsia"/>
        </w:rPr>
        <w:t>、</w:t>
      </w:r>
      <w:r>
        <w:rPr>
          <w:rFonts w:hint="eastAsia"/>
        </w:rPr>
        <w:t>2021</w:t>
      </w:r>
      <w:r w:rsidRPr="00262C96">
        <w:t>和</w:t>
      </w:r>
      <w:r w:rsidRPr="00262C96">
        <w:t>202</w:t>
      </w:r>
      <w:r>
        <w:rPr>
          <w:rFonts w:hint="eastAsia"/>
        </w:rPr>
        <w:t>3</w:t>
      </w:r>
      <w:r w:rsidRPr="00262C96">
        <w:t>年，策略的回撤幅度</w:t>
      </w:r>
      <w:r>
        <w:rPr>
          <w:rFonts w:hint="eastAsia"/>
        </w:rPr>
        <w:t>比</w:t>
      </w:r>
      <w:r w:rsidRPr="00262C96">
        <w:t>沪深</w:t>
      </w:r>
      <w:r w:rsidRPr="00262C96">
        <w:t>300</w:t>
      </w:r>
      <w:r w:rsidRPr="00262C96">
        <w:t>指数小，显示出一定的相对防御性。</w:t>
      </w:r>
    </w:p>
    <w:p w14:paraId="626E4EFD" w14:textId="518E42C2" w:rsidR="00262C96" w:rsidRPr="00262C96" w:rsidRDefault="00262C96" w:rsidP="00262C96">
      <w:pPr>
        <w:ind w:firstLine="480"/>
      </w:pPr>
      <w:r w:rsidRPr="00262C96">
        <w:t>策略的适用性边界：策略并非在所有年份均能战胜基准。数据显示，在</w:t>
      </w:r>
      <w:r w:rsidRPr="00262C96">
        <w:t>201</w:t>
      </w:r>
      <w:r>
        <w:rPr>
          <w:rFonts w:hint="eastAsia"/>
        </w:rPr>
        <w:t>7</w:t>
      </w:r>
      <w:r>
        <w:rPr>
          <w:rFonts w:hint="eastAsia"/>
        </w:rPr>
        <w:t>到</w:t>
      </w:r>
      <w:r w:rsidRPr="00262C96">
        <w:t>2020</w:t>
      </w:r>
      <w:r w:rsidRPr="00262C96">
        <w:t>年特定市场风格下，策略表现</w:t>
      </w:r>
      <w:r>
        <w:rPr>
          <w:rFonts w:hint="eastAsia"/>
        </w:rPr>
        <w:t>连续四年</w:t>
      </w:r>
      <w:r w:rsidRPr="00262C96">
        <w:t>不及沪深</w:t>
      </w:r>
      <w:r w:rsidRPr="00262C96">
        <w:t>300</w:t>
      </w:r>
      <w:r w:rsidRPr="00262C96">
        <w:t>指数。这一结果表明，</w:t>
      </w:r>
      <w:r w:rsidRPr="00262C96">
        <w:t>PB-ROE</w:t>
      </w:r>
      <w:r w:rsidRPr="00262C96">
        <w:t>策略与其他任何投资策略一样，其有效性存在对特定市场环境的依赖性。</w:t>
      </w:r>
    </w:p>
    <w:p w14:paraId="0252E656" w14:textId="77777777" w:rsidR="00CD5184" w:rsidRPr="00CD5184" w:rsidRDefault="00CD5184" w:rsidP="00CD5184">
      <w:pPr>
        <w:ind w:firstLine="480"/>
      </w:pPr>
      <w:r w:rsidRPr="00CD5184">
        <w:t>结论</w:t>
      </w:r>
    </w:p>
    <w:p w14:paraId="00249595" w14:textId="77777777" w:rsidR="00262C96" w:rsidRPr="00262C96" w:rsidRDefault="00262C96" w:rsidP="00262C96">
      <w:pPr>
        <w:ind w:firstLine="480"/>
      </w:pPr>
      <w:r w:rsidRPr="00262C96">
        <w:t>本章基于</w:t>
      </w:r>
      <w:r w:rsidRPr="00262C96">
        <w:t>PB-ROE</w:t>
      </w:r>
      <w:r w:rsidRPr="00262C96">
        <w:t>估值理论，构建了一个旨在筛选兼具高质量（以</w:t>
      </w:r>
      <w:r w:rsidRPr="00262C96">
        <w:t>ROE</w:t>
      </w:r>
      <w:r w:rsidRPr="00262C96">
        <w:t>衡量）与低估值（以</w:t>
      </w:r>
      <w:r w:rsidRPr="00262C96">
        <w:t>P/B</w:t>
      </w:r>
      <w:r w:rsidRPr="00262C96">
        <w:t>衡量）特征股票的量化投资策略。通过对</w:t>
      </w:r>
      <w:r w:rsidRPr="00262C96">
        <w:t>2010</w:t>
      </w:r>
      <w:r w:rsidRPr="00262C96">
        <w:t>年至</w:t>
      </w:r>
      <w:r w:rsidRPr="00262C96">
        <w:t>2025</w:t>
      </w:r>
      <w:r w:rsidRPr="00262C96">
        <w:t>年长达</w:t>
      </w:r>
      <w:r w:rsidRPr="00262C96">
        <w:t>15</w:t>
      </w:r>
      <w:r w:rsidRPr="00262C96">
        <w:t>年的历史数据进行回测，我们对该策略在</w:t>
      </w:r>
      <w:r w:rsidRPr="00262C96">
        <w:t>A</w:t>
      </w:r>
      <w:r w:rsidRPr="00262C96">
        <w:t>股市场的有效性进行了实证检验。</w:t>
      </w:r>
    </w:p>
    <w:p w14:paraId="168B24F0" w14:textId="77777777" w:rsidR="00262C96" w:rsidRPr="00262C96" w:rsidRDefault="00262C96" w:rsidP="00262C96">
      <w:pPr>
        <w:ind w:firstLine="480"/>
      </w:pPr>
      <w:r w:rsidRPr="00262C96">
        <w:t>回测结果表明，在不考虑交易成本的情况下，该策略在长周期内实现了超越沪深</w:t>
      </w:r>
      <w:r w:rsidRPr="00262C96">
        <w:t>300</w:t>
      </w:r>
      <w:r w:rsidRPr="00262C96">
        <w:t>指数的累计收益。这一实证结果为本章开篇提出的核心逻辑</w:t>
      </w:r>
      <w:r w:rsidRPr="00262C96">
        <w:t>——</w:t>
      </w:r>
      <w:r w:rsidRPr="00262C96">
        <w:t>即更高的盈利能力理应获得更高的估值，而市场定价偏差为此提供了投资机会</w:t>
      </w:r>
      <w:r w:rsidRPr="00262C96">
        <w:t>——</w:t>
      </w:r>
      <w:r w:rsidRPr="00262C96">
        <w:t>提供了一定的数据支持。</w:t>
      </w:r>
    </w:p>
    <w:p w14:paraId="7314BA51" w14:textId="77777777" w:rsidR="00262C96" w:rsidRPr="00262C96" w:rsidRDefault="00262C96" w:rsidP="00262C96">
      <w:pPr>
        <w:ind w:firstLine="480"/>
      </w:pPr>
      <w:r w:rsidRPr="00262C96">
        <w:t>然而，分析过程也揭示了该策略的风险特征与局限性。策略的年化波动率与最大回撤绝对值均处于较高水平，并且其表现在特定年份会落后于市场基准，这说明策略的有效性与市场风格存在关联。</w:t>
      </w:r>
    </w:p>
    <w:p w14:paraId="7D3CA74B" w14:textId="77777777" w:rsidR="00262C96" w:rsidRPr="00262C96" w:rsidRDefault="00262C96" w:rsidP="00262C96">
      <w:pPr>
        <w:ind w:firstLine="480"/>
      </w:pPr>
      <w:r w:rsidRPr="00262C96">
        <w:t>综上所述，</w:t>
      </w:r>
      <w:r w:rsidRPr="00262C96">
        <w:t>PB-ROE</w:t>
      </w:r>
      <w:r w:rsidRPr="00262C96">
        <w:t>策略作为一种系统化的价值投资方法，其历史回测表现验证了模型在</w:t>
      </w:r>
      <w:r w:rsidRPr="00262C96">
        <w:t>A</w:t>
      </w:r>
      <w:r w:rsidRPr="00262C96">
        <w:t>股市场的长期有效性和获取超额收益的潜力。</w:t>
      </w:r>
    </w:p>
    <w:p w14:paraId="5655D4D6" w14:textId="77777777" w:rsidR="00616F2A" w:rsidRPr="00262C96" w:rsidRDefault="00616F2A" w:rsidP="008F6B60">
      <w:pPr>
        <w:ind w:firstLine="480"/>
      </w:pPr>
    </w:p>
    <w:p w14:paraId="4B99C83E" w14:textId="77777777" w:rsidR="008773EE" w:rsidRPr="008773EE" w:rsidRDefault="008773EE" w:rsidP="00B42523">
      <w:pPr>
        <w:ind w:left="62" w:firstLineChars="0" w:firstLine="420"/>
        <w:outlineLvl w:val="0"/>
        <w:rPr>
          <w:b/>
          <w:bCs/>
          <w:sz w:val="36"/>
          <w:szCs w:val="36"/>
        </w:rPr>
      </w:pPr>
      <w:r w:rsidRPr="008773EE">
        <w:rPr>
          <w:b/>
          <w:bCs/>
          <w:sz w:val="36"/>
          <w:szCs w:val="36"/>
        </w:rPr>
        <w:t>第二章</w:t>
      </w:r>
      <w:r w:rsidRPr="008773EE">
        <w:rPr>
          <w:b/>
          <w:bCs/>
          <w:sz w:val="36"/>
          <w:szCs w:val="36"/>
        </w:rPr>
        <w:t xml:space="preserve"> PB-ROE</w:t>
      </w:r>
      <w:r w:rsidRPr="008773EE">
        <w:rPr>
          <w:b/>
          <w:bCs/>
          <w:sz w:val="36"/>
          <w:szCs w:val="36"/>
        </w:rPr>
        <w:t>策略的优化与改进</w:t>
      </w:r>
    </w:p>
    <w:p w14:paraId="68AD66C7" w14:textId="05DDFA19" w:rsidR="00B42523" w:rsidRPr="00B42523" w:rsidRDefault="00B42523" w:rsidP="00B42523">
      <w:pPr>
        <w:ind w:firstLine="482"/>
        <w:rPr>
          <w:rFonts w:hint="eastAsia"/>
          <w:b/>
          <w:bCs/>
        </w:rPr>
      </w:pPr>
      <w:r w:rsidRPr="00B42523">
        <w:rPr>
          <w:rFonts w:hint="eastAsia"/>
          <w:b/>
          <w:bCs/>
        </w:rPr>
        <w:t>策略改进一：引入行业中性化</w:t>
      </w:r>
    </w:p>
    <w:p w14:paraId="5F4CCD9D" w14:textId="77777777" w:rsidR="00B42523" w:rsidRDefault="00B42523" w:rsidP="00B42523">
      <w:pPr>
        <w:ind w:firstLine="480"/>
      </w:pPr>
      <w:r>
        <w:rPr>
          <w:rFonts w:hint="eastAsia"/>
        </w:rPr>
        <w:t>在第一章中，我们构建了一个基础的</w:t>
      </w:r>
      <w:r>
        <w:rPr>
          <w:rFonts w:hint="eastAsia"/>
        </w:rPr>
        <w:t xml:space="preserve"> PB-ROE </w:t>
      </w:r>
      <w:r>
        <w:rPr>
          <w:rFonts w:hint="eastAsia"/>
        </w:rPr>
        <w:t>策略。该策略的核心思想是在全市场范围内，寻找那些具备高盈利能力（高</w:t>
      </w:r>
      <w:r>
        <w:rPr>
          <w:rFonts w:hint="eastAsia"/>
        </w:rPr>
        <w:t xml:space="preserve"> ROE</w:t>
      </w:r>
      <w:r>
        <w:rPr>
          <w:rFonts w:hint="eastAsia"/>
        </w:rPr>
        <w:t>）但估值相对较低（低</w:t>
      </w:r>
      <w:r>
        <w:rPr>
          <w:rFonts w:hint="eastAsia"/>
        </w:rPr>
        <w:t xml:space="preserve"> P/B</w:t>
      </w:r>
      <w:r>
        <w:rPr>
          <w:rFonts w:hint="eastAsia"/>
        </w:rPr>
        <w:t>）的公司。然而，这种“一刀切”的筛选方法存在一个潜在的风险：它可能会导致投资组合在行业配置上出现显著的偏离，无意中对某些特定行业进行了大规模的押注。</w:t>
      </w:r>
    </w:p>
    <w:p w14:paraId="13E81171" w14:textId="53D74B65" w:rsidR="00B42523" w:rsidRDefault="00B42523" w:rsidP="00B42523">
      <w:pPr>
        <w:ind w:firstLineChars="0" w:firstLine="0"/>
        <w:jc w:val="center"/>
        <w:rPr>
          <w:rFonts w:hint="eastAsia"/>
        </w:rPr>
      </w:pPr>
      <w:r>
        <w:rPr>
          <w:rFonts w:hint="eastAsia"/>
          <w:noProof/>
        </w:rPr>
        <w:drawing>
          <wp:inline distT="0" distB="0" distL="0" distR="0" wp14:anchorId="05744C9E" wp14:editId="43B0484C">
            <wp:extent cx="6188710" cy="3823335"/>
            <wp:effectExtent l="0" t="0" r="2540" b="5715"/>
            <wp:docPr id="140150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7687" name="图片 14015076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823335"/>
                    </a:xfrm>
                    <a:prstGeom prst="rect">
                      <a:avLst/>
                    </a:prstGeom>
                  </pic:spPr>
                </pic:pic>
              </a:graphicData>
            </a:graphic>
          </wp:inline>
        </w:drawing>
      </w:r>
    </w:p>
    <w:p w14:paraId="1DCBDA9D" w14:textId="77777777" w:rsidR="00F87BCD" w:rsidRDefault="00F87BCD" w:rsidP="00B42523">
      <w:pPr>
        <w:ind w:firstLine="480"/>
      </w:pPr>
    </w:p>
    <w:p w14:paraId="575F5724" w14:textId="4C9F7EAF" w:rsidR="00B42523" w:rsidRDefault="00B42523" w:rsidP="00B42523">
      <w:pPr>
        <w:ind w:firstLine="480"/>
        <w:rPr>
          <w:rFonts w:hint="eastAsia"/>
        </w:rPr>
      </w:pPr>
      <w:r>
        <w:rPr>
          <w:rFonts w:hint="eastAsia"/>
        </w:rPr>
        <w:t>例如，在某一时期，银行或能源等周期性行业可能普遍呈现出低</w:t>
      </w:r>
      <w:r>
        <w:rPr>
          <w:rFonts w:hint="eastAsia"/>
        </w:rPr>
        <w:t xml:space="preserve"> P/B </w:t>
      </w:r>
      <w:r>
        <w:rPr>
          <w:rFonts w:hint="eastAsia"/>
        </w:rPr>
        <w:t>和相对稳健的</w:t>
      </w:r>
      <w:r>
        <w:rPr>
          <w:rFonts w:hint="eastAsia"/>
        </w:rPr>
        <w:t xml:space="preserve"> ROE</w:t>
      </w:r>
      <w:r>
        <w:rPr>
          <w:rFonts w:hint="eastAsia"/>
        </w:rPr>
        <w:t>，导致策略筛选出的股票高度集中于这些行业。反之，一些成长性较高的行业，如科技或医疗，其固有的高估值水平可能会使它们在全市场排序中处于不利地位，从而被系统性地排除在投资组合之外。</w:t>
      </w:r>
    </w:p>
    <w:p w14:paraId="0D76AE66" w14:textId="61EBEA40" w:rsidR="00B42523" w:rsidRDefault="00B42523" w:rsidP="00B42523">
      <w:pPr>
        <w:ind w:firstLine="480"/>
        <w:rPr>
          <w:rFonts w:hint="eastAsia"/>
        </w:rPr>
      </w:pPr>
      <w:r>
        <w:rPr>
          <w:rFonts w:hint="eastAsia"/>
        </w:rPr>
        <w:t>这种对行业的无意识“豪赌”，会使策略的整体表现与特定行业的景气周期高度绑定。当行业风向逆转时，组合可能面临巨大的回撤风险。我们追求的超额收益，应当主要源于在同类企业中“择优”的能力，而非依赖于对行业未来走势的投机性判断。</w:t>
      </w:r>
    </w:p>
    <w:p w14:paraId="6F8076E8" w14:textId="77777777" w:rsidR="00B42523" w:rsidRDefault="00B42523" w:rsidP="00B42523">
      <w:pPr>
        <w:ind w:firstLine="480"/>
      </w:pPr>
      <w:r>
        <w:rPr>
          <w:rFonts w:hint="eastAsia"/>
        </w:rPr>
        <w:lastRenderedPageBreak/>
        <w:t>为了解决这一问题，我们对基础策略进行第一个关键改进：引入行业中性化约束</w:t>
      </w:r>
      <w:r>
        <w:rPr>
          <w:rFonts w:hint="eastAsia"/>
        </w:rPr>
        <w:t xml:space="preserve"> (Industry Neutralization)</w:t>
      </w:r>
      <w:r>
        <w:rPr>
          <w:rFonts w:hint="eastAsia"/>
        </w:rPr>
        <w:t>。</w:t>
      </w:r>
    </w:p>
    <w:p w14:paraId="698890EE" w14:textId="77777777" w:rsidR="00F87BCD" w:rsidRPr="00F87BCD" w:rsidRDefault="00F87BCD" w:rsidP="00F87BCD">
      <w:pPr>
        <w:ind w:firstLine="482"/>
        <w:rPr>
          <w:b/>
          <w:bCs/>
        </w:rPr>
      </w:pPr>
      <w:r w:rsidRPr="00F87BCD">
        <w:rPr>
          <w:b/>
          <w:bCs/>
        </w:rPr>
        <w:t>核心的改进逻辑如下：</w:t>
      </w:r>
    </w:p>
    <w:p w14:paraId="372CF2CC" w14:textId="77777777" w:rsidR="00F87BCD" w:rsidRPr="00F87BCD" w:rsidRDefault="00F87BCD" w:rsidP="00F87BCD">
      <w:pPr>
        <w:ind w:firstLine="480"/>
      </w:pPr>
      <w:r w:rsidRPr="00F87BCD">
        <w:t>分组处理：我们不再将所有</w:t>
      </w:r>
      <w:r w:rsidRPr="00F87BCD">
        <w:t>A</w:t>
      </w:r>
      <w:r w:rsidRPr="00F87BCD">
        <w:t>股市场的公司放在同一个池子里进行比较和排序。取而代之的是，我们将股票按其所属行业（例如，根据证监会一级行业分类）进行分组。</w:t>
      </w:r>
    </w:p>
    <w:p w14:paraId="526B4B02" w14:textId="77777777" w:rsidR="00F87BCD" w:rsidRPr="00F87BCD" w:rsidRDefault="00F87BCD" w:rsidP="00F87BCD">
      <w:pPr>
        <w:ind w:firstLine="480"/>
      </w:pPr>
      <w:r w:rsidRPr="00F87BCD">
        <w:t>行业内排序：在每个报告期，我们在每一个独立的行业内部，根据</w:t>
      </w:r>
      <w:r w:rsidRPr="00F87BCD">
        <w:t xml:space="preserve"> PB-ROE </w:t>
      </w:r>
      <w:r w:rsidRPr="00F87BCD">
        <w:t>的标准进行排序和筛选。具体而言，我们寻找每个行业中</w:t>
      </w:r>
      <w:r w:rsidRPr="00F87BCD">
        <w:t xml:space="preserve"> ROE </w:t>
      </w:r>
      <w:r w:rsidRPr="00F87BCD">
        <w:t>排名靠前、同时</w:t>
      </w:r>
      <w:r w:rsidRPr="00F87BCD">
        <w:t xml:space="preserve"> P/B </w:t>
      </w:r>
      <w:r w:rsidRPr="00F87BCD">
        <w:t>排名也靠前的那些公司。</w:t>
      </w:r>
    </w:p>
    <w:p w14:paraId="79296FD4" w14:textId="77777777" w:rsidR="00F87BCD" w:rsidRPr="00F87BCD" w:rsidRDefault="00F87BCD" w:rsidP="00F87BCD">
      <w:pPr>
        <w:ind w:firstLine="480"/>
      </w:pPr>
      <w:r w:rsidRPr="00F87BCD">
        <w:t>构建组合：通过在每个行业内都挑选出综合排名最靠前的标的，我们最终构建的投资组合，在行业权重上能够更贴近市场整体的分布，从而避免了对单一行业的过度暴露。</w:t>
      </w:r>
    </w:p>
    <w:p w14:paraId="45B40BA1" w14:textId="77777777" w:rsidR="00F87BCD" w:rsidRDefault="00F87BCD" w:rsidP="00F87BCD">
      <w:pPr>
        <w:ind w:firstLine="480"/>
      </w:pPr>
      <w:r w:rsidRPr="00F87BCD">
        <w:t>通过实施行业中性化，我们的策略目标变得更加纯粹：在控制行业风险敞口的前提下，专注于发掘每个行业内部最具性价比的个股。这不仅有助于降低组合的波动性，提升风险调整后收益（如夏普比率），也使得策略的长期表现更加稳健和可预测。</w:t>
      </w:r>
    </w:p>
    <w:p w14:paraId="514A41AF" w14:textId="2FB6E3CF" w:rsidR="00183DB9" w:rsidRPr="00F87BCD" w:rsidRDefault="00D05F80" w:rsidP="00D05F80">
      <w:pPr>
        <w:ind w:firstLineChars="0" w:firstLine="0"/>
        <w:jc w:val="center"/>
        <w:rPr>
          <w:rFonts w:hint="eastAsia"/>
        </w:rPr>
      </w:pPr>
      <w:r>
        <w:rPr>
          <w:rFonts w:hint="eastAsia"/>
          <w:noProof/>
        </w:rPr>
        <w:drawing>
          <wp:inline distT="0" distB="0" distL="0" distR="0" wp14:anchorId="164E5238" wp14:editId="237DA009">
            <wp:extent cx="6188710" cy="3798570"/>
            <wp:effectExtent l="0" t="0" r="2540" b="0"/>
            <wp:docPr id="5255472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7200" name="图片 5255472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798570"/>
                    </a:xfrm>
                    <a:prstGeom prst="rect">
                      <a:avLst/>
                    </a:prstGeom>
                  </pic:spPr>
                </pic:pic>
              </a:graphicData>
            </a:graphic>
          </wp:inline>
        </w:drawing>
      </w:r>
    </w:p>
    <w:p w14:paraId="0063107E" w14:textId="77777777" w:rsidR="00F87BCD" w:rsidRDefault="00F87BCD" w:rsidP="00F87BCD">
      <w:pPr>
        <w:ind w:firstLine="480"/>
        <w:rPr>
          <w:rFonts w:hint="eastAsia"/>
        </w:rPr>
      </w:pPr>
      <w:r>
        <w:rPr>
          <w:rFonts w:hint="eastAsia"/>
        </w:rPr>
        <w:t>为了验证行业中性化改进的有效性，我们对原始策略和行业中性策略在</w:t>
      </w:r>
      <w:r>
        <w:rPr>
          <w:rFonts w:hint="eastAsia"/>
        </w:rPr>
        <w:t>2010</w:t>
      </w:r>
      <w:r>
        <w:rPr>
          <w:rFonts w:hint="eastAsia"/>
        </w:rPr>
        <w:t>年</w:t>
      </w:r>
      <w:r>
        <w:rPr>
          <w:rFonts w:hint="eastAsia"/>
        </w:rPr>
        <w:t>5</w:t>
      </w:r>
      <w:r>
        <w:rPr>
          <w:rFonts w:hint="eastAsia"/>
        </w:rPr>
        <w:t>月至</w:t>
      </w:r>
      <w:r>
        <w:rPr>
          <w:rFonts w:hint="eastAsia"/>
        </w:rPr>
        <w:t>2025</w:t>
      </w:r>
      <w:r>
        <w:rPr>
          <w:rFonts w:hint="eastAsia"/>
        </w:rPr>
        <w:t>年</w:t>
      </w:r>
      <w:r>
        <w:rPr>
          <w:rFonts w:hint="eastAsia"/>
        </w:rPr>
        <w:t>4</w:t>
      </w:r>
      <w:r>
        <w:rPr>
          <w:rFonts w:hint="eastAsia"/>
        </w:rPr>
        <w:t>月这一长达</w:t>
      </w:r>
      <w:r>
        <w:rPr>
          <w:rFonts w:hint="eastAsia"/>
        </w:rPr>
        <w:t>15</w:t>
      </w:r>
      <w:r>
        <w:rPr>
          <w:rFonts w:hint="eastAsia"/>
        </w:rPr>
        <w:t>年的区间内进行了回测，并与沪深</w:t>
      </w:r>
      <w:r>
        <w:rPr>
          <w:rFonts w:hint="eastAsia"/>
        </w:rPr>
        <w:t>300</w:t>
      </w:r>
      <w:r>
        <w:rPr>
          <w:rFonts w:hint="eastAsia"/>
        </w:rPr>
        <w:t>指数进行对比。</w:t>
      </w:r>
    </w:p>
    <w:p w14:paraId="737C5343" w14:textId="614C147A" w:rsidR="00F87BCD" w:rsidRDefault="00F87BCD" w:rsidP="00F87BCD">
      <w:pPr>
        <w:ind w:firstLineChars="0" w:firstLine="0"/>
        <w:jc w:val="center"/>
      </w:pPr>
      <w:r>
        <w:rPr>
          <w:noProof/>
        </w:rPr>
        <w:lastRenderedPageBreak/>
        <w:drawing>
          <wp:inline distT="0" distB="0" distL="0" distR="0" wp14:anchorId="3EBA64D0" wp14:editId="103F84F9">
            <wp:extent cx="6188710" cy="3020695"/>
            <wp:effectExtent l="0" t="0" r="2540" b="8255"/>
            <wp:docPr id="7912949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94937" name="图片 7912949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020695"/>
                    </a:xfrm>
                    <a:prstGeom prst="rect">
                      <a:avLst/>
                    </a:prstGeom>
                  </pic:spPr>
                </pic:pic>
              </a:graphicData>
            </a:graphic>
          </wp:inline>
        </w:drawing>
      </w:r>
    </w:p>
    <w:p w14:paraId="039338F7" w14:textId="77777777" w:rsidR="00F87BCD" w:rsidRDefault="00F87BCD" w:rsidP="00F87BCD">
      <w:pPr>
        <w:ind w:firstLine="480"/>
        <w:rPr>
          <w:rFonts w:hint="eastAsia"/>
        </w:rPr>
      </w:pPr>
      <w:r>
        <w:rPr>
          <w:rFonts w:hint="eastAsia"/>
        </w:rPr>
        <w:t>首先，我们观察两个策略与基准的累计收益曲线。</w:t>
      </w:r>
    </w:p>
    <w:p w14:paraId="2511EC5C" w14:textId="77777777" w:rsidR="00F87BCD" w:rsidRDefault="00F87BCD" w:rsidP="00F87BCD">
      <w:pPr>
        <w:ind w:firstLine="480"/>
        <w:rPr>
          <w:rFonts w:hint="eastAsia"/>
        </w:rPr>
      </w:pPr>
      <w:r>
        <w:rPr>
          <w:rFonts w:hint="eastAsia"/>
        </w:rPr>
        <w:t>从上图可以直观地看到，两个策略在整个回测期间均大幅战胜了沪深</w:t>
      </w:r>
      <w:r>
        <w:rPr>
          <w:rFonts w:hint="eastAsia"/>
        </w:rPr>
        <w:t>300</w:t>
      </w:r>
      <w:r>
        <w:rPr>
          <w:rFonts w:hint="eastAsia"/>
        </w:rPr>
        <w:t>指数，证明了</w:t>
      </w:r>
      <w:r>
        <w:rPr>
          <w:rFonts w:hint="eastAsia"/>
        </w:rPr>
        <w:t>PB-ROE</w:t>
      </w:r>
      <w:r>
        <w:rPr>
          <w:rFonts w:hint="eastAsia"/>
        </w:rPr>
        <w:t>框架的长期有效性。对比两条策略曲线，我们可以发现：</w:t>
      </w:r>
    </w:p>
    <w:p w14:paraId="4CBE1EA4" w14:textId="77777777" w:rsidR="00F87BCD" w:rsidRDefault="00F87BCD" w:rsidP="00F87BCD">
      <w:pPr>
        <w:ind w:firstLine="480"/>
        <w:rPr>
          <w:rFonts w:hint="eastAsia"/>
        </w:rPr>
      </w:pPr>
      <w:r>
        <w:rPr>
          <w:rFonts w:hint="eastAsia"/>
        </w:rPr>
        <w:t>长期收益相当：在长达</w:t>
      </w:r>
      <w:r>
        <w:rPr>
          <w:rFonts w:hint="eastAsia"/>
        </w:rPr>
        <w:t>15</w:t>
      </w:r>
      <w:r>
        <w:rPr>
          <w:rFonts w:hint="eastAsia"/>
        </w:rPr>
        <w:t>年的维度上，行业中性策略（绿色线）的最终累计收益略高于原始策略（蓝色线），但两者在数量级上非常接近。这表明，进行行业中性约束并未以牺牲长期回报为代价。</w:t>
      </w:r>
    </w:p>
    <w:p w14:paraId="04634C27" w14:textId="77777777" w:rsidR="00F87BCD" w:rsidRDefault="00F87BCD" w:rsidP="00F87BCD">
      <w:pPr>
        <w:ind w:firstLine="480"/>
        <w:rPr>
          <w:rFonts w:hint="eastAsia"/>
        </w:rPr>
      </w:pPr>
      <w:r>
        <w:rPr>
          <w:rFonts w:hint="eastAsia"/>
        </w:rPr>
        <w:t>过程波动可能更优：在多个市场阶段，特别是</w:t>
      </w:r>
      <w:r>
        <w:rPr>
          <w:rFonts w:hint="eastAsia"/>
        </w:rPr>
        <w:t>2015</w:t>
      </w:r>
      <w:r>
        <w:rPr>
          <w:rFonts w:hint="eastAsia"/>
        </w:rPr>
        <w:t>年后，行业中性策略的净值曲线似乎表现出更强的韧性，其回撤幅度在视觉上略小于原始策略。这初步印证了我们的假设，即分散行业风险有助于平滑收益曲线。</w:t>
      </w:r>
    </w:p>
    <w:p w14:paraId="024913FB" w14:textId="2B95C481" w:rsidR="00143EFC" w:rsidRPr="00F87BCD" w:rsidRDefault="00F87BCD" w:rsidP="00F87BCD">
      <w:pPr>
        <w:ind w:firstLine="480"/>
      </w:pPr>
      <w:r>
        <w:rPr>
          <w:rFonts w:hint="eastAsia"/>
        </w:rPr>
        <w:t>为了更清晰地观察两个策略在不同市场环境下的表现差异，我们进一步对比了它们的年度收益率。</w:t>
      </w:r>
      <w:r w:rsidRPr="00F87BCD">
        <w:t>年度收益对比柱状图为我们揭示了更多细节：</w:t>
      </w:r>
    </w:p>
    <w:p w14:paraId="5CD4412D" w14:textId="1E4D773D" w:rsidR="00143EFC" w:rsidRDefault="00F87BCD" w:rsidP="00F87BCD">
      <w:pPr>
        <w:ind w:firstLineChars="0" w:firstLine="0"/>
      </w:pPr>
      <w:r>
        <w:rPr>
          <w:noProof/>
        </w:rPr>
        <w:lastRenderedPageBreak/>
        <w:drawing>
          <wp:inline distT="0" distB="0" distL="0" distR="0" wp14:anchorId="1CE4261F" wp14:editId="1C9EB983">
            <wp:extent cx="6188710" cy="3236595"/>
            <wp:effectExtent l="0" t="0" r="2540" b="1905"/>
            <wp:docPr id="874553541" name="图片 3"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3541" name="图片 3" descr="图表&#10;&#10;AI 生成的内容可能不正确。"/>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8710" cy="3236595"/>
                    </a:xfrm>
                    <a:prstGeom prst="rect">
                      <a:avLst/>
                    </a:prstGeom>
                  </pic:spPr>
                </pic:pic>
              </a:graphicData>
            </a:graphic>
          </wp:inline>
        </w:drawing>
      </w:r>
    </w:p>
    <w:p w14:paraId="7E26ACA5" w14:textId="77777777" w:rsidR="00F87BCD" w:rsidRPr="00F87BCD" w:rsidRDefault="00F87BCD" w:rsidP="00F87BCD">
      <w:pPr>
        <w:ind w:firstLine="480"/>
      </w:pPr>
      <w:r w:rsidRPr="00F87BCD">
        <w:t>从年度数据中，我们可以得出更明确的结论：</w:t>
      </w:r>
    </w:p>
    <w:p w14:paraId="2CBA2DC1" w14:textId="77777777" w:rsidR="00F87BCD" w:rsidRPr="00F87BCD" w:rsidRDefault="00F87BCD" w:rsidP="00F87BCD">
      <w:pPr>
        <w:ind w:firstLine="480"/>
      </w:pPr>
      <w:r w:rsidRPr="00F87BCD">
        <w:t>下行风险控制更佳：在市场整体表现不佳的年份，行业中性策略展现出了显著的优势。尤其是在</w:t>
      </w:r>
      <w:r w:rsidRPr="00F87BCD">
        <w:t>2015</w:t>
      </w:r>
      <w:r w:rsidRPr="00F87BCD">
        <w:t>年的市场剧烈调整中，原始策略回撤了</w:t>
      </w:r>
      <w:r w:rsidRPr="00F87BCD">
        <w:t>-22.5%</w:t>
      </w:r>
      <w:r w:rsidRPr="00F87BCD">
        <w:t>，而行业中性策略的回撤仅为</w:t>
      </w:r>
      <w:r w:rsidRPr="00F87BCD">
        <w:t>-16.6%</w:t>
      </w:r>
      <w:r w:rsidRPr="00F87BCD">
        <w:t>，少跌了近</w:t>
      </w:r>
      <w:r w:rsidRPr="00F87BCD">
        <w:t>6</w:t>
      </w:r>
      <w:r w:rsidRPr="00F87BCD">
        <w:t>个百分点。同样，在</w:t>
      </w:r>
      <w:r w:rsidRPr="00F87BCD">
        <w:t>2019</w:t>
      </w:r>
      <w:r w:rsidRPr="00F87BCD">
        <w:t>年的震荡市中，行业中性策略的亏损也明显小于原始策略。这有力地证明了，避免对单一行业的过度集中，确实能有效抵御系统性风险和行业性风险。</w:t>
      </w:r>
    </w:p>
    <w:p w14:paraId="7D7A09AB" w14:textId="77777777" w:rsidR="00F87BCD" w:rsidRPr="00F87BCD" w:rsidRDefault="00F87BCD" w:rsidP="00F87BCD">
      <w:pPr>
        <w:ind w:firstLine="480"/>
      </w:pPr>
      <w:r w:rsidRPr="00F87BCD">
        <w:t>牛市中的取舍：在</w:t>
      </w:r>
      <w:r w:rsidRPr="00F87BCD">
        <w:t>2014</w:t>
      </w:r>
      <w:r w:rsidRPr="00F87BCD">
        <w:t>年的极端牛市中，原始策略取得了</w:t>
      </w:r>
      <w:r w:rsidRPr="00F87BCD">
        <w:t>167.8%</w:t>
      </w:r>
      <w:r w:rsidRPr="00F87BCD">
        <w:t>的惊人收益，高于行业中性策略的</w:t>
      </w:r>
      <w:r w:rsidRPr="00F87BCD">
        <w:t>156.3%</w:t>
      </w:r>
      <w:r w:rsidRPr="00F87BCD">
        <w:t>。这恰恰反映了行业中性化的代价：当市场由少数几个</w:t>
      </w:r>
      <w:r w:rsidRPr="00F87BCD">
        <w:t>“</w:t>
      </w:r>
      <w:r w:rsidRPr="00F87BCD">
        <w:t>风口</w:t>
      </w:r>
      <w:r w:rsidRPr="00F87BCD">
        <w:t>”</w:t>
      </w:r>
      <w:r w:rsidRPr="00F87BCD">
        <w:t>行业（如当年的金融、基建）驱动时，原始策略由于对这些行业进行了无意识的重仓，从而获得了更高的弹性；而行业中性策略通过分散配置，放弃了这种极端的上行敞口，以换取更稳健的跨周期表现。</w:t>
      </w:r>
    </w:p>
    <w:p w14:paraId="4DD1ED0A" w14:textId="77777777" w:rsidR="00F87BCD" w:rsidRPr="00F87BCD" w:rsidRDefault="00F87BCD" w:rsidP="00F87BCD">
      <w:pPr>
        <w:ind w:firstLine="480"/>
      </w:pPr>
      <w:r w:rsidRPr="00F87BCD">
        <w:t>多数年份表现稳健：在其他大多数年份，两个策略的表现非常接近，互有胜负。但总体来看，行业中性策略在获得正收益的年份里，表现不输于原始策略，而在负收益年份里，则往往能控制住回撤。</w:t>
      </w:r>
    </w:p>
    <w:p w14:paraId="7E99F649" w14:textId="738A52FD" w:rsidR="00F87BCD" w:rsidRPr="00F87BCD" w:rsidRDefault="00F87BCD" w:rsidP="00F87BCD">
      <w:pPr>
        <w:ind w:firstLine="482"/>
        <w:rPr>
          <w:b/>
          <w:bCs/>
        </w:rPr>
      </w:pPr>
      <w:r w:rsidRPr="00F87BCD">
        <w:rPr>
          <w:rFonts w:hint="eastAsia"/>
          <w:b/>
          <w:bCs/>
        </w:rPr>
        <w:t>小结</w:t>
      </w:r>
    </w:p>
    <w:p w14:paraId="5FD9AA89" w14:textId="2EE0BC06" w:rsidR="00F87BCD" w:rsidRPr="00F87BCD" w:rsidRDefault="00F87BCD" w:rsidP="00F87BCD">
      <w:pPr>
        <w:ind w:firstLine="480"/>
      </w:pPr>
      <w:r w:rsidRPr="00F87BCD">
        <w:t>综合来看，引入行业中性化是一次成功的策略改进。它有效地解决了原始策略可能存在的行业过度集中的问题，显著提升了策略的风险控制能力，尤其是在熊市和震荡市中的防御能力。虽然这可能意味着在某些极端牛市中会牺牲一部分潜在的超额收益，但从构建一个长期、稳健、可复制的投资框架的角度来看，这种取舍是完全值得的。</w:t>
      </w:r>
    </w:p>
    <w:p w14:paraId="3C70233C" w14:textId="77777777" w:rsidR="00F87BCD" w:rsidRPr="00F87BCD" w:rsidRDefault="00F87BCD" w:rsidP="00F87BCD">
      <w:pPr>
        <w:ind w:firstLine="480"/>
      </w:pPr>
      <w:r w:rsidRPr="00F87BCD">
        <w:t>通过行业中性化，策略的超额收益来源更加清晰地聚焦于</w:t>
      </w:r>
      <w:r w:rsidRPr="00F87BCD">
        <w:t>“</w:t>
      </w:r>
      <w:r w:rsidRPr="00F87BCD">
        <w:t>在每个行业内选出好公司</w:t>
      </w:r>
      <w:r w:rsidRPr="00F87BCD">
        <w:t>”</w:t>
      </w:r>
      <w:r w:rsidRPr="00F87BCD">
        <w:t>这一核心能力上，而非依赖于对行业景气周期的被动押注。这使得策略的逻辑更严谨，表现也更具可持续性，为我们后续的进一步优化打下了坚实的基础。</w:t>
      </w:r>
    </w:p>
    <w:p w14:paraId="10807D4B" w14:textId="77777777" w:rsidR="00F87BCD" w:rsidRPr="00F87BCD" w:rsidRDefault="00F87BCD" w:rsidP="008773EE">
      <w:pPr>
        <w:ind w:firstLine="480"/>
      </w:pPr>
    </w:p>
    <w:p w14:paraId="13EDE829" w14:textId="77777777" w:rsidR="00F87BCD" w:rsidRPr="008773EE" w:rsidRDefault="00F87BCD" w:rsidP="008773EE">
      <w:pPr>
        <w:ind w:firstLine="480"/>
        <w:rPr>
          <w:rFonts w:hint="eastAsia"/>
        </w:rPr>
      </w:pPr>
    </w:p>
    <w:p w14:paraId="762F89A5" w14:textId="77777777" w:rsidR="008773EE" w:rsidRPr="008773EE" w:rsidRDefault="008773EE" w:rsidP="008773EE">
      <w:pPr>
        <w:ind w:firstLine="482"/>
        <w:rPr>
          <w:b/>
          <w:bCs/>
        </w:rPr>
      </w:pPr>
      <w:r w:rsidRPr="008773EE">
        <w:rPr>
          <w:b/>
          <w:bCs/>
        </w:rPr>
        <w:t>改进方向二：依据财报披露节奏进行季度调仓</w:t>
      </w:r>
    </w:p>
    <w:p w14:paraId="18C07255" w14:textId="77777777" w:rsidR="008773EE" w:rsidRPr="008773EE" w:rsidRDefault="008773EE" w:rsidP="008773EE">
      <w:pPr>
        <w:ind w:firstLine="482"/>
      </w:pPr>
      <w:r w:rsidRPr="008773EE">
        <w:rPr>
          <w:b/>
          <w:bCs/>
        </w:rPr>
        <w:t xml:space="preserve">1. </w:t>
      </w:r>
      <w:r w:rsidRPr="008773EE">
        <w:rPr>
          <w:b/>
          <w:bCs/>
        </w:rPr>
        <w:t>基础策略的不足</w:t>
      </w:r>
    </w:p>
    <w:p w14:paraId="29EEF63B" w14:textId="77777777" w:rsidR="008773EE" w:rsidRPr="008773EE" w:rsidRDefault="008773EE" w:rsidP="008773EE">
      <w:pPr>
        <w:ind w:firstLine="480"/>
      </w:pPr>
      <w:r w:rsidRPr="008773EE">
        <w:t>基础策略采用每年</w:t>
      </w:r>
      <w:r w:rsidRPr="008773EE">
        <w:t>5</w:t>
      </w:r>
      <w:r w:rsidRPr="008773EE">
        <w:t>月</w:t>
      </w:r>
      <w:r w:rsidRPr="008773EE">
        <w:t>1</w:t>
      </w:r>
      <w:r w:rsidRPr="008773EE">
        <w:t>日进行一次调仓的模式。这一设计的初衷是为了确保所有上市公司上一年度的年报均已披露。但这种方式存在两个明显的数据时效性问题：</w:t>
      </w:r>
    </w:p>
    <w:p w14:paraId="4F68F69F" w14:textId="77777777" w:rsidR="008773EE" w:rsidRPr="008773EE" w:rsidRDefault="008773EE" w:rsidP="008773EE">
      <w:pPr>
        <w:numPr>
          <w:ilvl w:val="0"/>
          <w:numId w:val="8"/>
        </w:numPr>
        <w:ind w:firstLine="482"/>
      </w:pPr>
      <w:r w:rsidRPr="008773EE">
        <w:rPr>
          <w:b/>
          <w:bCs/>
        </w:rPr>
        <w:t>财务数据滞后</w:t>
      </w:r>
      <w:r w:rsidRPr="008773EE">
        <w:t>：策略在</w:t>
      </w:r>
      <w:r w:rsidRPr="008773EE">
        <w:t>5</w:t>
      </w:r>
      <w:r w:rsidRPr="008773EE">
        <w:t>月初进行决策时，依据的是截至去年</w:t>
      </w:r>
      <w:r w:rsidRPr="008773EE">
        <w:t>12</w:t>
      </w:r>
      <w:r w:rsidRPr="008773EE">
        <w:t>月</w:t>
      </w:r>
      <w:r w:rsidRPr="008773EE">
        <w:t>31</w:t>
      </w:r>
      <w:r w:rsidRPr="008773EE">
        <w:t>日的</w:t>
      </w:r>
      <w:r w:rsidRPr="008773EE">
        <w:t>ROE</w:t>
      </w:r>
      <w:r w:rsidRPr="008773EE">
        <w:t>数据。然而，此时上市公司的第一季度财务报告通常已经披露完毕。继续使用四个月前的年报数据，无疑忽略了公司基本面最新的边际变化。</w:t>
      </w:r>
    </w:p>
    <w:p w14:paraId="08CA0CA7" w14:textId="77777777" w:rsidR="008773EE" w:rsidRPr="008773EE" w:rsidRDefault="008773EE" w:rsidP="008773EE">
      <w:pPr>
        <w:numPr>
          <w:ilvl w:val="0"/>
          <w:numId w:val="8"/>
        </w:numPr>
        <w:ind w:firstLine="482"/>
      </w:pPr>
      <w:r w:rsidRPr="008773EE">
        <w:rPr>
          <w:b/>
          <w:bCs/>
        </w:rPr>
        <w:t>估值数据陈旧</w:t>
      </w:r>
      <w:r w:rsidRPr="008773EE">
        <w:t>：策略同样使用去年</w:t>
      </w:r>
      <w:r w:rsidRPr="008773EE">
        <w:t>12</w:t>
      </w:r>
      <w:r w:rsidRPr="008773EE">
        <w:t>月</w:t>
      </w:r>
      <w:r w:rsidRPr="008773EE">
        <w:t>31</w:t>
      </w:r>
      <w:r w:rsidRPr="008773EE">
        <w:t>日的</w:t>
      </w:r>
      <w:r w:rsidRPr="008773EE">
        <w:t>P/B</w:t>
      </w:r>
      <w:r w:rsidRPr="008773EE">
        <w:t>数据进行筛选。</w:t>
      </w:r>
      <w:r w:rsidRPr="008773EE">
        <w:t>P/B</w:t>
      </w:r>
      <w:r w:rsidRPr="008773EE">
        <w:t>指标中的股价（</w:t>
      </w:r>
      <w:r w:rsidRPr="008773EE">
        <w:t>P</w:t>
      </w:r>
      <w:r w:rsidRPr="008773EE">
        <w:t>）是瞬息万变的，用四个月前的估值水平来指导当前的投资决策，其有效性值得商榷。一家在年初看起来</w:t>
      </w:r>
      <w:r w:rsidRPr="008773EE">
        <w:t>“</w:t>
      </w:r>
      <w:r w:rsidRPr="008773EE">
        <w:t>便宜</w:t>
      </w:r>
      <w:r w:rsidRPr="008773EE">
        <w:t>”</w:t>
      </w:r>
      <w:r w:rsidRPr="008773EE">
        <w:t>的公司，其股价在随后的四个月里可能已经大幅上涨，变得不再便宜。</w:t>
      </w:r>
    </w:p>
    <w:p w14:paraId="4A5422CE" w14:textId="77777777" w:rsidR="008773EE" w:rsidRPr="008773EE" w:rsidRDefault="008773EE" w:rsidP="008773EE">
      <w:pPr>
        <w:ind w:firstLine="482"/>
      </w:pPr>
      <w:r w:rsidRPr="008773EE">
        <w:rPr>
          <w:b/>
          <w:bCs/>
        </w:rPr>
        <w:t xml:space="preserve">2. </w:t>
      </w:r>
      <w:r w:rsidRPr="008773EE">
        <w:rPr>
          <w:b/>
          <w:bCs/>
        </w:rPr>
        <w:t>改进的理由与逻辑</w:t>
      </w:r>
    </w:p>
    <w:p w14:paraId="18C82543" w14:textId="77777777" w:rsidR="008773EE" w:rsidRPr="008773EE" w:rsidRDefault="008773EE" w:rsidP="008773EE">
      <w:pPr>
        <w:ind w:firstLine="480"/>
      </w:pPr>
      <w:r w:rsidRPr="008773EE">
        <w:t>为了解决数据滞后问题，使投资决策能更及时地反映市场的最新信息，我们建议将调仓周期与</w:t>
      </w:r>
      <w:r w:rsidRPr="008773EE">
        <w:t>A</w:t>
      </w:r>
      <w:r w:rsidRPr="008773EE">
        <w:t>股的财报披露周期相匹配。具体而言，在每年的一季报（</w:t>
      </w:r>
      <w:r w:rsidRPr="008773EE">
        <w:t>4</w:t>
      </w:r>
      <w:r w:rsidRPr="008773EE">
        <w:t>月</w:t>
      </w:r>
      <w:r w:rsidRPr="008773EE">
        <w:t>30</w:t>
      </w:r>
      <w:r w:rsidRPr="008773EE">
        <w:t>日）、半年报（</w:t>
      </w:r>
      <w:r w:rsidRPr="008773EE">
        <w:t>8</w:t>
      </w:r>
      <w:r w:rsidRPr="008773EE">
        <w:t>月</w:t>
      </w:r>
      <w:r w:rsidRPr="008773EE">
        <w:t>31</w:t>
      </w:r>
      <w:r w:rsidRPr="008773EE">
        <w:t>日）和三季报（</w:t>
      </w:r>
      <w:r w:rsidRPr="008773EE">
        <w:t>10</w:t>
      </w:r>
      <w:r w:rsidRPr="008773EE">
        <w:t>月</w:t>
      </w:r>
      <w:r w:rsidRPr="008773EE">
        <w:t>31</w:t>
      </w:r>
      <w:r w:rsidRPr="008773EE">
        <w:t>日）披露截止日后的第一个交易日，以及年报披露期（次年</w:t>
      </w:r>
      <w:r w:rsidRPr="008773EE">
        <w:t>4</w:t>
      </w:r>
      <w:r w:rsidRPr="008773EE">
        <w:t>月</w:t>
      </w:r>
      <w:r w:rsidRPr="008773EE">
        <w:t>30</w:t>
      </w:r>
      <w:r w:rsidRPr="008773EE">
        <w:t>日）后，都进行一次组合的再平衡。</w:t>
      </w:r>
    </w:p>
    <w:p w14:paraId="514A2872" w14:textId="77777777" w:rsidR="008773EE" w:rsidRDefault="008773EE" w:rsidP="008773EE">
      <w:pPr>
        <w:ind w:firstLine="480"/>
      </w:pPr>
      <w:r w:rsidRPr="008773EE">
        <w:t>这种季度调仓的方式，确保了每一次决策都基于最新鲜的财务数据（</w:t>
      </w:r>
      <w:r w:rsidRPr="008773EE">
        <w:t>ROE</w:t>
      </w:r>
      <w:r w:rsidRPr="008773EE">
        <w:t>、每股净资产</w:t>
      </w:r>
      <w:r w:rsidRPr="008773EE">
        <w:t>B</w:t>
      </w:r>
      <w:r w:rsidRPr="008773EE">
        <w:t>）和最即时的市场价格（</w:t>
      </w:r>
      <w:r w:rsidRPr="008773EE">
        <w:t>P</w:t>
      </w:r>
      <w:r w:rsidRPr="008773EE">
        <w:t>）。理论上，这能让策略更快地捕捉到基本面改善且估值合理的公司，同时剔除那些基本面恶化或估值已不再具有吸引力的公司，从而提升策略的反应速度和决策效率。</w:t>
      </w:r>
    </w:p>
    <w:p w14:paraId="62C22380" w14:textId="77777777" w:rsidR="007B1623" w:rsidRPr="008773EE" w:rsidRDefault="007B1623" w:rsidP="008773EE">
      <w:pPr>
        <w:ind w:firstLine="480"/>
      </w:pPr>
    </w:p>
    <w:p w14:paraId="24FE8498" w14:textId="77777777" w:rsidR="008773EE" w:rsidRPr="008773EE" w:rsidRDefault="008773EE" w:rsidP="008773EE">
      <w:pPr>
        <w:ind w:firstLine="482"/>
        <w:rPr>
          <w:b/>
          <w:bCs/>
        </w:rPr>
      </w:pPr>
      <w:r w:rsidRPr="008773EE">
        <w:rPr>
          <w:b/>
          <w:bCs/>
        </w:rPr>
        <w:t>改进方向三：执行更高频率的月度再平衡</w:t>
      </w:r>
    </w:p>
    <w:p w14:paraId="53317344" w14:textId="77777777" w:rsidR="008773EE" w:rsidRPr="008773EE" w:rsidRDefault="008773EE" w:rsidP="008773EE">
      <w:pPr>
        <w:ind w:firstLine="482"/>
      </w:pPr>
      <w:r w:rsidRPr="008773EE">
        <w:rPr>
          <w:b/>
          <w:bCs/>
        </w:rPr>
        <w:t xml:space="preserve">1. </w:t>
      </w:r>
      <w:r w:rsidRPr="008773EE">
        <w:rPr>
          <w:b/>
          <w:bCs/>
        </w:rPr>
        <w:t>基础策略的不足</w:t>
      </w:r>
    </w:p>
    <w:p w14:paraId="2B1FCC73" w14:textId="77777777" w:rsidR="008773EE" w:rsidRPr="008773EE" w:rsidRDefault="008773EE" w:rsidP="008773EE">
      <w:pPr>
        <w:ind w:firstLine="480"/>
      </w:pPr>
      <w:r w:rsidRPr="008773EE">
        <w:t>即使将调仓频率提升至季度，在两个调仓日之间长达数月的时间窗口内，市场仍可能发生剧烈变化。股价的波动会导致个股的</w:t>
      </w:r>
      <w:r w:rsidRPr="008773EE">
        <w:t>P/B</w:t>
      </w:r>
      <w:r w:rsidRPr="008773EE">
        <w:t>值偏离其在季初的水平。一个在季初因低</w:t>
      </w:r>
      <w:r w:rsidRPr="008773EE">
        <w:t>P/B</w:t>
      </w:r>
      <w:r w:rsidRPr="008773EE">
        <w:t>被选入组合的股票，可能在一个月后因股价快速上涨而不再具备低估值属性。固定的季度调仓模式会使组合继续持有这类</w:t>
      </w:r>
      <w:r w:rsidRPr="008773EE">
        <w:t>“</w:t>
      </w:r>
      <w:r w:rsidRPr="008773EE">
        <w:t>特征已失效</w:t>
      </w:r>
      <w:r w:rsidRPr="008773EE">
        <w:t>”</w:t>
      </w:r>
      <w:r w:rsidRPr="008773EE">
        <w:t>的股票，降低了整个组合对目标因子（低估值）的敞口纯度。</w:t>
      </w:r>
    </w:p>
    <w:p w14:paraId="7DF31BF5" w14:textId="77777777" w:rsidR="008773EE" w:rsidRPr="008773EE" w:rsidRDefault="008773EE" w:rsidP="008773EE">
      <w:pPr>
        <w:ind w:firstLine="482"/>
      </w:pPr>
      <w:r w:rsidRPr="008773EE">
        <w:rPr>
          <w:b/>
          <w:bCs/>
        </w:rPr>
        <w:t xml:space="preserve">2. </w:t>
      </w:r>
      <w:r w:rsidRPr="008773EE">
        <w:rPr>
          <w:b/>
          <w:bCs/>
        </w:rPr>
        <w:t>改进的理由与逻辑</w:t>
      </w:r>
    </w:p>
    <w:p w14:paraId="72849171" w14:textId="77777777" w:rsidR="008773EE" w:rsidRPr="008773EE" w:rsidRDefault="008773EE" w:rsidP="008773EE">
      <w:pPr>
        <w:ind w:firstLine="480"/>
      </w:pPr>
      <w:r w:rsidRPr="008773EE">
        <w:t>为了使投资组合的风险暴露始终紧密地锚定在目标因子上，我们提出将再平衡的频率进一步提升至月度。在每月月初，我们都使用最新的股价和最近一期季报的净资产数据重新计算</w:t>
      </w:r>
      <w:r w:rsidRPr="008773EE">
        <w:t>P/B</w:t>
      </w:r>
      <w:r w:rsidRPr="008773EE">
        <w:t>，并对组合进行调整，确保持仓始终是当前市场中最符合</w:t>
      </w:r>
      <w:r w:rsidRPr="008773EE">
        <w:t>“</w:t>
      </w:r>
      <w:r w:rsidRPr="008773EE">
        <w:t>高</w:t>
      </w:r>
      <w:r w:rsidRPr="008773EE">
        <w:t>ROE</w:t>
      </w:r>
      <w:r w:rsidRPr="008773EE">
        <w:t>、低</w:t>
      </w:r>
      <w:r w:rsidRPr="008773EE">
        <w:t>P/B”</w:t>
      </w:r>
      <w:r w:rsidRPr="008773EE">
        <w:t>标准的股票。</w:t>
      </w:r>
    </w:p>
    <w:p w14:paraId="62CC9D9A" w14:textId="77777777" w:rsidR="008773EE" w:rsidRDefault="008773EE" w:rsidP="008773EE">
      <w:pPr>
        <w:ind w:firstLine="480"/>
      </w:pPr>
      <w:r w:rsidRPr="008773EE">
        <w:lastRenderedPageBreak/>
        <w:t>虽然更高频率的调仓会增加交易成本（本次回测暂不考虑），但其理论优势在于能更敏锐地捕捉短期错误定价机会，并及时止盈或止损。这使得策略更贴近其</w:t>
      </w:r>
      <w:r w:rsidRPr="008773EE">
        <w:t>“</w:t>
      </w:r>
      <w:r w:rsidRPr="008773EE">
        <w:t>不断寻找并持有当下被低估的绩优股</w:t>
      </w:r>
      <w:r w:rsidRPr="008773EE">
        <w:t>”</w:t>
      </w:r>
      <w:r w:rsidRPr="008773EE">
        <w:t>的本质，有望提升策略的夏普比率。</w:t>
      </w:r>
    </w:p>
    <w:p w14:paraId="362DB05E" w14:textId="77777777" w:rsidR="007B1623" w:rsidRPr="008773EE" w:rsidRDefault="007B1623" w:rsidP="008773EE">
      <w:pPr>
        <w:ind w:firstLine="480"/>
      </w:pPr>
    </w:p>
    <w:p w14:paraId="5EC6F908" w14:textId="77777777" w:rsidR="008773EE" w:rsidRPr="008773EE" w:rsidRDefault="008773EE" w:rsidP="008773EE">
      <w:pPr>
        <w:ind w:firstLine="482"/>
        <w:rPr>
          <w:b/>
          <w:bCs/>
        </w:rPr>
      </w:pPr>
      <w:r w:rsidRPr="008773EE">
        <w:rPr>
          <w:b/>
          <w:bCs/>
        </w:rPr>
        <w:t>改进方向四：基于回归残差的选股模型</w:t>
      </w:r>
    </w:p>
    <w:p w14:paraId="124C8AD1" w14:textId="77777777" w:rsidR="008773EE" w:rsidRPr="008773EE" w:rsidRDefault="008773EE" w:rsidP="008773EE">
      <w:pPr>
        <w:ind w:firstLine="482"/>
      </w:pPr>
      <w:r w:rsidRPr="008773EE">
        <w:rPr>
          <w:b/>
          <w:bCs/>
        </w:rPr>
        <w:t xml:space="preserve">1. </w:t>
      </w:r>
      <w:r w:rsidRPr="008773EE">
        <w:rPr>
          <w:b/>
          <w:bCs/>
        </w:rPr>
        <w:t>基础策略的不足</w:t>
      </w:r>
    </w:p>
    <w:p w14:paraId="1D761E6A" w14:textId="77777777" w:rsidR="008773EE" w:rsidRPr="008773EE" w:rsidRDefault="008773EE" w:rsidP="008773EE">
      <w:pPr>
        <w:ind w:firstLine="480"/>
      </w:pPr>
      <w:r w:rsidRPr="008773EE">
        <w:t>第一章的策略将</w:t>
      </w:r>
      <w:r w:rsidRPr="008773EE">
        <w:t>“</w:t>
      </w:r>
      <w:r w:rsidRPr="008773EE">
        <w:t>高质量</w:t>
      </w:r>
      <w:r w:rsidRPr="008773EE">
        <w:t>”</w:t>
      </w:r>
      <w:r w:rsidRPr="008773EE">
        <w:t>（高</w:t>
      </w:r>
      <w:r w:rsidRPr="008773EE">
        <w:t>ROE</w:t>
      </w:r>
      <w:r w:rsidRPr="008773EE">
        <w:t>）和</w:t>
      </w:r>
      <w:r w:rsidRPr="008773EE">
        <w:t>“</w:t>
      </w:r>
      <w:r w:rsidRPr="008773EE">
        <w:t>低估值</w:t>
      </w:r>
      <w:r w:rsidRPr="008773EE">
        <w:t>”</w:t>
      </w:r>
      <w:r w:rsidRPr="008773EE">
        <w:t>（低</w:t>
      </w:r>
      <w:r w:rsidRPr="008773EE">
        <w:t>P/B</w:t>
      </w:r>
      <w:r w:rsidRPr="008773EE">
        <w:t>）作为两个独立的筛选步骤，这是一种相对简单化的处理方式。它没有直接利用我们在理论推导部分得出的</w:t>
      </w:r>
      <w:r w:rsidRPr="008773EE">
        <w:t>ln(P/B)</w:t>
      </w:r>
      <w:r w:rsidRPr="008773EE">
        <w:t>与</w:t>
      </w:r>
      <w:r w:rsidRPr="008773EE">
        <w:t>ROE</w:t>
      </w:r>
      <w:r w:rsidRPr="008773EE">
        <w:t>之间的线性关系。一个更深刻的问题是：</w:t>
      </w:r>
      <w:r w:rsidRPr="008773EE">
        <w:t>P/B</w:t>
      </w:r>
      <w:r w:rsidRPr="008773EE">
        <w:t>的高低是相对的，脱离了盈利能力（</w:t>
      </w:r>
      <w:r w:rsidRPr="008773EE">
        <w:t>ROE</w:t>
      </w:r>
      <w:r w:rsidRPr="008773EE">
        <w:t>）去谈</w:t>
      </w:r>
      <w:r w:rsidRPr="008773EE">
        <w:t>P/B</w:t>
      </w:r>
      <w:r w:rsidRPr="008773EE">
        <w:t>的绝对高低可能存在偏差。例如，一家拥有极高</w:t>
      </w:r>
      <w:r w:rsidRPr="008773EE">
        <w:t>ROE</w:t>
      </w:r>
      <w:r w:rsidRPr="008773EE">
        <w:t>的公司，其</w:t>
      </w:r>
      <w:r w:rsidRPr="008773EE">
        <w:t>P/B</w:t>
      </w:r>
      <w:r w:rsidRPr="008773EE">
        <w:t>为</w:t>
      </w:r>
      <w:r w:rsidRPr="008773EE">
        <w:t>2</w:t>
      </w:r>
      <w:r w:rsidRPr="008773EE">
        <w:t>倍可能依然是</w:t>
      </w:r>
      <w:r w:rsidRPr="008773EE">
        <w:t>“</w:t>
      </w:r>
      <w:r w:rsidRPr="008773EE">
        <w:t>便宜</w:t>
      </w:r>
      <w:r w:rsidRPr="008773EE">
        <w:t>”</w:t>
      </w:r>
      <w:r w:rsidRPr="008773EE">
        <w:t>的；而一家</w:t>
      </w:r>
      <w:r w:rsidRPr="008773EE">
        <w:t>ROE</w:t>
      </w:r>
      <w:r w:rsidRPr="008773EE">
        <w:t>平平的公司，其</w:t>
      </w:r>
      <w:r w:rsidRPr="008773EE">
        <w:t>P/B</w:t>
      </w:r>
      <w:r w:rsidRPr="008773EE">
        <w:t>为</w:t>
      </w:r>
      <w:r w:rsidRPr="008773EE">
        <w:t>1.5</w:t>
      </w:r>
      <w:r w:rsidRPr="008773EE">
        <w:t>倍可能已经</w:t>
      </w:r>
      <w:r w:rsidRPr="008773EE">
        <w:t>“</w:t>
      </w:r>
      <w:r w:rsidRPr="008773EE">
        <w:t>昂贵</w:t>
      </w:r>
      <w:r w:rsidRPr="008773EE">
        <w:t>”</w:t>
      </w:r>
      <w:r w:rsidRPr="008773EE">
        <w:t>。基础策略无法对这种情况进行有效区分。</w:t>
      </w:r>
    </w:p>
    <w:p w14:paraId="57797B9C" w14:textId="77777777" w:rsidR="008773EE" w:rsidRPr="008773EE" w:rsidRDefault="008773EE" w:rsidP="008773EE">
      <w:pPr>
        <w:ind w:firstLine="482"/>
      </w:pPr>
      <w:r w:rsidRPr="008773EE">
        <w:rPr>
          <w:b/>
          <w:bCs/>
        </w:rPr>
        <w:t xml:space="preserve">2. </w:t>
      </w:r>
      <w:r w:rsidRPr="008773EE">
        <w:rPr>
          <w:b/>
          <w:bCs/>
        </w:rPr>
        <w:t>改进的理由与逻辑</w:t>
      </w:r>
    </w:p>
    <w:p w14:paraId="6A87E4DD" w14:textId="77777777" w:rsidR="008773EE" w:rsidRPr="008773EE" w:rsidRDefault="008773EE" w:rsidP="008773EE">
      <w:pPr>
        <w:ind w:firstLine="480"/>
      </w:pPr>
      <w:r w:rsidRPr="008773EE">
        <w:t>为了更精确地衡量一只股票相对于其自身盈利能力的估值水平，我们提出直接应用第一章的理论模型进行选股。具体步骤如下：</w:t>
      </w:r>
    </w:p>
    <w:p w14:paraId="7A63E047" w14:textId="77777777" w:rsidR="008773EE" w:rsidRPr="008773EE" w:rsidRDefault="008773EE" w:rsidP="008773EE">
      <w:pPr>
        <w:numPr>
          <w:ilvl w:val="0"/>
          <w:numId w:val="9"/>
        </w:numPr>
        <w:ind w:firstLine="480"/>
      </w:pPr>
      <w:r w:rsidRPr="008773EE">
        <w:t>在每个调仓日，对样本空间内的所有股票进行横截面回归，得到方程：</w:t>
      </w:r>
      <w:r w:rsidRPr="008773EE">
        <w:t>ln(P/B)i</w:t>
      </w:r>
      <w:r w:rsidRPr="008773EE">
        <w:t>＝</w:t>
      </w:r>
      <w:r w:rsidRPr="008773EE">
        <w:t>α</w:t>
      </w:r>
      <w:r w:rsidRPr="008773EE">
        <w:t>＋</w:t>
      </w:r>
      <w:r w:rsidRPr="008773EE">
        <w:t>β·ROEi</w:t>
      </w:r>
      <w:r w:rsidRPr="008773EE">
        <w:t>。此处的回归系数</w:t>
      </w:r>
      <w:r w:rsidRPr="008773EE">
        <w:t xml:space="preserve"> β </w:t>
      </w:r>
      <w:r w:rsidRPr="008773EE">
        <w:t>可以理解为当前市场对盈利能力的定价，即市场隐含的投资期限</w:t>
      </w:r>
      <w:r w:rsidRPr="008773EE">
        <w:t xml:space="preserve"> T</w:t>
      </w:r>
      <w:r w:rsidRPr="008773EE">
        <w:t>。</w:t>
      </w:r>
    </w:p>
    <w:p w14:paraId="649FF682" w14:textId="77777777" w:rsidR="008773EE" w:rsidRPr="008773EE" w:rsidRDefault="008773EE" w:rsidP="008773EE">
      <w:pPr>
        <w:numPr>
          <w:ilvl w:val="0"/>
          <w:numId w:val="9"/>
        </w:numPr>
        <w:ind w:firstLine="480"/>
      </w:pPr>
      <w:r w:rsidRPr="008773EE">
        <w:t>利用回归方程，计算出每只股票的</w:t>
      </w:r>
      <w:r w:rsidRPr="008773EE">
        <w:t>“</w:t>
      </w:r>
      <w:r w:rsidRPr="008773EE">
        <w:t>理论估值</w:t>
      </w:r>
      <w:r w:rsidRPr="008773EE">
        <w:t>”</w:t>
      </w:r>
      <w:r w:rsidRPr="008773EE">
        <w:t>：</w:t>
      </w:r>
      <w:r w:rsidRPr="008773EE">
        <w:t>ln(P/B)i_</w:t>
      </w:r>
      <w:r w:rsidRPr="008773EE">
        <w:t>理论</w:t>
      </w:r>
      <w:r w:rsidRPr="008773EE">
        <w:t xml:space="preserve"> = α</w:t>
      </w:r>
      <w:r w:rsidRPr="008773EE">
        <w:t>＋</w:t>
      </w:r>
      <w:r w:rsidRPr="008773EE">
        <w:t>β·ROEi</w:t>
      </w:r>
      <w:r w:rsidRPr="008773EE">
        <w:t>。</w:t>
      </w:r>
    </w:p>
    <w:p w14:paraId="67C0B6A9" w14:textId="77777777" w:rsidR="008773EE" w:rsidRPr="008773EE" w:rsidRDefault="008773EE" w:rsidP="008773EE">
      <w:pPr>
        <w:numPr>
          <w:ilvl w:val="0"/>
          <w:numId w:val="9"/>
        </w:numPr>
        <w:ind w:firstLine="480"/>
      </w:pPr>
      <w:r w:rsidRPr="008773EE">
        <w:t>计算个股的估值残差</w:t>
      </w:r>
      <w:r w:rsidRPr="008773EE">
        <w:t xml:space="preserve"> εi</w:t>
      </w:r>
      <w:r w:rsidRPr="008773EE">
        <w:t>：</w:t>
      </w:r>
      <w:r w:rsidRPr="008773EE">
        <w:t>εi = ln(P/B)i_</w:t>
      </w:r>
      <w:r w:rsidRPr="008773EE">
        <w:t>实际</w:t>
      </w:r>
      <w:r w:rsidRPr="008773EE">
        <w:t xml:space="preserve"> - ln(P/B)i_</w:t>
      </w:r>
      <w:r w:rsidRPr="008773EE">
        <w:t>理论。</w:t>
      </w:r>
    </w:p>
    <w:p w14:paraId="672C5EA3" w14:textId="77777777" w:rsidR="008773EE" w:rsidRPr="008773EE" w:rsidRDefault="008773EE" w:rsidP="008773EE">
      <w:pPr>
        <w:ind w:firstLine="480"/>
      </w:pPr>
      <w:r w:rsidRPr="008773EE">
        <w:t>这个残差</w:t>
      </w:r>
      <w:r w:rsidRPr="008773EE">
        <w:t xml:space="preserve"> ε </w:t>
      </w:r>
      <w:r w:rsidRPr="008773EE">
        <w:t>的经济学含义非常清晰：它度量了个股在当前市场定价体系下，其估值相对于其盈利能力的偏离程度。</w:t>
      </w:r>
    </w:p>
    <w:p w14:paraId="2C378CFA" w14:textId="77777777" w:rsidR="008773EE" w:rsidRPr="008773EE" w:rsidRDefault="008773EE" w:rsidP="008773EE">
      <w:pPr>
        <w:numPr>
          <w:ilvl w:val="0"/>
          <w:numId w:val="10"/>
        </w:numPr>
        <w:ind w:firstLine="480"/>
      </w:pPr>
      <w:r w:rsidRPr="008773EE">
        <w:t>εi &lt; 0</w:t>
      </w:r>
      <w:r w:rsidRPr="008773EE">
        <w:t>：意味着该股票的实际估值低于其盈利能力所应支撑的理论估值，即被</w:t>
      </w:r>
      <w:r w:rsidRPr="008773EE">
        <w:t>“</w:t>
      </w:r>
      <w:r w:rsidRPr="008773EE">
        <w:t>低估</w:t>
      </w:r>
      <w:r w:rsidRPr="008773EE">
        <w:t>”</w:t>
      </w:r>
      <w:r w:rsidRPr="008773EE">
        <w:t>。</w:t>
      </w:r>
    </w:p>
    <w:p w14:paraId="6A280CAA" w14:textId="77777777" w:rsidR="008773EE" w:rsidRPr="008773EE" w:rsidRDefault="008773EE" w:rsidP="008773EE">
      <w:pPr>
        <w:numPr>
          <w:ilvl w:val="0"/>
          <w:numId w:val="10"/>
        </w:numPr>
        <w:ind w:firstLine="480"/>
      </w:pPr>
      <w:r w:rsidRPr="008773EE">
        <w:t>εi &gt; 0</w:t>
      </w:r>
      <w:r w:rsidRPr="008773EE">
        <w:t>：意味着该股票被</w:t>
      </w:r>
      <w:r w:rsidRPr="008773EE">
        <w:t>“</w:t>
      </w:r>
      <w:r w:rsidRPr="008773EE">
        <w:t>高估</w:t>
      </w:r>
      <w:r w:rsidRPr="008773EE">
        <w:t>”</w:t>
      </w:r>
      <w:r w:rsidRPr="008773EE">
        <w:t>。</w:t>
      </w:r>
    </w:p>
    <w:p w14:paraId="1D7AB84A" w14:textId="77777777" w:rsidR="008773EE" w:rsidRPr="008773EE" w:rsidRDefault="008773EE" w:rsidP="008773EE">
      <w:pPr>
        <w:ind w:firstLine="480"/>
      </w:pPr>
      <w:r w:rsidRPr="008773EE">
        <w:t>因此，新的选股策略将转变为：在每个调仓日，买入那些残差</w:t>
      </w:r>
      <w:r w:rsidRPr="008773EE">
        <w:t xml:space="preserve"> ε </w:t>
      </w:r>
      <w:r w:rsidRPr="008773EE">
        <w:t>最低的股票，并持有。这个方法将质量和价值两个维度完美地融合进一个统一的分析框架中，其目标是捕捉残差</w:t>
      </w:r>
      <w:r w:rsidRPr="008773EE">
        <w:t xml:space="preserve"> ε </w:t>
      </w:r>
      <w:r w:rsidRPr="008773EE">
        <w:t>从负值向均值（</w:t>
      </w:r>
      <w:r w:rsidRPr="008773EE">
        <w:t>0</w:t>
      </w:r>
      <w:r w:rsidRPr="008773EE">
        <w:t>）回归所带来的收敛收益，这在理论上是更为严谨和高效的选股方式。</w:t>
      </w:r>
    </w:p>
    <w:p w14:paraId="38CC6581" w14:textId="77777777" w:rsidR="009A1651" w:rsidRPr="000D44B4" w:rsidRDefault="009A1651" w:rsidP="001170B2">
      <w:pPr>
        <w:ind w:firstLine="480"/>
      </w:pPr>
    </w:p>
    <w:p w14:paraId="429F47D3" w14:textId="03D05065" w:rsidR="00C334AC" w:rsidRPr="0005235D" w:rsidRDefault="00C334AC" w:rsidP="0005235D">
      <w:pPr>
        <w:ind w:left="60" w:firstLineChars="0" w:firstLine="420"/>
        <w:rPr>
          <w:b/>
          <w:bCs/>
          <w:sz w:val="36"/>
          <w:szCs w:val="36"/>
        </w:rPr>
      </w:pPr>
      <w:r w:rsidRPr="0005235D">
        <w:rPr>
          <w:rFonts w:hint="eastAsia"/>
          <w:b/>
          <w:bCs/>
          <w:sz w:val="36"/>
          <w:szCs w:val="36"/>
        </w:rPr>
        <w:t>第三章</w:t>
      </w:r>
    </w:p>
    <w:p w14:paraId="3CBC1EAE" w14:textId="51939D4C" w:rsidR="009A1651" w:rsidRDefault="00AE4BE5" w:rsidP="00446145">
      <w:pPr>
        <w:ind w:firstLine="480"/>
      </w:pPr>
      <w:r>
        <w:rPr>
          <w:rFonts w:hint="eastAsia"/>
        </w:rPr>
        <w:t>ROE</w:t>
      </w:r>
      <w:r>
        <w:rPr>
          <w:rFonts w:hint="eastAsia"/>
        </w:rPr>
        <w:t>可能逐步回归，回归速度取决于</w:t>
      </w:r>
      <w:r>
        <w:rPr>
          <w:rFonts w:hint="eastAsia"/>
        </w:rPr>
        <w:t>ROIC</w:t>
      </w:r>
    </w:p>
    <w:p w14:paraId="2BE4FA7A" w14:textId="77777777" w:rsidR="009A1651" w:rsidRDefault="009A1651" w:rsidP="009A1651">
      <w:pPr>
        <w:ind w:firstLine="480"/>
      </w:pPr>
      <w:r>
        <w:rPr>
          <w:rFonts w:hint="eastAsia"/>
        </w:rPr>
        <w:t>现在我们来考虑一下事情的另一面。如果市场已经认识到股票的增长性，并将其市盈率哄抬到远高于一般股票的高度，那么购买这样的“增长型股票”就会有特殊风险。这里的问题在</w:t>
      </w:r>
      <w:r>
        <w:rPr>
          <w:rFonts w:hint="eastAsia"/>
        </w:rPr>
        <w:lastRenderedPageBreak/>
        <w:t>于，很高的市盈率可能已充分反映了预期增长，倘若增长不能兑现，并且盈利实际上还下降了（或者实际增长只是比预期的慢），你肯定会遭遇不测，损失惨重。此时，低市盈率股票盈利增长可能带来的双重好处，就可能变成高市盈率股票盈利下滑带来的双重打击。</w:t>
      </w:r>
    </w:p>
    <w:p w14:paraId="0A69E687" w14:textId="77777777" w:rsidR="009A1651" w:rsidRDefault="009A1651" w:rsidP="009A1651">
      <w:pPr>
        <w:ind w:firstLine="480"/>
      </w:pPr>
      <w:r>
        <w:rPr>
          <w:rFonts w:hint="eastAsia"/>
        </w:rPr>
        <w:t>鉴于此，我们可以提出一个投资策略，就是买入尚未被市场认同的、市盈率并未高出市场平均水平的增长型股票。即便股票的增长性没有实现，盈利反而还下降了，如果一开始市盈率较低，那么你受到的打击很可能只是单一的；如果公司后来的盈利情况果真如你所料，那么好处却可能是双重的。</w:t>
      </w:r>
    </w:p>
    <w:p w14:paraId="1BBD721B" w14:textId="77777777" w:rsidR="009A1651" w:rsidRPr="00B5195B" w:rsidRDefault="009A1651" w:rsidP="009A1651">
      <w:pPr>
        <w:ind w:firstLine="480"/>
      </w:pPr>
    </w:p>
    <w:p w14:paraId="34513EDA" w14:textId="77777777" w:rsidR="009A1651" w:rsidRPr="009A1651" w:rsidRDefault="009A1651" w:rsidP="00446145">
      <w:pPr>
        <w:ind w:firstLine="480"/>
      </w:pPr>
    </w:p>
    <w:p w14:paraId="0655603B" w14:textId="17F1DA52" w:rsidR="00446145" w:rsidRDefault="00446145" w:rsidP="00446145">
      <w:pPr>
        <w:ind w:firstLine="480"/>
      </w:pPr>
      <w:r w:rsidRPr="00286EF7">
        <w:rPr>
          <w:rFonts w:hint="eastAsia"/>
        </w:rPr>
        <w:t>在用</w:t>
      </w:r>
      <w:r w:rsidRPr="00286EF7">
        <w:rPr>
          <w:rFonts w:hint="eastAsia"/>
        </w:rPr>
        <w:t>ROE</w:t>
      </w:r>
      <w:r w:rsidRPr="00286EF7">
        <w:rPr>
          <w:rFonts w:hint="eastAsia"/>
        </w:rPr>
        <w:t>进行排序选股时，去掉</w:t>
      </w:r>
      <w:r w:rsidRPr="00286EF7">
        <w:rPr>
          <w:rFonts w:hint="eastAsia"/>
        </w:rPr>
        <w:t>roe</w:t>
      </w:r>
      <w:r w:rsidRPr="00286EF7">
        <w:rPr>
          <w:rFonts w:hint="eastAsia"/>
        </w:rPr>
        <w:t>大于</w:t>
      </w:r>
      <w:r w:rsidRPr="00286EF7">
        <w:rPr>
          <w:rFonts w:hint="eastAsia"/>
        </w:rPr>
        <w:t>50%</w:t>
      </w:r>
      <w:r w:rsidRPr="00286EF7">
        <w:rPr>
          <w:rFonts w:hint="eastAsia"/>
        </w:rPr>
        <w:t>的公司可以显著提升策略表现</w:t>
      </w:r>
      <w:r>
        <w:rPr>
          <w:rFonts w:hint="eastAsia"/>
        </w:rPr>
        <w:t>，</w:t>
      </w:r>
      <w:r w:rsidRPr="00286EF7">
        <w:rPr>
          <w:rFonts w:hint="eastAsia"/>
        </w:rPr>
        <w:t>roe</w:t>
      </w:r>
      <w:r w:rsidRPr="00286EF7">
        <w:rPr>
          <w:rFonts w:hint="eastAsia"/>
        </w:rPr>
        <w:t>在</w:t>
      </w:r>
      <w:r w:rsidRPr="00286EF7">
        <w:rPr>
          <w:rFonts w:hint="eastAsia"/>
        </w:rPr>
        <w:t>40%</w:t>
      </w:r>
      <w:r w:rsidRPr="00286EF7">
        <w:rPr>
          <w:rFonts w:hint="eastAsia"/>
        </w:rPr>
        <w:t>以上是难以持续的，并且容易受到投资者追捧，导致价格过高</w:t>
      </w:r>
      <w:r>
        <w:rPr>
          <w:rFonts w:hint="eastAsia"/>
        </w:rPr>
        <w:t>，</w:t>
      </w:r>
      <w:r w:rsidRPr="00286EF7">
        <w:rPr>
          <w:rFonts w:hint="eastAsia"/>
        </w:rPr>
        <w:t>比如下面这种公司会被排除</w:t>
      </w:r>
    </w:p>
    <w:p w14:paraId="6F1150CB" w14:textId="77777777" w:rsidR="00446145" w:rsidRPr="00446145" w:rsidRDefault="00446145" w:rsidP="00DD46CD">
      <w:pPr>
        <w:ind w:firstLine="480"/>
      </w:pPr>
    </w:p>
    <w:p w14:paraId="7C7C22E9" w14:textId="6589B5D3" w:rsidR="00DD46CD" w:rsidRDefault="00DD46CD" w:rsidP="00DD46CD">
      <w:pPr>
        <w:ind w:firstLine="480"/>
      </w:pPr>
      <w:r>
        <w:rPr>
          <w:rFonts w:hint="eastAsia"/>
        </w:rPr>
        <w:t>经典并不意味着完美。恰恰相反，</w:t>
      </w:r>
      <w:r>
        <w:rPr>
          <w:rFonts w:hint="eastAsia"/>
        </w:rPr>
        <w:t>PB-ROE</w:t>
      </w:r>
      <w:r>
        <w:rPr>
          <w:rFonts w:hint="eastAsia"/>
        </w:rPr>
        <w:t>框架中存在的诸多“陷阱”与“盲区”——例如，</w:t>
      </w:r>
      <w:r>
        <w:rPr>
          <w:rFonts w:hint="eastAsia"/>
        </w:rPr>
        <w:t>ROE</w:t>
      </w:r>
      <w:r>
        <w:rPr>
          <w:rFonts w:hint="eastAsia"/>
        </w:rPr>
        <w:t>可能被高财务杠杆或一次性收益扭曲，低</w:t>
      </w:r>
      <w:r>
        <w:rPr>
          <w:rFonts w:hint="eastAsia"/>
        </w:rPr>
        <w:t>PB</w:t>
      </w:r>
      <w:r>
        <w:rPr>
          <w:rFonts w:hint="eastAsia"/>
        </w:rPr>
        <w:t>可能预示着价值陷阱而非价值洼地。</w:t>
      </w:r>
    </w:p>
    <w:p w14:paraId="6724FA53" w14:textId="77777777" w:rsidR="005B6B89" w:rsidRDefault="005B6B89" w:rsidP="005B6B89">
      <w:pPr>
        <w:ind w:firstLine="480"/>
      </w:pPr>
      <w:r w:rsidRPr="00F1437B">
        <w:rPr>
          <w:rFonts w:hint="eastAsia"/>
        </w:rPr>
        <w:t>Wilcox</w:t>
      </w:r>
      <w:r w:rsidRPr="00F1437B">
        <w:rPr>
          <w:rFonts w:hint="eastAsia"/>
        </w:rPr>
        <w:t>的</w:t>
      </w:r>
      <w:r w:rsidRPr="00F1437B">
        <w:rPr>
          <w:rFonts w:hint="eastAsia"/>
        </w:rPr>
        <w:t>PB-ROE</w:t>
      </w:r>
      <w:r w:rsidRPr="00F1437B">
        <w:rPr>
          <w:rFonts w:hint="eastAsia"/>
        </w:rPr>
        <w:t>模型提供了一个量化框架，用以审视</w:t>
      </w:r>
      <w:r w:rsidRPr="00F1437B">
        <w:rPr>
          <w:rFonts w:hint="eastAsia"/>
        </w:rPr>
        <w:t>PB</w:t>
      </w:r>
      <w:r w:rsidRPr="00F1437B">
        <w:rPr>
          <w:rFonts w:hint="eastAsia"/>
        </w:rPr>
        <w:t>和</w:t>
      </w:r>
      <w:r w:rsidRPr="00F1437B">
        <w:rPr>
          <w:rFonts w:hint="eastAsia"/>
        </w:rPr>
        <w:t>ROE</w:t>
      </w:r>
      <w:r w:rsidRPr="00F1437B">
        <w:rPr>
          <w:rFonts w:hint="eastAsia"/>
        </w:rPr>
        <w:t>的关系。它表明，脱离</w:t>
      </w:r>
      <w:r w:rsidRPr="00F1437B">
        <w:rPr>
          <w:rFonts w:hint="eastAsia"/>
        </w:rPr>
        <w:t>ROE</w:t>
      </w:r>
      <w:r w:rsidRPr="00F1437B">
        <w:rPr>
          <w:rFonts w:hint="eastAsia"/>
        </w:rPr>
        <w:t>谈</w:t>
      </w:r>
      <w:r w:rsidRPr="00F1437B">
        <w:rPr>
          <w:rFonts w:hint="eastAsia"/>
        </w:rPr>
        <w:t>PB</w:t>
      </w:r>
      <w:r w:rsidRPr="00F1437B">
        <w:rPr>
          <w:rFonts w:hint="eastAsia"/>
        </w:rPr>
        <w:t>高低，或脱离</w:t>
      </w:r>
      <w:r w:rsidRPr="00F1437B">
        <w:rPr>
          <w:rFonts w:hint="eastAsia"/>
        </w:rPr>
        <w:t>PB</w:t>
      </w:r>
      <w:r w:rsidRPr="00F1437B">
        <w:rPr>
          <w:rFonts w:hint="eastAsia"/>
        </w:rPr>
        <w:t>谈</w:t>
      </w:r>
      <w:r w:rsidRPr="00F1437B">
        <w:rPr>
          <w:rFonts w:hint="eastAsia"/>
        </w:rPr>
        <w:t>ROE</w:t>
      </w:r>
      <w:r w:rsidRPr="00F1437B">
        <w:rPr>
          <w:rFonts w:hint="eastAsia"/>
        </w:rPr>
        <w:t>好坏，都是不全面的。</w:t>
      </w:r>
    </w:p>
    <w:p w14:paraId="2B6B91FA" w14:textId="77777777" w:rsidR="00F1437B" w:rsidRDefault="00F1437B" w:rsidP="00F1437B">
      <w:pPr>
        <w:ind w:firstLine="480"/>
      </w:pPr>
      <w:r>
        <w:rPr>
          <w:rFonts w:hint="eastAsia"/>
        </w:rPr>
        <w:t>一个低</w:t>
      </w:r>
      <w:r>
        <w:rPr>
          <w:rFonts w:hint="eastAsia"/>
        </w:rPr>
        <w:t>PB</w:t>
      </w:r>
      <w:r>
        <w:rPr>
          <w:rFonts w:hint="eastAsia"/>
        </w:rPr>
        <w:t>的公司，若其</w:t>
      </w:r>
      <w:r>
        <w:rPr>
          <w:rFonts w:hint="eastAsia"/>
        </w:rPr>
        <w:t>ROE</w:t>
      </w:r>
      <w:r>
        <w:rPr>
          <w:rFonts w:hint="eastAsia"/>
        </w:rPr>
        <w:t>长期低于要求回报率</w:t>
      </w:r>
      <w:r>
        <w:rPr>
          <w:rFonts w:hint="eastAsia"/>
        </w:rPr>
        <w:t>k</w:t>
      </w:r>
      <w:r>
        <w:rPr>
          <w:rFonts w:hint="eastAsia"/>
        </w:rPr>
        <w:t>，那么它的低估值是合理的，这可能是一个“价值陷阱”。</w:t>
      </w:r>
    </w:p>
    <w:p w14:paraId="1B31BF3E" w14:textId="58CBFC02" w:rsidR="00D731BA" w:rsidRDefault="00F1437B" w:rsidP="00F1437B">
      <w:pPr>
        <w:ind w:firstLine="480"/>
      </w:pPr>
      <w:r>
        <w:rPr>
          <w:rFonts w:hint="eastAsia"/>
        </w:rPr>
        <w:t>一个高</w:t>
      </w:r>
      <w:r>
        <w:rPr>
          <w:rFonts w:hint="eastAsia"/>
        </w:rPr>
        <w:t>ROE</w:t>
      </w:r>
      <w:r>
        <w:rPr>
          <w:rFonts w:hint="eastAsia"/>
        </w:rPr>
        <w:t>的公司，若其</w:t>
      </w:r>
      <w:r>
        <w:rPr>
          <w:rFonts w:hint="eastAsia"/>
        </w:rPr>
        <w:t>PB</w:t>
      </w:r>
      <w:r>
        <w:rPr>
          <w:rFonts w:hint="eastAsia"/>
        </w:rPr>
        <w:t>估值已经反映了市场对其未来长期保持高盈利的乐观预期（即隐含了过长的</w:t>
      </w:r>
      <w:r>
        <w:rPr>
          <w:rFonts w:hint="eastAsia"/>
        </w:rPr>
        <w:t xml:space="preserve"> T </w:t>
      </w:r>
      <w:r>
        <w:rPr>
          <w:rFonts w:hint="eastAsia"/>
        </w:rPr>
        <w:t>值），那么一旦其</w:t>
      </w:r>
      <w:r>
        <w:rPr>
          <w:rFonts w:hint="eastAsia"/>
        </w:rPr>
        <w:t>ROE</w:t>
      </w:r>
      <w:r>
        <w:rPr>
          <w:rFonts w:hint="eastAsia"/>
        </w:rPr>
        <w:t>不及预期，估值存在下行风险。</w:t>
      </w:r>
    </w:p>
    <w:p w14:paraId="69959147" w14:textId="38E0D5BB" w:rsidR="00F1437B" w:rsidRDefault="00F1437B" w:rsidP="00F1437B">
      <w:pPr>
        <w:ind w:firstLine="480"/>
      </w:pPr>
      <w:r>
        <w:rPr>
          <w:rFonts w:hint="eastAsia"/>
        </w:rPr>
        <w:t>因此，本书后续的</w:t>
      </w:r>
      <w:r>
        <w:rPr>
          <w:rFonts w:hint="eastAsia"/>
        </w:rPr>
        <w:t>PB-ROE</w:t>
      </w:r>
      <w:r>
        <w:rPr>
          <w:rFonts w:hint="eastAsia"/>
        </w:rPr>
        <w:t>策略，其出发点正是利用这个模型去寻找市场的潜在错误定价：识别那些拥有较高</w:t>
      </w:r>
      <w:r>
        <w:rPr>
          <w:rFonts w:hint="eastAsia"/>
        </w:rPr>
        <w:t xml:space="preserve"> r</w:t>
      </w:r>
      <w:r>
        <w:rPr>
          <w:rFonts w:hint="eastAsia"/>
        </w:rPr>
        <w:t>（高</w:t>
      </w:r>
      <w:r>
        <w:rPr>
          <w:rFonts w:hint="eastAsia"/>
        </w:rPr>
        <w:t>ROE</w:t>
      </w:r>
      <w:r>
        <w:rPr>
          <w:rFonts w:hint="eastAsia"/>
        </w:rPr>
        <w:t>），但其当前</w:t>
      </w:r>
      <w:r>
        <w:rPr>
          <w:rFonts w:hint="eastAsia"/>
        </w:rPr>
        <w:t xml:space="preserve"> P/B </w:t>
      </w:r>
      <w:r>
        <w:rPr>
          <w:rFonts w:hint="eastAsia"/>
        </w:rPr>
        <w:t>估值却低于模型所示水平的公司。</w:t>
      </w:r>
    </w:p>
    <w:p w14:paraId="75D5B052" w14:textId="29F34E73" w:rsidR="00C334AC" w:rsidRDefault="00F1437B" w:rsidP="00F1437B">
      <w:pPr>
        <w:ind w:firstLine="480"/>
      </w:pPr>
      <w:r>
        <w:rPr>
          <w:rFonts w:hint="eastAsia"/>
        </w:rPr>
        <w:t>当然，该模型本身建立在简化的假设之上。现实中，历史</w:t>
      </w:r>
      <w:r>
        <w:rPr>
          <w:rFonts w:hint="eastAsia"/>
        </w:rPr>
        <w:t>ROE</w:t>
      </w:r>
      <w:r>
        <w:rPr>
          <w:rFonts w:hint="eastAsia"/>
        </w:rPr>
        <w:t>不等于未来</w:t>
      </w:r>
      <w:r>
        <w:rPr>
          <w:rFonts w:hint="eastAsia"/>
        </w:rPr>
        <w:t>ROE</w:t>
      </w:r>
      <w:r>
        <w:rPr>
          <w:rFonts w:hint="eastAsia"/>
        </w:rPr>
        <w:t>，净资产的构成和质量存在差异，不同行业的</w:t>
      </w:r>
      <w:r>
        <w:rPr>
          <w:rFonts w:hint="eastAsia"/>
        </w:rPr>
        <w:t xml:space="preserve"> T </w:t>
      </w:r>
      <w:r>
        <w:rPr>
          <w:rFonts w:hint="eastAsia"/>
        </w:rPr>
        <w:t>和</w:t>
      </w:r>
      <w:r>
        <w:rPr>
          <w:rFonts w:hint="eastAsia"/>
        </w:rPr>
        <w:t xml:space="preserve"> k </w:t>
      </w:r>
      <w:r>
        <w:rPr>
          <w:rFonts w:hint="eastAsia"/>
        </w:rPr>
        <w:t>也各不相同。这些模型的局限性，正是本书后续章节需要探讨并设法改进的方向。</w:t>
      </w:r>
    </w:p>
    <w:p w14:paraId="47D94618" w14:textId="77777777" w:rsidR="00C334AC" w:rsidRDefault="00C334AC" w:rsidP="001170B2">
      <w:pPr>
        <w:ind w:firstLine="480"/>
      </w:pPr>
    </w:p>
    <w:p w14:paraId="362CEF07" w14:textId="11395E49" w:rsidR="00C334AC" w:rsidRPr="0005235D" w:rsidRDefault="00C334AC" w:rsidP="0005235D">
      <w:pPr>
        <w:ind w:left="60" w:firstLineChars="0" w:firstLine="420"/>
        <w:rPr>
          <w:b/>
          <w:bCs/>
          <w:sz w:val="36"/>
          <w:szCs w:val="36"/>
        </w:rPr>
      </w:pPr>
      <w:r w:rsidRPr="0005235D">
        <w:rPr>
          <w:rFonts w:hint="eastAsia"/>
          <w:b/>
          <w:bCs/>
          <w:sz w:val="36"/>
          <w:szCs w:val="36"/>
        </w:rPr>
        <w:t>第四章</w:t>
      </w:r>
    </w:p>
    <w:p w14:paraId="5BD019B2" w14:textId="5E0334DA" w:rsidR="00E655CF" w:rsidRDefault="00E655CF" w:rsidP="005D1C6F">
      <w:pPr>
        <w:ind w:firstLine="482"/>
      </w:pPr>
      <w:r w:rsidRPr="00E655CF">
        <w:rPr>
          <w:rFonts w:hint="eastAsia"/>
          <w:b/>
          <w:bCs/>
        </w:rPr>
        <w:t>(1)</w:t>
      </w:r>
      <w:r w:rsidRPr="00E655CF">
        <w:rPr>
          <w:rFonts w:hint="eastAsia"/>
          <w:b/>
          <w:bCs/>
        </w:rPr>
        <w:t>关于</w:t>
      </w:r>
      <w:r w:rsidRPr="00E655CF">
        <w:rPr>
          <w:rFonts w:hint="eastAsia"/>
          <w:b/>
          <w:bCs/>
        </w:rPr>
        <w:t xml:space="preserve"> ROE</w:t>
      </w:r>
      <w:r w:rsidRPr="00E655CF">
        <w:rPr>
          <w:rFonts w:hint="eastAsia"/>
          <w:b/>
          <w:bCs/>
        </w:rPr>
        <w:t>的不足、优化以及指标体系建立。</w:t>
      </w:r>
      <w:r w:rsidRPr="00E655CF">
        <w:rPr>
          <w:rFonts w:hint="eastAsia"/>
        </w:rPr>
        <w:t>价值投资的核心是要挖掘出</w:t>
      </w:r>
      <w:r w:rsidRPr="00E655CF">
        <w:rPr>
          <w:rFonts w:hint="eastAsia"/>
        </w:rPr>
        <w:t>:</w:t>
      </w:r>
      <w:r w:rsidRPr="00E655CF">
        <w:rPr>
          <w:rFonts w:hint="eastAsia"/>
        </w:rPr>
        <w:t>盈利能力强、可持续、估值合理的好公司。单一的</w:t>
      </w:r>
      <w:r w:rsidRPr="00E655CF">
        <w:rPr>
          <w:rFonts w:hint="eastAsia"/>
        </w:rPr>
        <w:t xml:space="preserve"> ROE </w:t>
      </w:r>
      <w:r w:rsidRPr="00E655CF">
        <w:rPr>
          <w:rFonts w:hint="eastAsia"/>
        </w:rPr>
        <w:t>指标也存在一些不足的地方，主要有</w:t>
      </w:r>
      <w:r w:rsidRPr="00E655CF">
        <w:rPr>
          <w:rFonts w:hint="eastAsia"/>
        </w:rPr>
        <w:t>:1)</w:t>
      </w:r>
      <w:r w:rsidRPr="00E655CF">
        <w:rPr>
          <w:rFonts w:hint="eastAsia"/>
        </w:rPr>
        <w:t>单个</w:t>
      </w:r>
      <w:r w:rsidRPr="00E655CF">
        <w:rPr>
          <w:rFonts w:hint="eastAsia"/>
        </w:rPr>
        <w:t xml:space="preserve"> ROE </w:t>
      </w:r>
      <w:r w:rsidRPr="00E655CF">
        <w:rPr>
          <w:rFonts w:hint="eastAsia"/>
        </w:rPr>
        <w:t>指标未能体现公司盈利的趋势</w:t>
      </w:r>
      <w:r w:rsidRPr="00E655CF">
        <w:rPr>
          <w:rFonts w:hint="eastAsia"/>
        </w:rPr>
        <w:t>;2)</w:t>
      </w:r>
      <w:r w:rsidRPr="00E655CF">
        <w:rPr>
          <w:rFonts w:hint="eastAsia"/>
        </w:rPr>
        <w:t>高</w:t>
      </w:r>
      <w:r w:rsidRPr="00E655CF">
        <w:rPr>
          <w:rFonts w:hint="eastAsia"/>
        </w:rPr>
        <w:t xml:space="preserve"> ROE </w:t>
      </w:r>
      <w:r w:rsidRPr="00E655CF">
        <w:rPr>
          <w:rFonts w:hint="eastAsia"/>
        </w:rPr>
        <w:t>可能来自财务杠杆</w:t>
      </w:r>
      <w:r w:rsidRPr="00E655CF">
        <w:rPr>
          <w:rFonts w:hint="eastAsia"/>
        </w:rPr>
        <w:t>;3)</w:t>
      </w:r>
      <w:r w:rsidRPr="00E655CF">
        <w:rPr>
          <w:rFonts w:hint="eastAsia"/>
        </w:rPr>
        <w:t>未考虑经营现金状况</w:t>
      </w:r>
      <w:r w:rsidRPr="00E655CF">
        <w:rPr>
          <w:rFonts w:hint="eastAsia"/>
        </w:rPr>
        <w:t>;4)</w:t>
      </w:r>
      <w:r w:rsidRPr="00E655CF">
        <w:rPr>
          <w:rFonts w:hint="eastAsia"/>
        </w:rPr>
        <w:t>未考虑资产质量</w:t>
      </w:r>
      <w:r w:rsidRPr="00E655CF">
        <w:rPr>
          <w:rFonts w:hint="eastAsia"/>
        </w:rPr>
        <w:t>;5)</w:t>
      </w:r>
      <w:r w:rsidRPr="00E655CF">
        <w:rPr>
          <w:rFonts w:hint="eastAsia"/>
        </w:rPr>
        <w:t>可能已过度</w:t>
      </w:r>
      <w:r w:rsidRPr="00E655CF">
        <w:rPr>
          <w:rFonts w:hint="eastAsia"/>
        </w:rPr>
        <w:t xml:space="preserve"> pricein</w:t>
      </w:r>
      <w:r w:rsidRPr="00E655CF">
        <w:rPr>
          <w:rFonts w:hint="eastAsia"/>
        </w:rPr>
        <w:t>。因此，我们以</w:t>
      </w:r>
      <w:r w:rsidRPr="00E655CF">
        <w:rPr>
          <w:rFonts w:hint="eastAsia"/>
        </w:rPr>
        <w:t xml:space="preserve"> ROE</w:t>
      </w:r>
      <w:r w:rsidRPr="00E655CF">
        <w:rPr>
          <w:rFonts w:hint="eastAsia"/>
        </w:rPr>
        <w:t>为核心，加入其他财务指标进行优化</w:t>
      </w:r>
      <w:r w:rsidRPr="00E655CF">
        <w:rPr>
          <w:rFonts w:hint="eastAsia"/>
        </w:rPr>
        <w:t>:1)</w:t>
      </w:r>
      <w:r w:rsidRPr="00E655CF">
        <w:rPr>
          <w:rFonts w:hint="eastAsia"/>
        </w:rPr>
        <w:t>针对第一个问题，加入</w:t>
      </w:r>
      <w:r w:rsidRPr="00E655CF">
        <w:rPr>
          <w:rFonts w:hint="eastAsia"/>
        </w:rPr>
        <w:t xml:space="preserve">ROE </w:t>
      </w:r>
      <w:r w:rsidRPr="00E655CF">
        <w:rPr>
          <w:rFonts w:hint="eastAsia"/>
        </w:rPr>
        <w:t>趋势分析，参考毛利率和净利润增速的变化来讨论</w:t>
      </w:r>
      <w:r w:rsidRPr="00E655CF">
        <w:rPr>
          <w:rFonts w:hint="eastAsia"/>
        </w:rPr>
        <w:t>;2)</w:t>
      </w:r>
      <w:r w:rsidRPr="00E655CF">
        <w:rPr>
          <w:rFonts w:hint="eastAsia"/>
        </w:rPr>
        <w:t>针对第二个问</w:t>
      </w:r>
      <w:r w:rsidRPr="00E655CF">
        <w:rPr>
          <w:rFonts w:hint="eastAsia"/>
        </w:rPr>
        <w:lastRenderedPageBreak/>
        <w:t>题，加入</w:t>
      </w:r>
      <w:r w:rsidRPr="00E655CF">
        <w:rPr>
          <w:rFonts w:hint="eastAsia"/>
        </w:rPr>
        <w:t xml:space="preserve"> ROIC </w:t>
      </w:r>
      <w:r w:rsidRPr="00E655CF">
        <w:rPr>
          <w:rFonts w:hint="eastAsia"/>
        </w:rPr>
        <w:t>和负债率的分析</w:t>
      </w:r>
      <w:r w:rsidRPr="00E655CF">
        <w:rPr>
          <w:rFonts w:hint="eastAsia"/>
        </w:rPr>
        <w:t>;3)</w:t>
      </w:r>
      <w:r w:rsidRPr="00E655CF">
        <w:rPr>
          <w:rFonts w:hint="eastAsia"/>
        </w:rPr>
        <w:t>针对第三个问题，加入净经营现金流</w:t>
      </w:r>
      <w:r w:rsidRPr="00E655CF">
        <w:rPr>
          <w:rFonts w:hint="eastAsia"/>
        </w:rPr>
        <w:t>;4)</w:t>
      </w:r>
      <w:r w:rsidRPr="00E655CF">
        <w:rPr>
          <w:rFonts w:hint="eastAsia"/>
        </w:rPr>
        <w:t>针对第四个问题，加入商誉占比</w:t>
      </w:r>
      <w:r w:rsidRPr="00E655CF">
        <w:rPr>
          <w:rFonts w:hint="eastAsia"/>
        </w:rPr>
        <w:t>;5)</w:t>
      </w:r>
      <w:r w:rsidRPr="00E655CF">
        <w:rPr>
          <w:rFonts w:hint="eastAsia"/>
        </w:rPr>
        <w:t>针对第五个问题，加入</w:t>
      </w:r>
      <w:r w:rsidRPr="00E655CF">
        <w:rPr>
          <w:rFonts w:hint="eastAsia"/>
        </w:rPr>
        <w:t xml:space="preserve"> PE/PE </w:t>
      </w:r>
      <w:r w:rsidRPr="00E655CF">
        <w:rPr>
          <w:rFonts w:hint="eastAsia"/>
        </w:rPr>
        <w:t>分位或</w:t>
      </w:r>
      <w:r w:rsidRPr="00E655CF">
        <w:rPr>
          <w:rFonts w:hint="eastAsia"/>
        </w:rPr>
        <w:t xml:space="preserve"> PB/PB </w:t>
      </w:r>
      <w:r w:rsidRPr="00E655CF">
        <w:rPr>
          <w:rFonts w:hint="eastAsia"/>
        </w:rPr>
        <w:t>分位。</w:t>
      </w:r>
    </w:p>
    <w:p w14:paraId="6607C8EE" w14:textId="77777777" w:rsidR="005A38D9" w:rsidRDefault="005A38D9" w:rsidP="005A38D9">
      <w:pPr>
        <w:ind w:firstLine="480"/>
      </w:pPr>
      <w:r>
        <w:rPr>
          <w:rFonts w:hint="eastAsia"/>
        </w:rPr>
        <w:t>理论上，</w:t>
      </w:r>
      <w:r>
        <w:rPr>
          <w:rFonts w:hint="eastAsia"/>
        </w:rPr>
        <w:t xml:space="preserve">ROIC </w:t>
      </w:r>
      <w:r>
        <w:rPr>
          <w:rFonts w:hint="eastAsia"/>
        </w:rPr>
        <w:t>可以更全面衡量企业的投资回报情况，弥补</w:t>
      </w:r>
      <w:r>
        <w:rPr>
          <w:rFonts w:hint="eastAsia"/>
        </w:rPr>
        <w:t xml:space="preserve"> ROE</w:t>
      </w:r>
      <w:r>
        <w:rPr>
          <w:rFonts w:hint="eastAsia"/>
        </w:rPr>
        <w:t>的不足。</w:t>
      </w:r>
      <w:r>
        <w:rPr>
          <w:rFonts w:hint="eastAsia"/>
        </w:rPr>
        <w:t xml:space="preserve">ROIC </w:t>
      </w:r>
      <w:r>
        <w:rPr>
          <w:rFonts w:hint="eastAsia"/>
        </w:rPr>
        <w:t>是投入资本回报率，分子是税后息前净利润</w:t>
      </w:r>
      <w:r>
        <w:rPr>
          <w:rFonts w:hint="eastAsia"/>
        </w:rPr>
        <w:t>(NOPAT)</w:t>
      </w:r>
      <w:r>
        <w:rPr>
          <w:rFonts w:hint="eastAsia"/>
        </w:rPr>
        <w:t>，分母是净资产和有息负债，指所有投资者</w:t>
      </w:r>
      <w:r>
        <w:rPr>
          <w:rFonts w:hint="eastAsia"/>
        </w:rPr>
        <w:t>(</w:t>
      </w:r>
      <w:r>
        <w:rPr>
          <w:rFonts w:hint="eastAsia"/>
        </w:rPr>
        <w:t>股权人、债权人</w:t>
      </w:r>
      <w:r>
        <w:rPr>
          <w:rFonts w:hint="eastAsia"/>
        </w:rPr>
        <w:t>)</w:t>
      </w:r>
      <w:r>
        <w:rPr>
          <w:rFonts w:hint="eastAsia"/>
        </w:rPr>
        <w:t>投入的资金总和。若为更准确衡量企业核心经营回报，还可在</w:t>
      </w:r>
      <w:r>
        <w:rPr>
          <w:rFonts w:hint="eastAsia"/>
        </w:rPr>
        <w:t xml:space="preserve"> EBIT </w:t>
      </w:r>
      <w:r>
        <w:rPr>
          <w:rFonts w:hint="eastAsia"/>
        </w:rPr>
        <w:t>基础上剔除非经常损益的影响。</w:t>
      </w:r>
      <w:r>
        <w:rPr>
          <w:rFonts w:hint="eastAsia"/>
        </w:rPr>
        <w:t xml:space="preserve">ROE </w:t>
      </w:r>
      <w:r>
        <w:rPr>
          <w:rFonts w:hint="eastAsia"/>
        </w:rPr>
        <w:t>衡量的是企业能为股东带来多少回报，站在股东角度</w:t>
      </w:r>
      <w:r>
        <w:rPr>
          <w:rFonts w:hint="eastAsia"/>
        </w:rPr>
        <w:t>;</w:t>
      </w:r>
      <w:r>
        <w:rPr>
          <w:rFonts w:hint="eastAsia"/>
        </w:rPr>
        <w:t>而</w:t>
      </w:r>
      <w:r>
        <w:rPr>
          <w:rFonts w:hint="eastAsia"/>
        </w:rPr>
        <w:t xml:space="preserve">ROIC </w:t>
      </w:r>
      <w:r>
        <w:rPr>
          <w:rFonts w:hint="eastAsia"/>
        </w:rPr>
        <w:t>衡量的是企业所有投入能带来多少回报，反映的是企业创造价值的能力，且不受财务杠杆和非经常损益的影响</w:t>
      </w:r>
      <w:r>
        <w:rPr>
          <w:rFonts w:hint="eastAsia"/>
        </w:rPr>
        <w:t>(</w:t>
      </w:r>
      <w:r>
        <w:rPr>
          <w:rFonts w:hint="eastAsia"/>
        </w:rPr>
        <w:t>采用扣非</w:t>
      </w:r>
      <w:r>
        <w:rPr>
          <w:rFonts w:hint="eastAsia"/>
        </w:rPr>
        <w:t xml:space="preserve"> EBIT )</w:t>
      </w:r>
      <w:r>
        <w:rPr>
          <w:rFonts w:hint="eastAsia"/>
        </w:rPr>
        <w:t>，可用来弥补</w:t>
      </w:r>
      <w:r>
        <w:rPr>
          <w:rFonts w:hint="eastAsia"/>
        </w:rPr>
        <w:t xml:space="preserve"> ROE </w:t>
      </w:r>
      <w:r>
        <w:rPr>
          <w:rFonts w:hint="eastAsia"/>
        </w:rPr>
        <w:t>的不足。</w:t>
      </w:r>
    </w:p>
    <w:p w14:paraId="08739A83" w14:textId="77777777" w:rsidR="005A38D9" w:rsidRDefault="005A38D9" w:rsidP="005A38D9">
      <w:pPr>
        <w:ind w:firstLine="480"/>
      </w:pPr>
      <w:r>
        <w:rPr>
          <w:rFonts w:hint="eastAsia"/>
        </w:rPr>
        <w:t>警惕成长行业</w:t>
      </w:r>
      <w:r>
        <w:rPr>
          <w:rFonts w:hint="eastAsia"/>
        </w:rPr>
        <w:t xml:space="preserve"> ROIC </w:t>
      </w:r>
      <w:r>
        <w:rPr>
          <w:rFonts w:hint="eastAsia"/>
        </w:rPr>
        <w:t>与</w:t>
      </w:r>
      <w:r>
        <w:rPr>
          <w:rFonts w:hint="eastAsia"/>
        </w:rPr>
        <w:t xml:space="preserve"> ROE </w:t>
      </w:r>
      <w:r>
        <w:rPr>
          <w:rFonts w:hint="eastAsia"/>
        </w:rPr>
        <w:t>的背离。当出现背离，即“高</w:t>
      </w:r>
      <w:r>
        <w:rPr>
          <w:rFonts w:hint="eastAsia"/>
        </w:rPr>
        <w:t xml:space="preserve"> ROE+</w:t>
      </w:r>
      <w:r>
        <w:rPr>
          <w:rFonts w:hint="eastAsia"/>
        </w:rPr>
        <w:t>低</w:t>
      </w:r>
      <w:r>
        <w:rPr>
          <w:rFonts w:hint="eastAsia"/>
        </w:rPr>
        <w:t xml:space="preserve"> ROIC</w:t>
      </w:r>
      <w:r>
        <w:rPr>
          <w:rFonts w:hint="eastAsia"/>
        </w:rPr>
        <w:t>”的时候，应该引起警惕，可能是由于公司大量使用财务杠杆使得</w:t>
      </w:r>
      <w:r>
        <w:rPr>
          <w:rFonts w:hint="eastAsia"/>
        </w:rPr>
        <w:t xml:space="preserve"> ROE </w:t>
      </w:r>
      <w:r>
        <w:rPr>
          <w:rFonts w:hint="eastAsia"/>
        </w:rPr>
        <w:t>在高位，但低的</w:t>
      </w:r>
      <w:r>
        <w:rPr>
          <w:rFonts w:hint="eastAsia"/>
        </w:rPr>
        <w:t xml:space="preserve"> ROIC </w:t>
      </w:r>
      <w:r>
        <w:rPr>
          <w:rFonts w:hint="eastAsia"/>
        </w:rPr>
        <w:t>表明企业的投资回报率实际上是平庸的。对于成长中的行业，由于普遍使用较高的财务杠杆，其</w:t>
      </w:r>
      <w:r>
        <w:rPr>
          <w:rFonts w:hint="eastAsia"/>
        </w:rPr>
        <w:t xml:space="preserve">ROE </w:t>
      </w:r>
      <w:r>
        <w:rPr>
          <w:rFonts w:hint="eastAsia"/>
        </w:rPr>
        <w:t>可能并不能反应企业真正创造价值的能力，这时结合</w:t>
      </w:r>
      <w:r>
        <w:rPr>
          <w:rFonts w:hint="eastAsia"/>
        </w:rPr>
        <w:t xml:space="preserve"> ROIC </w:t>
      </w:r>
      <w:r>
        <w:rPr>
          <w:rFonts w:hint="eastAsia"/>
        </w:rPr>
        <w:t>来分析是非常有必要的。</w:t>
      </w:r>
    </w:p>
    <w:p w14:paraId="3AF85ED5" w14:textId="55FB4B8F" w:rsidR="00E655CF" w:rsidRDefault="005A38D9" w:rsidP="005A38D9">
      <w:pPr>
        <w:ind w:firstLine="480"/>
      </w:pPr>
      <w:r>
        <w:rPr>
          <w:rFonts w:hint="eastAsia"/>
        </w:rPr>
        <w:t>基于企业经济增加值模型，</w:t>
      </w:r>
      <w:r>
        <w:rPr>
          <w:rFonts w:hint="eastAsia"/>
        </w:rPr>
        <w:t>ROIC</w:t>
      </w:r>
      <w:r>
        <w:rPr>
          <w:rFonts w:hint="eastAsia"/>
        </w:rPr>
        <w:t>最低的要求是</w:t>
      </w:r>
      <w:r>
        <w:rPr>
          <w:rFonts w:hint="eastAsia"/>
        </w:rPr>
        <w:t>:ROIC&gt;WACC</w:t>
      </w:r>
      <w:r>
        <w:rPr>
          <w:rFonts w:hint="eastAsia"/>
        </w:rPr>
        <w:t>。</w:t>
      </w:r>
      <w:r>
        <w:rPr>
          <w:rFonts w:hint="eastAsia"/>
        </w:rPr>
        <w:t>EVA</w:t>
      </w:r>
      <w:r>
        <w:rPr>
          <w:rFonts w:hint="eastAsia"/>
        </w:rPr>
        <w:t>即经济增加值，其理论源于默顿·米勒和弗兰科·莫迪利亚尼《关于公司价值的经济模型》</w:t>
      </w:r>
      <w:r>
        <w:rPr>
          <w:rFonts w:hint="eastAsia"/>
        </w:rPr>
        <w:t xml:space="preserve">1990 </w:t>
      </w:r>
      <w:r>
        <w:rPr>
          <w:rFonts w:hint="eastAsia"/>
        </w:rPr>
        <w:t>年斯特恩</w:t>
      </w:r>
      <w:r>
        <w:rPr>
          <w:rFonts w:hint="eastAsia"/>
        </w:rPr>
        <w:t xml:space="preserve"> </w:t>
      </w:r>
      <w:r>
        <w:rPr>
          <w:rFonts w:hint="eastAsia"/>
        </w:rPr>
        <w:t>·斯图尔特咨询公司首次提出后迅速在世界范围内获得广泛的运用。当</w:t>
      </w:r>
      <w:r>
        <w:rPr>
          <w:rFonts w:hint="eastAsia"/>
        </w:rPr>
        <w:t xml:space="preserve"> ROIC </w:t>
      </w:r>
      <w:r>
        <w:rPr>
          <w:rFonts w:hint="eastAsia"/>
        </w:rPr>
        <w:t>小于</w:t>
      </w:r>
      <w:r>
        <w:rPr>
          <w:rFonts w:hint="eastAsia"/>
        </w:rPr>
        <w:t xml:space="preserve"> WACC</w:t>
      </w:r>
      <w:r>
        <w:rPr>
          <w:rFonts w:hint="eastAsia"/>
        </w:rPr>
        <w:t>，即资本回报小于资本成本的时候，就算净利润增速为正，企业的价值也是在萎缩的。因此只有</w:t>
      </w:r>
      <w:r>
        <w:rPr>
          <w:rFonts w:hint="eastAsia"/>
        </w:rPr>
        <w:t xml:space="preserve"> ROIC </w:t>
      </w:r>
      <w:r>
        <w:rPr>
          <w:rFonts w:hint="eastAsia"/>
        </w:rPr>
        <w:t>超出</w:t>
      </w:r>
      <w:r>
        <w:rPr>
          <w:rFonts w:hint="eastAsia"/>
        </w:rPr>
        <w:t xml:space="preserve"> WACC </w:t>
      </w:r>
      <w:r>
        <w:rPr>
          <w:rFonts w:hint="eastAsia"/>
        </w:rPr>
        <w:t>的成长，才是真正有意义的成长，一般取</w:t>
      </w:r>
      <w:r>
        <w:rPr>
          <w:rFonts w:hint="eastAsia"/>
        </w:rPr>
        <w:t xml:space="preserve"> 7%-8%</w:t>
      </w:r>
      <w:r>
        <w:rPr>
          <w:rFonts w:hint="eastAsia"/>
        </w:rPr>
        <w:t>即可。</w:t>
      </w:r>
    </w:p>
    <w:p w14:paraId="0EC6B7AA" w14:textId="77777777" w:rsidR="005A38D9" w:rsidRDefault="005A38D9" w:rsidP="005A38D9">
      <w:pPr>
        <w:ind w:firstLine="480"/>
      </w:pPr>
    </w:p>
    <w:p w14:paraId="7C63A4B7" w14:textId="77777777" w:rsidR="005A38D9" w:rsidRDefault="005A38D9" w:rsidP="005A38D9">
      <w:pPr>
        <w:ind w:firstLine="480"/>
      </w:pPr>
    </w:p>
    <w:p w14:paraId="3154C6BA" w14:textId="5976BB32" w:rsidR="005D1C6F" w:rsidRDefault="005D1C6F" w:rsidP="005D1C6F">
      <w:pPr>
        <w:ind w:firstLine="480"/>
      </w:pPr>
      <w:r>
        <w:rPr>
          <w:rFonts w:hint="eastAsia"/>
        </w:rPr>
        <w:t>尽管预测可能会有风险，但若要让市场估值有意义，股价必须反映不同的增长率前景。另外，增长阶段可能持续的时间长度也非常重要。如果一家公司预期在未来</w:t>
      </w:r>
      <w:r>
        <w:rPr>
          <w:rFonts w:hint="eastAsia"/>
        </w:rPr>
        <w:t>10</w:t>
      </w:r>
      <w:r>
        <w:rPr>
          <w:rFonts w:hint="eastAsia"/>
        </w:rPr>
        <w:t>年里保持</w:t>
      </w:r>
      <w:r>
        <w:rPr>
          <w:rFonts w:hint="eastAsia"/>
        </w:rPr>
        <w:t>20</w:t>
      </w:r>
      <w:r>
        <w:rPr>
          <w:rFonts w:hint="eastAsia"/>
        </w:rPr>
        <w:t>％的高速增长，而另一家增长型公司预期只在</w:t>
      </w:r>
      <w:r>
        <w:rPr>
          <w:rFonts w:hint="eastAsia"/>
        </w:rPr>
        <w:t>5</w:t>
      </w:r>
      <w:r>
        <w:rPr>
          <w:rFonts w:hint="eastAsia"/>
        </w:rPr>
        <w:t>年内保持相同增长率，那么在其他条件相同的情况下，对投资者来说，前一家公司比后一家公司更有价值。因此，我们便有了基本面分析师评估股票的第一条规则。</w:t>
      </w:r>
    </w:p>
    <w:p w14:paraId="1C5890B5" w14:textId="77777777" w:rsidR="005D1C6F" w:rsidRDefault="005D1C6F" w:rsidP="005D1C6F">
      <w:pPr>
        <w:ind w:firstLine="480"/>
      </w:pPr>
      <w:r>
        <w:rPr>
          <w:rFonts w:hint="eastAsia"/>
        </w:rPr>
        <w:t>规则</w:t>
      </w:r>
      <w:r>
        <w:rPr>
          <w:rFonts w:hint="eastAsia"/>
        </w:rPr>
        <w:t>1</w:t>
      </w:r>
      <w:r>
        <w:rPr>
          <w:rFonts w:hint="eastAsia"/>
        </w:rPr>
        <w:t>：一只股票的股利增长率和盈利增长率越高，理性投资者应愿意为其支付越高的价格。</w:t>
      </w:r>
    </w:p>
    <w:p w14:paraId="0CB44001" w14:textId="77777777" w:rsidR="005D1C6F" w:rsidRDefault="005D1C6F" w:rsidP="005D1C6F">
      <w:pPr>
        <w:ind w:firstLine="480"/>
      </w:pPr>
      <w:r>
        <w:rPr>
          <w:rFonts w:hint="eastAsia"/>
        </w:rPr>
        <w:t>由此，我们得出一条重要推论。</w:t>
      </w:r>
    </w:p>
    <w:p w14:paraId="5EDCB065" w14:textId="7A082E71" w:rsidR="005D1C6F" w:rsidRDefault="005D1C6F" w:rsidP="005D1C6F">
      <w:pPr>
        <w:ind w:firstLine="480"/>
      </w:pPr>
      <w:r>
        <w:rPr>
          <w:rFonts w:hint="eastAsia"/>
        </w:rPr>
        <w:t>规则</w:t>
      </w:r>
      <w:r>
        <w:rPr>
          <w:rFonts w:hint="eastAsia"/>
        </w:rPr>
        <w:t>1</w:t>
      </w:r>
      <w:r>
        <w:rPr>
          <w:rFonts w:hint="eastAsia"/>
        </w:rPr>
        <w:t>推论：一只股票的超常增长率预期持续时间越长，理性投资者应愿意为其支付越高的价格。</w:t>
      </w:r>
    </w:p>
    <w:p w14:paraId="7E9B4540" w14:textId="77777777" w:rsidR="005D1C6F" w:rsidRDefault="005D1C6F" w:rsidP="001170B2">
      <w:pPr>
        <w:ind w:firstLine="480"/>
      </w:pPr>
    </w:p>
    <w:p w14:paraId="59C69714" w14:textId="27ACF967" w:rsidR="005D1C6F" w:rsidRDefault="005D1C6F" w:rsidP="001170B2">
      <w:pPr>
        <w:ind w:firstLine="480"/>
      </w:pPr>
      <w:r w:rsidRPr="005D1C6F">
        <w:rPr>
          <w:rFonts w:hint="eastAsia"/>
        </w:rPr>
        <w:t>上市公司超乎寻常的长期盈利增长率，是促成多数股票投资获得成功的唯一最重要的因素。谷歌、网飞以及其他所有历史上表现真正杰出的股票均属增长型股票。虽然选中盈利增长的股票可能非常不易，但这是投资获得成功最需做到的事情。上市公司持续不断的增长，不仅会提</w:t>
      </w:r>
      <w:r w:rsidRPr="005D1C6F">
        <w:rPr>
          <w:rFonts w:hint="eastAsia"/>
        </w:rPr>
        <w:lastRenderedPageBreak/>
        <w:t>高其盈利和股利，也可能使市场愿意为这样的盈利付出较高的市盈率。因此，买入盈利开始快速增长的公司股票，投资者便有机会赢得潜在的双重好处——盈利和市盈率都可能提高。</w:t>
      </w:r>
    </w:p>
    <w:p w14:paraId="44F80844" w14:textId="77777777" w:rsidR="005D1C6F" w:rsidRDefault="005D1C6F" w:rsidP="001170B2">
      <w:pPr>
        <w:ind w:firstLine="480"/>
      </w:pPr>
    </w:p>
    <w:p w14:paraId="2AB613A0" w14:textId="77777777" w:rsidR="00E10499" w:rsidRDefault="00E10499" w:rsidP="001170B2">
      <w:pPr>
        <w:ind w:firstLine="480"/>
      </w:pPr>
    </w:p>
    <w:p w14:paraId="0C629B23" w14:textId="45208951" w:rsidR="00E10499" w:rsidRDefault="00E10499" w:rsidP="001170B2">
      <w:pPr>
        <w:ind w:firstLine="480"/>
      </w:pPr>
      <w:r w:rsidRPr="00E10499">
        <w:rPr>
          <w:rFonts w:hint="eastAsia"/>
        </w:rPr>
        <w:t>有时，我也依靠林迪定律，该定律认为一项技术的未来预期寿命与其当前年龄成正比。因此，如果某样东西已经存在了一段时间，我会假设它还会继续存在一段时间。</w:t>
      </w:r>
    </w:p>
    <w:p w14:paraId="2D6EE519" w14:textId="77777777" w:rsidR="00E10499" w:rsidRPr="00E10499" w:rsidRDefault="00E10499" w:rsidP="001170B2">
      <w:pPr>
        <w:ind w:firstLine="480"/>
      </w:pPr>
    </w:p>
    <w:p w14:paraId="611D079C" w14:textId="4092E489" w:rsidR="00E127F0" w:rsidRDefault="00E127F0" w:rsidP="001170B2">
      <w:pPr>
        <w:ind w:firstLine="480"/>
      </w:pPr>
      <w:r>
        <w:rPr>
          <w:rFonts w:hint="eastAsia"/>
        </w:rPr>
        <w:t>T</w:t>
      </w:r>
      <w:r>
        <w:rPr>
          <w:rFonts w:hint="eastAsia"/>
        </w:rPr>
        <w:t>（投资期限）越长，公司越好，如何知道哪些公司</w:t>
      </w:r>
      <w:r>
        <w:rPr>
          <w:rFonts w:hint="eastAsia"/>
        </w:rPr>
        <w:t>T</w:t>
      </w:r>
      <w:r>
        <w:rPr>
          <w:rFonts w:hint="eastAsia"/>
        </w:rPr>
        <w:t>长呢？已经维持了许多年高</w:t>
      </w:r>
      <w:r>
        <w:rPr>
          <w:rFonts w:hint="eastAsia"/>
        </w:rPr>
        <w:t>ROE</w:t>
      </w:r>
      <w:r>
        <w:rPr>
          <w:rFonts w:hint="eastAsia"/>
        </w:rPr>
        <w:t>的公司，就是这么简单，巴菲特的选股方法。</w:t>
      </w:r>
    </w:p>
    <w:p w14:paraId="2D44E87B" w14:textId="5BD5DED1" w:rsidR="00E127F0" w:rsidRDefault="00E127F0" w:rsidP="001170B2">
      <w:pPr>
        <w:ind w:firstLine="480"/>
      </w:pPr>
      <w:r>
        <w:rPr>
          <w:rFonts w:hint="eastAsia"/>
        </w:rPr>
        <w:t>圣经是存在时间最长的书，读的人也最多，国富论四百年了，仍然是经典，已经存在了很久的东西，在接下来一百年一千年也大概率存在。</w:t>
      </w:r>
    </w:p>
    <w:p w14:paraId="2F3A4665" w14:textId="50BA82E7" w:rsidR="00E127F0" w:rsidRDefault="00E127F0" w:rsidP="001170B2">
      <w:pPr>
        <w:ind w:firstLine="480"/>
      </w:pPr>
      <w:r>
        <w:rPr>
          <w:rFonts w:hint="eastAsia"/>
        </w:rPr>
        <w:t>难道就没有别的比圣经，比国富论写的更早的书吗，有，但是这些书已经被淘汰了，没有人看了，也没能够流传下来。歌曲也是一样，二十年的是经典，过了二十年还是经典，而现在的新出的流行歌，过二十年就没人记得了。</w:t>
      </w:r>
    </w:p>
    <w:p w14:paraId="19AA2F15" w14:textId="059488B3" w:rsidR="00E127F0" w:rsidRPr="00E127F0" w:rsidRDefault="00E127F0" w:rsidP="001170B2">
      <w:pPr>
        <w:ind w:firstLine="480"/>
      </w:pPr>
      <w:r>
        <w:rPr>
          <w:rFonts w:hint="eastAsia"/>
        </w:rPr>
        <w:t>公司也是一样，已经有十年高壁垒的公司，未来也是，现在刚刚</w:t>
      </w:r>
      <w:r>
        <w:rPr>
          <w:rFonts w:hint="eastAsia"/>
        </w:rPr>
        <w:t>ROE</w:t>
      </w:r>
      <w:r>
        <w:rPr>
          <w:rFonts w:hint="eastAsia"/>
        </w:rPr>
        <w:t>高的公司，未来收益率会不断下降，因为新的竞争者会进入（数据证明）</w:t>
      </w:r>
    </w:p>
    <w:p w14:paraId="1AEA6CF0" w14:textId="77777777" w:rsidR="005D1C6F" w:rsidRDefault="005D1C6F" w:rsidP="001170B2">
      <w:pPr>
        <w:ind w:firstLine="480"/>
      </w:pPr>
    </w:p>
    <w:p w14:paraId="168C94FF" w14:textId="53680CF9" w:rsidR="00D46649" w:rsidRDefault="00D46649" w:rsidP="001170B2">
      <w:pPr>
        <w:ind w:firstLine="480"/>
      </w:pPr>
      <w:r w:rsidRPr="00D46649">
        <w:rPr>
          <w:rFonts w:hint="eastAsia"/>
        </w:rPr>
        <w:t>晨星公司前研究部主任，《巴菲特的护城河》（</w:t>
      </w:r>
      <w:r w:rsidRPr="00D46649">
        <w:rPr>
          <w:rFonts w:hint="eastAsia"/>
        </w:rPr>
        <w:t>The Little Book that Builds Wealth</w:t>
      </w:r>
      <w:r w:rsidRPr="00D46649">
        <w:rPr>
          <w:rFonts w:hint="eastAsia"/>
        </w:rPr>
        <w:t>）的作者帕特·多尔西（</w:t>
      </w:r>
      <w:r w:rsidRPr="00D46649">
        <w:rPr>
          <w:rFonts w:hint="eastAsia"/>
        </w:rPr>
        <w:t>Pat Dorsey</w:t>
      </w:r>
      <w:r w:rsidRPr="00D46649">
        <w:rPr>
          <w:rFonts w:hint="eastAsia"/>
        </w:rPr>
        <w:t>）说：</w:t>
      </w:r>
    </w:p>
    <w:p w14:paraId="6EDD2DA4" w14:textId="5B6D98D2" w:rsidR="00C334AC" w:rsidRDefault="00D46649" w:rsidP="001170B2">
      <w:pPr>
        <w:ind w:firstLine="480"/>
      </w:pPr>
      <w:r w:rsidRPr="00D46649">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07656680" w14:textId="6F513B1F" w:rsidR="00C334AC" w:rsidRDefault="00A55D39" w:rsidP="001170B2">
      <w:pPr>
        <w:ind w:firstLine="480"/>
      </w:pPr>
      <w:r w:rsidRPr="00A55D39">
        <w:rPr>
          <w:rFonts w:hint="eastAsia"/>
        </w:rPr>
        <w:t>投入资本回报率</w:t>
      </w:r>
    </w:p>
    <w:p w14:paraId="0C2018D9" w14:textId="77777777" w:rsidR="008559B2" w:rsidRPr="008559B2" w:rsidRDefault="008559B2" w:rsidP="008559B2">
      <w:pPr>
        <w:ind w:firstLine="482"/>
        <w:rPr>
          <w:b/>
          <w:bCs/>
        </w:rPr>
      </w:pPr>
      <w:r w:rsidRPr="008559B2">
        <w:rPr>
          <w:b/>
          <w:bCs/>
        </w:rPr>
        <w:t>未来</w:t>
      </w:r>
      <w:r w:rsidRPr="008559B2">
        <w:rPr>
          <w:b/>
          <w:bCs/>
        </w:rPr>
        <w:t>ROIC</w:t>
      </w:r>
      <w:r w:rsidRPr="008559B2">
        <w:rPr>
          <w:b/>
          <w:bCs/>
        </w:rPr>
        <w:t>预测核心要素（摘要）</w:t>
      </w:r>
    </w:p>
    <w:p w14:paraId="4665F8A0" w14:textId="77777777" w:rsidR="008559B2" w:rsidRPr="008559B2" w:rsidRDefault="008559B2" w:rsidP="008559B2">
      <w:pPr>
        <w:numPr>
          <w:ilvl w:val="0"/>
          <w:numId w:val="2"/>
        </w:numPr>
        <w:ind w:firstLine="480"/>
      </w:pPr>
      <w:r w:rsidRPr="008559B2">
        <w:t>行业特性</w:t>
      </w:r>
    </w:p>
    <w:p w14:paraId="50FFEA04" w14:textId="77777777" w:rsidR="008559B2" w:rsidRPr="008559B2" w:rsidRDefault="008559B2" w:rsidP="008559B2">
      <w:pPr>
        <w:numPr>
          <w:ilvl w:val="1"/>
          <w:numId w:val="2"/>
        </w:numPr>
        <w:ind w:firstLine="480"/>
      </w:pPr>
      <w:r w:rsidRPr="008559B2">
        <w:t>壁垒与竞争：高壁垒行业更易维持高</w:t>
      </w:r>
      <w:r w:rsidRPr="008559B2">
        <w:t>ROIC</w:t>
      </w:r>
      <w:r w:rsidRPr="008559B2">
        <w:t>，低壁垒行业易受价格战压迫</w:t>
      </w:r>
    </w:p>
    <w:p w14:paraId="04C177C5" w14:textId="77777777" w:rsidR="008559B2" w:rsidRPr="008559B2" w:rsidRDefault="008559B2" w:rsidP="008559B2">
      <w:pPr>
        <w:numPr>
          <w:ilvl w:val="1"/>
          <w:numId w:val="2"/>
        </w:numPr>
        <w:ind w:firstLine="480"/>
      </w:pPr>
      <w:r w:rsidRPr="008559B2">
        <w:t>创新速度：技术密集行业</w:t>
      </w:r>
      <w:r w:rsidRPr="008559B2">
        <w:t>ROIC</w:t>
      </w:r>
      <w:r w:rsidRPr="008559B2">
        <w:t>依赖研发转化效率，传统行业缺创新则长期低迷</w:t>
      </w:r>
    </w:p>
    <w:p w14:paraId="0D1C6BA7" w14:textId="77777777" w:rsidR="008559B2" w:rsidRPr="008559B2" w:rsidRDefault="008559B2" w:rsidP="008559B2">
      <w:pPr>
        <w:numPr>
          <w:ilvl w:val="0"/>
          <w:numId w:val="2"/>
        </w:numPr>
        <w:ind w:firstLine="480"/>
      </w:pPr>
      <w:r w:rsidRPr="008559B2">
        <w:t>公司战略与运营效率</w:t>
      </w:r>
    </w:p>
    <w:p w14:paraId="165AAA28" w14:textId="77777777" w:rsidR="008559B2" w:rsidRPr="008559B2" w:rsidRDefault="008559B2" w:rsidP="008559B2">
      <w:pPr>
        <w:numPr>
          <w:ilvl w:val="1"/>
          <w:numId w:val="2"/>
        </w:numPr>
        <w:ind w:firstLine="480"/>
      </w:pPr>
      <w:r w:rsidRPr="008559B2">
        <w:t>商业模式与资本配置：轻资产模式</w:t>
      </w:r>
      <w:r w:rsidRPr="008559B2">
        <w:t>ROIC</w:t>
      </w:r>
      <w:r w:rsidRPr="008559B2">
        <w:t>高，盲目扩张会拖累增量回报</w:t>
      </w:r>
    </w:p>
    <w:p w14:paraId="2F3E74C2" w14:textId="77777777" w:rsidR="008559B2" w:rsidRPr="008559B2" w:rsidRDefault="008559B2" w:rsidP="008559B2">
      <w:pPr>
        <w:numPr>
          <w:ilvl w:val="1"/>
          <w:numId w:val="2"/>
        </w:numPr>
        <w:ind w:firstLine="480"/>
      </w:pPr>
      <w:r w:rsidRPr="008559B2">
        <w:t>成本与供应链：高效供应链与低折旧</w:t>
      </w:r>
      <w:r w:rsidRPr="008559B2">
        <w:t>/</w:t>
      </w:r>
      <w:r w:rsidRPr="008559B2">
        <w:t>收入比率能直接提升</w:t>
      </w:r>
      <w:r w:rsidRPr="008559B2">
        <w:t>ROIC</w:t>
      </w:r>
    </w:p>
    <w:p w14:paraId="0A12011C" w14:textId="77777777" w:rsidR="008559B2" w:rsidRPr="008559B2" w:rsidRDefault="008559B2" w:rsidP="008559B2">
      <w:pPr>
        <w:numPr>
          <w:ilvl w:val="0"/>
          <w:numId w:val="2"/>
        </w:numPr>
        <w:ind w:firstLine="480"/>
      </w:pPr>
      <w:r w:rsidRPr="008559B2">
        <w:t>财务结构与资本成本</w:t>
      </w:r>
    </w:p>
    <w:p w14:paraId="6FC13F59" w14:textId="77777777" w:rsidR="008559B2" w:rsidRPr="008559B2" w:rsidRDefault="008559B2" w:rsidP="008559B2">
      <w:pPr>
        <w:numPr>
          <w:ilvl w:val="1"/>
          <w:numId w:val="2"/>
        </w:numPr>
        <w:ind w:firstLine="480"/>
      </w:pPr>
      <w:r w:rsidRPr="008559B2">
        <w:lastRenderedPageBreak/>
        <w:t>ROIC–WACC</w:t>
      </w:r>
      <w:r w:rsidRPr="008559B2">
        <w:t>差：</w:t>
      </w:r>
      <w:r w:rsidRPr="008559B2">
        <w:t>ROIC</w:t>
      </w:r>
      <w:r w:rsidRPr="008559B2">
        <w:t>持续高于</w:t>
      </w:r>
      <w:r w:rsidRPr="008559B2">
        <w:t>WACC</w:t>
      </w:r>
      <w:r w:rsidRPr="008559B2">
        <w:t>才能创造价值，高杠杆会放大波动</w:t>
      </w:r>
    </w:p>
    <w:p w14:paraId="63A831AA" w14:textId="77777777" w:rsidR="008559B2" w:rsidRPr="008559B2" w:rsidRDefault="008559B2" w:rsidP="008559B2">
      <w:pPr>
        <w:numPr>
          <w:ilvl w:val="1"/>
          <w:numId w:val="2"/>
        </w:numPr>
        <w:ind w:firstLine="480"/>
      </w:pPr>
      <w:r w:rsidRPr="008559B2">
        <w:t>分解驱动：</w:t>
      </w:r>
      <w:r w:rsidRPr="008559B2">
        <w:t>ROIC</w:t>
      </w:r>
      <w:r w:rsidRPr="008559B2">
        <w:t>＝经营利润率</w:t>
      </w:r>
      <w:r w:rsidRPr="008559B2">
        <w:t>×</w:t>
      </w:r>
      <w:r w:rsidRPr="008559B2">
        <w:t>资本周转率</w:t>
      </w:r>
      <w:r w:rsidRPr="008559B2">
        <w:t>×(1–</w:t>
      </w:r>
      <w:r w:rsidRPr="008559B2">
        <w:t>税率</w:t>
      </w:r>
      <w:r w:rsidRPr="008559B2">
        <w:t>)</w:t>
      </w:r>
      <w:r w:rsidRPr="008559B2">
        <w:t>，需关注自由现金流匹配</w:t>
      </w:r>
    </w:p>
    <w:p w14:paraId="46863C2C" w14:textId="77777777" w:rsidR="008559B2" w:rsidRPr="008559B2" w:rsidRDefault="008559B2" w:rsidP="008559B2">
      <w:pPr>
        <w:numPr>
          <w:ilvl w:val="0"/>
          <w:numId w:val="2"/>
        </w:numPr>
        <w:ind w:firstLine="480"/>
      </w:pPr>
      <w:r w:rsidRPr="008559B2">
        <w:t>宏观经济与政策环境</w:t>
      </w:r>
    </w:p>
    <w:p w14:paraId="26BF2FAA" w14:textId="77777777" w:rsidR="008559B2" w:rsidRPr="008559B2" w:rsidRDefault="008559B2" w:rsidP="008559B2">
      <w:pPr>
        <w:numPr>
          <w:ilvl w:val="1"/>
          <w:numId w:val="2"/>
        </w:numPr>
        <w:ind w:firstLine="480"/>
      </w:pPr>
      <w:r w:rsidRPr="008559B2">
        <w:t>行业周期与补贴：供需拐点、退坡补贴对</w:t>
      </w:r>
      <w:r w:rsidRPr="008559B2">
        <w:t>ROIC</w:t>
      </w:r>
      <w:r w:rsidRPr="008559B2">
        <w:t>影响显著</w:t>
      </w:r>
    </w:p>
    <w:p w14:paraId="0F9451C5" w14:textId="77777777" w:rsidR="008559B2" w:rsidRPr="008559B2" w:rsidRDefault="008559B2" w:rsidP="008559B2">
      <w:pPr>
        <w:numPr>
          <w:ilvl w:val="1"/>
          <w:numId w:val="2"/>
        </w:numPr>
        <w:ind w:firstLine="480"/>
      </w:pPr>
      <w:r w:rsidRPr="008559B2">
        <w:t>利率与通胀：高利率抬高</w:t>
      </w:r>
      <w:r w:rsidRPr="008559B2">
        <w:t>WACC</w:t>
      </w:r>
      <w:r w:rsidRPr="008559B2">
        <w:t>，通胀预期影响实际回报</w:t>
      </w:r>
    </w:p>
    <w:p w14:paraId="4811B135" w14:textId="77777777" w:rsidR="008559B2" w:rsidRPr="008559B2" w:rsidRDefault="008559B2" w:rsidP="008559B2">
      <w:pPr>
        <w:numPr>
          <w:ilvl w:val="0"/>
          <w:numId w:val="2"/>
        </w:numPr>
        <w:ind w:firstLine="480"/>
      </w:pPr>
      <w:r w:rsidRPr="008559B2">
        <w:t>管理层执行力与风险控制</w:t>
      </w:r>
    </w:p>
    <w:p w14:paraId="69C81265" w14:textId="77777777" w:rsidR="008559B2" w:rsidRPr="008559B2" w:rsidRDefault="008559B2" w:rsidP="008559B2">
      <w:pPr>
        <w:numPr>
          <w:ilvl w:val="1"/>
          <w:numId w:val="2"/>
        </w:numPr>
        <w:ind w:firstLine="480"/>
      </w:pPr>
      <w:r w:rsidRPr="008559B2">
        <w:t>并购整合与激励：协同不足会拉低</w:t>
      </w:r>
      <w:r w:rsidRPr="008559B2">
        <w:t>ROIC</w:t>
      </w:r>
      <w:r w:rsidRPr="008559B2">
        <w:t>，</w:t>
      </w:r>
      <w:r w:rsidRPr="008559B2">
        <w:t>EVA</w:t>
      </w:r>
      <w:r w:rsidRPr="008559B2">
        <w:t>等激励可对齐长期利益</w:t>
      </w:r>
    </w:p>
    <w:p w14:paraId="3B76AC38" w14:textId="77777777" w:rsidR="008559B2" w:rsidRPr="008559B2" w:rsidRDefault="008559B2" w:rsidP="008559B2">
      <w:pPr>
        <w:numPr>
          <w:ilvl w:val="1"/>
          <w:numId w:val="2"/>
        </w:numPr>
        <w:ind w:firstLine="480"/>
      </w:pPr>
      <w:r w:rsidRPr="008559B2">
        <w:t>风险预警：营收增长伴</w:t>
      </w:r>
      <w:r w:rsidRPr="008559B2">
        <w:t>ROIC</w:t>
      </w:r>
      <w:r w:rsidRPr="008559B2">
        <w:t>下滑、</w:t>
      </w:r>
      <w:r w:rsidRPr="008559B2">
        <w:t>“</w:t>
      </w:r>
      <w:r w:rsidRPr="008559B2">
        <w:t>资本化率＞</w:t>
      </w:r>
      <w:r w:rsidRPr="008559B2">
        <w:t>30%”</w:t>
      </w:r>
      <w:r w:rsidRPr="008559B2">
        <w:t>等信号需警惕</w:t>
      </w:r>
    </w:p>
    <w:p w14:paraId="52B9C007" w14:textId="77777777" w:rsidR="008559B2" w:rsidRPr="008559B2" w:rsidRDefault="008559B2" w:rsidP="008559B2">
      <w:pPr>
        <w:numPr>
          <w:ilvl w:val="0"/>
          <w:numId w:val="2"/>
        </w:numPr>
        <w:ind w:firstLine="480"/>
      </w:pPr>
      <w:r w:rsidRPr="008559B2">
        <w:t>应用建议</w:t>
      </w:r>
    </w:p>
    <w:p w14:paraId="3B08A4A9" w14:textId="77777777" w:rsidR="008559B2" w:rsidRPr="008559B2" w:rsidRDefault="008559B2" w:rsidP="008559B2">
      <w:pPr>
        <w:numPr>
          <w:ilvl w:val="1"/>
          <w:numId w:val="2"/>
        </w:numPr>
        <w:ind w:firstLine="480"/>
      </w:pPr>
      <w:r w:rsidRPr="008559B2">
        <w:t>优先筛选：连续</w:t>
      </w:r>
      <w:r w:rsidRPr="008559B2">
        <w:t>3</w:t>
      </w:r>
      <w:r w:rsidRPr="008559B2">
        <w:t>年</w:t>
      </w:r>
      <w:r w:rsidRPr="008559B2">
        <w:t>ROIC</w:t>
      </w:r>
      <w:r w:rsidRPr="008559B2">
        <w:t>高于行业均值且</w:t>
      </w:r>
      <w:r w:rsidRPr="008559B2">
        <w:t>ROIC–WACC</w:t>
      </w:r>
      <w:r w:rsidRPr="008559B2">
        <w:t>＞</w:t>
      </w:r>
      <w:r w:rsidRPr="008559B2">
        <w:t>2%</w:t>
      </w:r>
      <w:r w:rsidRPr="008559B2">
        <w:t>的公司</w:t>
      </w:r>
    </w:p>
    <w:p w14:paraId="55A1B23F" w14:textId="77777777" w:rsidR="008559B2" w:rsidRPr="008559B2" w:rsidRDefault="008559B2" w:rsidP="008559B2">
      <w:pPr>
        <w:numPr>
          <w:ilvl w:val="1"/>
          <w:numId w:val="2"/>
        </w:numPr>
        <w:ind w:firstLine="480"/>
      </w:pPr>
      <w:r w:rsidRPr="008559B2">
        <w:t>动态跟踪：聚焦增量投资回报，定期情景分析与蒙特卡洛模拟</w:t>
      </w:r>
    </w:p>
    <w:p w14:paraId="37400656" w14:textId="77777777" w:rsidR="008559B2" w:rsidRPr="008559B2" w:rsidRDefault="008559B2" w:rsidP="008559B2">
      <w:pPr>
        <w:numPr>
          <w:ilvl w:val="0"/>
          <w:numId w:val="2"/>
        </w:numPr>
        <w:ind w:firstLine="480"/>
      </w:pPr>
      <w:r w:rsidRPr="008559B2">
        <w:t>关键警示</w:t>
      </w:r>
      <w:r w:rsidRPr="008559B2">
        <w:br/>
      </w:r>
      <w:r w:rsidRPr="008559B2">
        <w:t>不可将历史</w:t>
      </w:r>
      <w:r w:rsidRPr="008559B2">
        <w:t>ROIC</w:t>
      </w:r>
      <w:r w:rsidRPr="008559B2">
        <w:t>无限外推，回归趋势与可部署资本规模限制会导致回报率下降。</w:t>
      </w:r>
    </w:p>
    <w:p w14:paraId="756BA340" w14:textId="77777777" w:rsidR="00C334AC" w:rsidRPr="008559B2" w:rsidRDefault="00C334AC" w:rsidP="001170B2">
      <w:pPr>
        <w:ind w:firstLine="480"/>
      </w:pPr>
    </w:p>
    <w:p w14:paraId="0F1532CD" w14:textId="77777777" w:rsidR="00103B66" w:rsidRDefault="00103B66" w:rsidP="001170B2">
      <w:pPr>
        <w:ind w:firstLine="480"/>
      </w:pPr>
    </w:p>
    <w:p w14:paraId="63BFB26B" w14:textId="77777777" w:rsidR="00103B66" w:rsidRDefault="00103B66" w:rsidP="00103B66">
      <w:pPr>
        <w:ind w:firstLine="480"/>
      </w:pPr>
      <w:r>
        <w:rPr>
          <w:rFonts w:hint="eastAsia"/>
        </w:rPr>
        <w:t>陈、卡尔塞斯基和拉孔尼修克（</w:t>
      </w:r>
      <w:r>
        <w:rPr>
          <w:rFonts w:hint="eastAsia"/>
        </w:rPr>
        <w:t>Chan</w:t>
      </w:r>
      <w:r>
        <w:rPr>
          <w:rFonts w:hint="eastAsia"/>
        </w:rPr>
        <w:t>、</w:t>
      </w:r>
      <w:r>
        <w:rPr>
          <w:rFonts w:hint="eastAsia"/>
        </w:rPr>
        <w:t xml:space="preserve"> Karceski</w:t>
      </w:r>
      <w:r>
        <w:rPr>
          <w:rFonts w:hint="eastAsia"/>
        </w:rPr>
        <w:t>和</w:t>
      </w:r>
      <w:r>
        <w:rPr>
          <w:rFonts w:hint="eastAsia"/>
        </w:rPr>
        <w:t>Lakonishok</w:t>
      </w:r>
      <w:r>
        <w:rPr>
          <w:rFonts w:hint="eastAsia"/>
        </w:rPr>
        <w:t>，</w:t>
      </w:r>
      <w:r>
        <w:rPr>
          <w:rFonts w:hint="eastAsia"/>
        </w:rPr>
        <w:t xml:space="preserve"> 2000b</w:t>
      </w:r>
      <w:r>
        <w:rPr>
          <w:rFonts w:hint="eastAsia"/>
        </w:rPr>
        <w:t>）也提出了一个类似的观点。粗略浏览表</w:t>
      </w:r>
      <w:r>
        <w:rPr>
          <w:rFonts w:hint="eastAsia"/>
        </w:rPr>
        <w:t>3.5</w:t>
      </w:r>
      <w:r>
        <w:rPr>
          <w:rFonts w:hint="eastAsia"/>
        </w:rPr>
        <w:t>即可发现，那些预期增长率最高的股票并没有实现最多的收益。与此同时，那些不受欢迎的价值型股票（低预期增长率）的表现却超出了分析师们过于悲观的预期。</w:t>
      </w:r>
    </w:p>
    <w:p w14:paraId="4C2C8D4F" w14:textId="77777777" w:rsidR="00103B66" w:rsidRDefault="00103B66" w:rsidP="00103B66">
      <w:pPr>
        <w:ind w:firstLine="480"/>
      </w:pPr>
      <w:r>
        <w:rPr>
          <w:rFonts w:hint="eastAsia"/>
        </w:rPr>
        <w:t>[</w:t>
      </w:r>
      <w:r>
        <w:rPr>
          <w:rFonts w:hint="eastAsia"/>
        </w:rPr>
        <w:t>插图</w:t>
      </w:r>
      <w:r>
        <w:rPr>
          <w:rFonts w:hint="eastAsia"/>
        </w:rPr>
        <w:t>]</w:t>
      </w:r>
    </w:p>
    <w:p w14:paraId="6435F2C1" w14:textId="77777777" w:rsidR="00103B66" w:rsidRDefault="00103B66" w:rsidP="00103B66">
      <w:pPr>
        <w:ind w:firstLine="480"/>
      </w:pPr>
      <w:r>
        <w:rPr>
          <w:rFonts w:hint="eastAsia"/>
        </w:rPr>
        <w:t>陈、卡尔塞斯基和拉孔尼修克的研究并没有就此止步。他们的研究表明，只有非常少的公司经营业绩能够持久。他们调查了销售收入、折旧前营业收入和未付特殊项目前收入这三个损益表科目增长率高于中值公司的数量，之后将计算结果的百分比与预期随机百分比进行比较（例如，</w:t>
      </w:r>
      <w:r>
        <w:rPr>
          <w:rFonts w:hint="eastAsia"/>
        </w:rPr>
        <w:t xml:space="preserve"> 50%</w:t>
      </w:r>
      <w:r>
        <w:rPr>
          <w:rFonts w:hint="eastAsia"/>
        </w:rPr>
        <w:t>的公司在第一年应该高于中位数，等等）。</w:t>
      </w:r>
    </w:p>
    <w:p w14:paraId="381F54AC" w14:textId="04AEB4E7" w:rsidR="00103B66" w:rsidRDefault="00103B66" w:rsidP="00103B66">
      <w:pPr>
        <w:ind w:firstLine="480"/>
      </w:pPr>
      <w:r>
        <w:rPr>
          <w:rFonts w:hint="eastAsia"/>
        </w:rPr>
        <w:t>有趣的是，盈利能力更强的公司，经营业绩更持久。这本身就可能表明，管理者太过注重保持销售收入的稳定性（高销售率），而牺牲了盈利性。还应该指出的是，它表明市销率（</w:t>
      </w:r>
      <w:r>
        <w:rPr>
          <w:rFonts w:hint="eastAsia"/>
        </w:rPr>
        <w:t>P/S</w:t>
      </w:r>
      <w:r>
        <w:rPr>
          <w:rFonts w:hint="eastAsia"/>
        </w:rPr>
        <w:t>）是一个高度可疑的估值指标！</w:t>
      </w:r>
    </w:p>
    <w:p w14:paraId="7DD9FA68" w14:textId="77777777" w:rsidR="00103B66" w:rsidRDefault="00103B66" w:rsidP="001170B2">
      <w:pPr>
        <w:ind w:firstLine="480"/>
      </w:pPr>
    </w:p>
    <w:p w14:paraId="74EE915D" w14:textId="77777777" w:rsidR="00103B66" w:rsidRDefault="00103B66" w:rsidP="001170B2">
      <w:pPr>
        <w:ind w:firstLine="480"/>
      </w:pPr>
    </w:p>
    <w:p w14:paraId="5B9F3587" w14:textId="788E603E" w:rsidR="00C334AC" w:rsidRPr="0005235D" w:rsidRDefault="00C334AC" w:rsidP="0005235D">
      <w:pPr>
        <w:ind w:left="60" w:firstLineChars="0" w:firstLine="420"/>
        <w:rPr>
          <w:b/>
          <w:bCs/>
          <w:sz w:val="36"/>
          <w:szCs w:val="36"/>
        </w:rPr>
      </w:pPr>
      <w:r w:rsidRPr="0005235D">
        <w:rPr>
          <w:rFonts w:hint="eastAsia"/>
          <w:b/>
          <w:bCs/>
          <w:sz w:val="36"/>
          <w:szCs w:val="36"/>
        </w:rPr>
        <w:t>第五章</w:t>
      </w:r>
    </w:p>
    <w:p w14:paraId="0F556F65" w14:textId="549A808E" w:rsidR="00C334AC" w:rsidRDefault="00422252" w:rsidP="001170B2">
      <w:pPr>
        <w:ind w:firstLine="480"/>
      </w:pPr>
      <w:r w:rsidRPr="00422252">
        <w:rPr>
          <w:rFonts w:hint="eastAsia"/>
        </w:rPr>
        <w:lastRenderedPageBreak/>
        <w:t>我们将格雷厄姆在</w:t>
      </w:r>
      <w:r w:rsidRPr="00422252">
        <w:rPr>
          <w:rFonts w:hint="eastAsia"/>
        </w:rPr>
        <w:t>20</w:t>
      </w:r>
      <w:r w:rsidRPr="00422252">
        <w:rPr>
          <w:rFonts w:hint="eastAsia"/>
        </w:rPr>
        <w:t>世纪</w:t>
      </w:r>
      <w:r w:rsidRPr="00422252">
        <w:rPr>
          <w:rFonts w:hint="eastAsia"/>
        </w:rPr>
        <w:t>30</w:t>
      </w:r>
      <w:r w:rsidRPr="00422252">
        <w:rPr>
          <w:rFonts w:hint="eastAsia"/>
        </w:rPr>
        <w:t>年代初首次提出并成功运用的价值投资理念作为我们量化投资策略的基石。沃伦·巴菲特的“价格便宜的优质公司”进一步发展了格雷厄姆的投资哲学。巴菲特启发了格林布拉特，使他提出了神奇公式，这是巴菲特投资策略的一个简单量化模式。</w:t>
      </w:r>
    </w:p>
    <w:p w14:paraId="68A7DE98" w14:textId="77777777" w:rsidR="00C334AC" w:rsidRDefault="00C334AC" w:rsidP="001170B2">
      <w:pPr>
        <w:ind w:firstLine="480"/>
      </w:pPr>
    </w:p>
    <w:p w14:paraId="2213C561" w14:textId="26B30A36" w:rsidR="00C334AC" w:rsidRDefault="00C334AC" w:rsidP="00C334AC">
      <w:pPr>
        <w:ind w:firstLine="480"/>
        <w:outlineLvl w:val="0"/>
      </w:pPr>
      <w:r>
        <w:rPr>
          <w:rFonts w:hint="eastAsia"/>
        </w:rPr>
        <w:t>第六章</w:t>
      </w:r>
    </w:p>
    <w:p w14:paraId="7F6007AF" w14:textId="7CF57505" w:rsidR="00C334AC" w:rsidRDefault="001A1C6E" w:rsidP="001170B2">
      <w:pPr>
        <w:ind w:firstLine="480"/>
      </w:pPr>
      <w:r w:rsidRPr="001A1C6E">
        <w:rPr>
          <w:rFonts w:hint="eastAsia"/>
        </w:rPr>
        <w:t>晨星公司前研究部主任，《巴菲特的护城河》（</w:t>
      </w:r>
      <w:r w:rsidRPr="001A1C6E">
        <w:rPr>
          <w:rFonts w:hint="eastAsia"/>
        </w:rPr>
        <w:t>The Little Book that Builds Wealth</w:t>
      </w:r>
      <w:r w:rsidRPr="001A1C6E">
        <w:rPr>
          <w:rFonts w:hint="eastAsia"/>
        </w:rPr>
        <w:t>）的作者帕特·多尔西（</w:t>
      </w:r>
      <w:r w:rsidRPr="001A1C6E">
        <w:rPr>
          <w:rFonts w:hint="eastAsia"/>
        </w:rPr>
        <w:t>Pat Dorsey</w:t>
      </w:r>
      <w:r w:rsidRPr="001A1C6E">
        <w:rPr>
          <w:rFonts w:hint="eastAsia"/>
        </w:rPr>
        <w:t>）说：</w:t>
      </w:r>
      <w:r w:rsidRPr="001A1C6E">
        <w:rPr>
          <w:rFonts w:hint="eastAsia"/>
        </w:rPr>
        <w:t>.</w:t>
      </w:r>
      <w:r w:rsidRPr="001A1C6E">
        <w:rPr>
          <w:rFonts w:hint="eastAsia"/>
        </w:rPr>
        <w:t>我认为护城河（竞争优势）与内在价值之间的联系是，护城河能够使在护城河内有大量再投资机会的企业增值。一个拥有大量“护城河内的”投资机会的企业比没有竞争优势和再投资机会的企业具有更高的内在价值，因为前者复合现金流的效率很高，而后者则被迫在次优机会下使用现金。</w:t>
      </w:r>
    </w:p>
    <w:p w14:paraId="5550271D" w14:textId="77777777" w:rsidR="00C334AC" w:rsidRDefault="00C334AC" w:rsidP="001170B2">
      <w:pPr>
        <w:ind w:firstLine="480"/>
      </w:pPr>
    </w:p>
    <w:p w14:paraId="435CD10F" w14:textId="77777777" w:rsidR="00C334AC" w:rsidRDefault="00C334AC" w:rsidP="001170B2">
      <w:pPr>
        <w:ind w:firstLine="480"/>
      </w:pPr>
    </w:p>
    <w:p w14:paraId="3F2964CA" w14:textId="12DF736A" w:rsidR="00C334AC" w:rsidRDefault="00C334AC" w:rsidP="00C334AC">
      <w:pPr>
        <w:ind w:firstLine="480"/>
        <w:outlineLvl w:val="0"/>
      </w:pPr>
      <w:r>
        <w:rPr>
          <w:rFonts w:hint="eastAsia"/>
        </w:rPr>
        <w:t>第七章</w:t>
      </w:r>
    </w:p>
    <w:p w14:paraId="671ED302" w14:textId="77777777" w:rsidR="0085373C" w:rsidRDefault="0085373C" w:rsidP="0085373C">
      <w:pPr>
        <w:ind w:firstLine="480"/>
      </w:pPr>
      <w:r>
        <w:rPr>
          <w:rFonts w:hint="eastAsia"/>
        </w:rPr>
        <w:t>1.4.</w:t>
      </w:r>
      <w:r>
        <w:rPr>
          <w:rFonts w:hint="eastAsia"/>
        </w:rPr>
        <w:t>排雷指标</w:t>
      </w:r>
      <w:r>
        <w:rPr>
          <w:rFonts w:hint="eastAsia"/>
        </w:rPr>
        <w:t>:</w:t>
      </w:r>
      <w:r>
        <w:rPr>
          <w:rFonts w:hint="eastAsia"/>
        </w:rPr>
        <w:t>现金流、负债率、商誉比</w:t>
      </w:r>
    </w:p>
    <w:p w14:paraId="2491E0E6" w14:textId="77777777" w:rsidR="0085373C" w:rsidRDefault="0085373C" w:rsidP="0085373C">
      <w:pPr>
        <w:ind w:firstLine="480"/>
      </w:pPr>
      <w:r>
        <w:rPr>
          <w:rFonts w:hint="eastAsia"/>
        </w:rPr>
        <w:t>净经营现金流</w:t>
      </w:r>
      <w:r>
        <w:rPr>
          <w:rFonts w:hint="eastAsia"/>
        </w:rPr>
        <w:t>:1)</w:t>
      </w:r>
      <w:r>
        <w:rPr>
          <w:rFonts w:hint="eastAsia"/>
        </w:rPr>
        <w:t>经营性现金净流量至少应保证大部分时间为正，这样企业才能有长期的造血能力。</w:t>
      </w:r>
      <w:r>
        <w:rPr>
          <w:rFonts w:hint="eastAsia"/>
        </w:rPr>
        <w:t>2)</w:t>
      </w:r>
      <w:r>
        <w:rPr>
          <w:rFonts w:hint="eastAsia"/>
        </w:rPr>
        <w:t>企业经营过程中，经营现金流有上下波动是正常的且不同行业有一定的季节波动，偶而出现负值是可以接受的，因此，这个指标宜用来作为排雷用，不作为严格的筛选标准。</w:t>
      </w:r>
      <w:r>
        <w:rPr>
          <w:rFonts w:hint="eastAsia"/>
        </w:rPr>
        <w:t>3)</w:t>
      </w:r>
      <w:r>
        <w:rPr>
          <w:rFonts w:hint="eastAsia"/>
        </w:rPr>
        <w:t>另外，不建议将</w:t>
      </w:r>
      <w:r>
        <w:rPr>
          <w:rFonts w:hint="eastAsia"/>
        </w:rPr>
        <w:t xml:space="preserve"> ROE</w:t>
      </w:r>
      <w:r>
        <w:rPr>
          <w:rFonts w:hint="eastAsia"/>
        </w:rPr>
        <w:t>进行更复杂的拆解分析，比如引入现金流指标或杠杆率指标等，一方面不够直观，另一方面由于行业差异性大，各指标大小不能一概而论。</w:t>
      </w:r>
    </w:p>
    <w:p w14:paraId="0B6DA3FC" w14:textId="77777777" w:rsidR="0085373C" w:rsidRDefault="0085373C" w:rsidP="0085373C">
      <w:pPr>
        <w:ind w:firstLine="480"/>
      </w:pPr>
      <w:r>
        <w:rPr>
          <w:rFonts w:hint="eastAsia"/>
        </w:rPr>
        <w:t>资产负债率</w:t>
      </w:r>
      <w:r>
        <w:rPr>
          <w:rFonts w:hint="eastAsia"/>
        </w:rPr>
        <w:t>:</w:t>
      </w:r>
      <w:r>
        <w:rPr>
          <w:rFonts w:hint="eastAsia"/>
        </w:rPr>
        <w:t>过度依赖财务杠杆的公司，受经济周期影响较大，且大量的财务费用也拉低了股东回报率，但行业间的差异较大，限制标准可适当放宽。</w:t>
      </w:r>
    </w:p>
    <w:p w14:paraId="06B093F9" w14:textId="0838B884" w:rsidR="00C334AC" w:rsidRDefault="0085373C" w:rsidP="0085373C">
      <w:pPr>
        <w:ind w:firstLine="480"/>
      </w:pPr>
      <w:r>
        <w:rPr>
          <w:rFonts w:hint="eastAsia"/>
        </w:rPr>
        <w:t>商誉占净资产比重</w:t>
      </w:r>
      <w:r>
        <w:rPr>
          <w:rFonts w:hint="eastAsia"/>
        </w:rPr>
        <w:t>:</w:t>
      </w:r>
      <w:r>
        <w:rPr>
          <w:rFonts w:hint="eastAsia"/>
        </w:rPr>
        <w:t>由并购等带来的大量商誉可能会成为企业的隐形雷区，商誉减值不可转回，直接体现在利润表里。</w:t>
      </w:r>
      <w:r>
        <w:rPr>
          <w:rFonts w:hint="eastAsia"/>
        </w:rPr>
        <w:t xml:space="preserve">2013-2015 </w:t>
      </w:r>
      <w:r>
        <w:rPr>
          <w:rFonts w:hint="eastAsia"/>
        </w:rPr>
        <w:t>年并购高峰期带来的后遗症</w:t>
      </w:r>
      <w:r>
        <w:rPr>
          <w:rFonts w:hint="eastAsia"/>
        </w:rPr>
        <w:t>--</w:t>
      </w:r>
      <w:r>
        <w:rPr>
          <w:rFonts w:hint="eastAsia"/>
        </w:rPr>
        <w:t>商誉减值风险仍是当前市场的风险点，</w:t>
      </w:r>
      <w:r>
        <w:rPr>
          <w:rFonts w:hint="eastAsia"/>
        </w:rPr>
        <w:t xml:space="preserve">2017 </w:t>
      </w:r>
      <w:r>
        <w:rPr>
          <w:rFonts w:hint="eastAsia"/>
        </w:rPr>
        <w:t>年创业板总的资产减值损失近</w:t>
      </w:r>
      <w:r>
        <w:rPr>
          <w:rFonts w:hint="eastAsia"/>
        </w:rPr>
        <w:t xml:space="preserve"> 420 </w:t>
      </w:r>
      <w:r>
        <w:rPr>
          <w:rFonts w:hint="eastAsia"/>
        </w:rPr>
        <w:t>亿，占总营收的</w:t>
      </w:r>
      <w:r>
        <w:rPr>
          <w:rFonts w:hint="eastAsia"/>
        </w:rPr>
        <w:t xml:space="preserve"> 4.2%</w:t>
      </w:r>
      <w:r>
        <w:rPr>
          <w:rFonts w:hint="eastAsia"/>
        </w:rPr>
        <w:t>今年可能有会边际改善，但高商誉资产比的公司还应尽量避开。</w:t>
      </w:r>
    </w:p>
    <w:p w14:paraId="2F371ECE" w14:textId="77777777" w:rsidR="00422252" w:rsidRDefault="00422252" w:rsidP="001170B2">
      <w:pPr>
        <w:ind w:firstLine="480"/>
      </w:pPr>
    </w:p>
    <w:p w14:paraId="18167A73" w14:textId="77777777" w:rsidR="00422252" w:rsidRPr="00C334AC" w:rsidRDefault="00422252" w:rsidP="001170B2">
      <w:pPr>
        <w:ind w:firstLine="480"/>
      </w:pPr>
    </w:p>
    <w:p w14:paraId="1F3E400B" w14:textId="77777777" w:rsidR="00C334AC" w:rsidRDefault="00C334AC" w:rsidP="00C334AC">
      <w:pPr>
        <w:ind w:firstLine="480"/>
        <w:outlineLvl w:val="0"/>
      </w:pPr>
      <w:r>
        <w:rPr>
          <w:rFonts w:hint="eastAsia"/>
        </w:rPr>
        <w:t>第八章</w:t>
      </w:r>
    </w:p>
    <w:p w14:paraId="220F0A7E" w14:textId="77777777" w:rsidR="00C334AC" w:rsidRDefault="00C334AC" w:rsidP="001170B2">
      <w:pPr>
        <w:ind w:firstLine="480"/>
      </w:pPr>
    </w:p>
    <w:p w14:paraId="1F9FCE89" w14:textId="77777777" w:rsidR="00282877" w:rsidRPr="00282877" w:rsidRDefault="00282877" w:rsidP="00282877">
      <w:pPr>
        <w:ind w:firstLine="480"/>
      </w:pPr>
      <w:r w:rsidRPr="00282877">
        <w:t>根据您的需求，我将推导股利支付率（</w:t>
      </w:r>
      <w:r w:rsidRPr="00282877">
        <w:t>d</w:t>
      </w:r>
      <w:r w:rsidRPr="00282877">
        <w:t>）、市净率（</w:t>
      </w:r>
      <w:r w:rsidRPr="00282877">
        <w:t>PB</w:t>
      </w:r>
      <w:r w:rsidRPr="00282877">
        <w:t>）、</w:t>
      </w:r>
      <w:r w:rsidRPr="00282877">
        <w:t>ROE</w:t>
      </w:r>
      <w:r w:rsidRPr="00282877">
        <w:t>与要求回报率的差值（</w:t>
      </w:r>
      <w:r w:rsidRPr="00282877">
        <w:t>ROE - k</w:t>
      </w:r>
      <w:r w:rsidRPr="00282877">
        <w:t>）以及投资期限（</w:t>
      </w:r>
      <w:r w:rsidRPr="00282877">
        <w:t>T</w:t>
      </w:r>
      <w:r w:rsidRPr="00282877">
        <w:t>）之间的关系。推导过程严格遵循：</w:t>
      </w:r>
      <w:r w:rsidRPr="00282877">
        <w:t>​</w:t>
      </w:r>
      <w:r w:rsidRPr="00282877">
        <w:rPr>
          <w:b/>
          <w:bCs/>
        </w:rPr>
        <w:t>不依赖股息率</w:t>
      </w:r>
      <w:r w:rsidRPr="00282877">
        <w:t>，同时明确包含</w:t>
      </w:r>
      <w:r w:rsidRPr="00282877">
        <w:t xml:space="preserve"> k </w:t>
      </w:r>
      <w:r w:rsidRPr="00282877">
        <w:t>和</w:t>
      </w:r>
      <w:r w:rsidRPr="00282877">
        <w:t xml:space="preserve"> T </w:t>
      </w:r>
      <w:r w:rsidRPr="00282877">
        <w:t>的角色。以下是完整的数学推导：</w:t>
      </w:r>
    </w:p>
    <w:p w14:paraId="50C32434" w14:textId="77777777" w:rsidR="00282877" w:rsidRPr="00282877" w:rsidRDefault="00000000" w:rsidP="00282877">
      <w:pPr>
        <w:ind w:firstLine="480"/>
      </w:pPr>
      <w:r>
        <w:pict w14:anchorId="4AD29AC2">
          <v:rect id="_x0000_i1025" style="width:0;height:1.5pt" o:hralign="center" o:hrstd="t" o:hr="t" fillcolor="#a0a0a0" stroked="f"/>
        </w:pict>
      </w:r>
    </w:p>
    <w:p w14:paraId="6950AED6" w14:textId="77777777" w:rsidR="00282877" w:rsidRPr="00282877" w:rsidRDefault="00282877" w:rsidP="00282877">
      <w:pPr>
        <w:ind w:firstLine="482"/>
        <w:rPr>
          <w:b/>
          <w:bCs/>
        </w:rPr>
      </w:pPr>
      <w:r w:rsidRPr="00282877">
        <w:rPr>
          <w:b/>
          <w:bCs/>
        </w:rPr>
        <w:t>​</w:t>
      </w:r>
      <w:r w:rsidRPr="00282877">
        <w:rPr>
          <w:b/>
          <w:bCs/>
        </w:rPr>
        <w:t>核心假设</w:t>
      </w:r>
      <w:r w:rsidRPr="00282877">
        <w:rPr>
          <w:b/>
          <w:bCs/>
        </w:rPr>
        <w:t>​</w:t>
      </w:r>
    </w:p>
    <w:p w14:paraId="575040AD" w14:textId="77777777" w:rsidR="00282877" w:rsidRPr="00282877" w:rsidRDefault="00282877" w:rsidP="00282877">
      <w:pPr>
        <w:numPr>
          <w:ilvl w:val="0"/>
          <w:numId w:val="11"/>
        </w:numPr>
        <w:ind w:firstLine="480"/>
      </w:pPr>
      <w:r w:rsidRPr="00282877">
        <w:lastRenderedPageBreak/>
        <w:t>​</w:t>
      </w:r>
      <w:r w:rsidRPr="00282877">
        <w:rPr>
          <w:b/>
          <w:bCs/>
        </w:rPr>
        <w:t>均值回归</w:t>
      </w:r>
      <w:r w:rsidRPr="00282877">
        <w:t>​</w:t>
      </w:r>
      <w:r w:rsidRPr="00282877">
        <w:t>：投资期限</w:t>
      </w:r>
      <w:r w:rsidRPr="00282877">
        <w:t xml:space="preserve"> T </w:t>
      </w:r>
      <w:r w:rsidRPr="00282877">
        <w:t>年后，市净率回归基本面：</w:t>
      </w:r>
      <w:r w:rsidRPr="00282877">
        <w:t xml:space="preserve"> </w:t>
      </w:r>
    </w:p>
    <w:p w14:paraId="3CCE0D22" w14:textId="77777777" w:rsidR="00282877" w:rsidRPr="00282877" w:rsidRDefault="00282877" w:rsidP="00282877">
      <w:pPr>
        <w:ind w:firstLine="480"/>
      </w:pPr>
      <w:r w:rsidRPr="00282877">
        <w:t>\frac{P}{B}\Big|_{t=T} = 1</w:t>
      </w:r>
    </w:p>
    <w:p w14:paraId="47DA947D" w14:textId="77777777" w:rsidR="00282877" w:rsidRPr="00282877" w:rsidRDefault="00282877" w:rsidP="00282877">
      <w:pPr>
        <w:numPr>
          <w:ilvl w:val="0"/>
          <w:numId w:val="11"/>
        </w:numPr>
        <w:ind w:firstLine="480"/>
      </w:pPr>
      <w:r w:rsidRPr="00282877">
        <w:t>​</w:t>
      </w:r>
      <w:r w:rsidRPr="00282877">
        <w:rPr>
          <w:b/>
          <w:bCs/>
        </w:rPr>
        <w:t xml:space="preserve">ROE </w:t>
      </w:r>
      <w:r w:rsidRPr="00282877">
        <w:rPr>
          <w:b/>
          <w:bCs/>
        </w:rPr>
        <w:t>趋近</w:t>
      </w:r>
      <w:r w:rsidRPr="00282877">
        <w:rPr>
          <w:b/>
          <w:bCs/>
        </w:rPr>
        <w:t xml:space="preserve"> k</w:t>
      </w:r>
      <w:r w:rsidRPr="00282877">
        <w:t>​</w:t>
      </w:r>
      <w:r w:rsidRPr="00282877">
        <w:t>：长期盈利能力趋近要求回报率：</w:t>
      </w:r>
      <w:r w:rsidRPr="00282877">
        <w:t xml:space="preserve"> </w:t>
      </w:r>
    </w:p>
    <w:p w14:paraId="277F4FA9" w14:textId="77777777" w:rsidR="00282877" w:rsidRPr="00282877" w:rsidRDefault="00282877" w:rsidP="00282877">
      <w:pPr>
        <w:ind w:firstLine="480"/>
      </w:pPr>
      <w:r w:rsidRPr="00282877">
        <w:t>\text{ROE} \to k \quad \text{</w:t>
      </w:r>
      <w:r w:rsidRPr="00282877">
        <w:t>当</w:t>
      </w:r>
      <w:r w:rsidRPr="00282877">
        <w:t>} \quad t \to T</w:t>
      </w:r>
    </w:p>
    <w:p w14:paraId="5A1FCE79" w14:textId="77777777" w:rsidR="00282877" w:rsidRPr="00282877" w:rsidRDefault="00282877" w:rsidP="00282877">
      <w:pPr>
        <w:numPr>
          <w:ilvl w:val="0"/>
          <w:numId w:val="11"/>
        </w:numPr>
        <w:ind w:firstLine="480"/>
      </w:pPr>
      <w:r w:rsidRPr="00282877">
        <w:t>​</w:t>
      </w:r>
      <w:r w:rsidRPr="00282877">
        <w:rPr>
          <w:b/>
          <w:bCs/>
        </w:rPr>
        <w:t>分红政策稳定</w:t>
      </w:r>
      <w:r w:rsidRPr="00282877">
        <w:t>​</w:t>
      </w:r>
      <w:r w:rsidRPr="00282877">
        <w:t>：股利支付率（</w:t>
      </w:r>
      <w:r w:rsidRPr="00282877">
        <w:t>d</w:t>
      </w:r>
      <w:r w:rsidRPr="00282877">
        <w:t>）在</w:t>
      </w:r>
      <w:r w:rsidRPr="00282877">
        <w:t xml:space="preserve"> T </w:t>
      </w:r>
      <w:r w:rsidRPr="00282877">
        <w:t>年内保持不变。</w:t>
      </w:r>
    </w:p>
    <w:p w14:paraId="1140EE1F" w14:textId="77777777" w:rsidR="00282877" w:rsidRPr="00282877" w:rsidRDefault="00000000" w:rsidP="00282877">
      <w:pPr>
        <w:ind w:firstLine="480"/>
      </w:pPr>
      <w:r>
        <w:pict w14:anchorId="0C87F04D">
          <v:rect id="_x0000_i1026" style="width:0;height:1.5pt" o:hralign="center" o:hrstd="t" o:hr="t" fillcolor="#a0a0a0" stroked="f"/>
        </w:pict>
      </w:r>
    </w:p>
    <w:p w14:paraId="02FBDFE6" w14:textId="77777777" w:rsidR="00282877" w:rsidRPr="00282877" w:rsidRDefault="00282877" w:rsidP="00282877">
      <w:pPr>
        <w:ind w:firstLine="482"/>
        <w:rPr>
          <w:b/>
          <w:bCs/>
        </w:rPr>
      </w:pPr>
      <w:r w:rsidRPr="00282877">
        <w:rPr>
          <w:b/>
          <w:bCs/>
        </w:rPr>
        <w:t>​</w:t>
      </w:r>
      <w:r w:rsidRPr="00282877">
        <w:rPr>
          <w:b/>
          <w:bCs/>
        </w:rPr>
        <w:t>推导步骤</w:t>
      </w:r>
      <w:r w:rsidRPr="00282877">
        <w:rPr>
          <w:b/>
          <w:bCs/>
        </w:rPr>
        <w:t>​</w:t>
      </w:r>
    </w:p>
    <w:p w14:paraId="13C93CB8"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1</w:t>
      </w:r>
      <w:r w:rsidRPr="00282877">
        <w:rPr>
          <w:b/>
          <w:bCs/>
        </w:rPr>
        <w:t>：建立市净率演化方程</w:t>
      </w:r>
      <w:r w:rsidRPr="00282877">
        <w:rPr>
          <w:b/>
          <w:bCs/>
        </w:rPr>
        <w:t>​</w:t>
      </w:r>
    </w:p>
    <w:p w14:paraId="2A2B213C" w14:textId="77777777" w:rsidR="00282877" w:rsidRPr="00282877" w:rsidRDefault="00282877" w:rsidP="00282877">
      <w:pPr>
        <w:ind w:firstLine="480"/>
      </w:pPr>
      <w:r w:rsidRPr="00282877">
        <w:t>根据均值回归假设，初始市净率（</w:t>
      </w:r>
      <w:r w:rsidRPr="00282877">
        <w:t>PB</w:t>
      </w:r>
      <w:r w:rsidRPr="00282877">
        <w:t>）的对数变化满足：</w:t>
      </w:r>
    </w:p>
    <w:p w14:paraId="53A6C2BA" w14:textId="77777777" w:rsidR="00282877" w:rsidRPr="00282877" w:rsidRDefault="00282877" w:rsidP="00282877">
      <w:pPr>
        <w:ind w:firstLine="480"/>
      </w:pPr>
      <w:r w:rsidRPr="00282877">
        <w:t>\ln\left(\frac{P}{B}\Big|_{t=T}\right) - \ln\left(\frac{P}{B}\Big|_{t=0}\right) = (k - \text{ROE}) \cdot T</w:t>
      </w:r>
    </w:p>
    <w:p w14:paraId="3F8941CC" w14:textId="77777777" w:rsidR="00282877" w:rsidRPr="00282877" w:rsidRDefault="00282877" w:rsidP="00282877">
      <w:pPr>
        <w:ind w:firstLine="480"/>
      </w:pPr>
      <w:r w:rsidRPr="00282877">
        <w:t>代入终点条件</w:t>
      </w:r>
      <w:r w:rsidRPr="00282877">
        <w:t xml:space="preserve"> \frac{P}{B}\big|_{t=T} = 1</w:t>
      </w:r>
      <w:r w:rsidRPr="00282877">
        <w:t>（即</w:t>
      </w:r>
      <w:r w:rsidRPr="00282877">
        <w:t xml:space="preserve"> \ln(1) = 0</w:t>
      </w:r>
      <w:r w:rsidRPr="00282877">
        <w:t>）：</w:t>
      </w:r>
    </w:p>
    <w:p w14:paraId="0FADFBFD" w14:textId="77777777" w:rsidR="00282877" w:rsidRPr="00282877" w:rsidRDefault="00282877" w:rsidP="00282877">
      <w:pPr>
        <w:ind w:firstLine="480"/>
      </w:pPr>
      <w:r w:rsidRPr="00282877">
        <w:t>0 - \ln(\text{PB}) = (k - \text{ROE}) \cdot T</w:t>
      </w:r>
    </w:p>
    <w:p w14:paraId="20A8DA53" w14:textId="77777777" w:rsidR="00282877" w:rsidRPr="00282877" w:rsidRDefault="00282877" w:rsidP="00282877">
      <w:pPr>
        <w:ind w:firstLine="480"/>
      </w:pPr>
      <w:r w:rsidRPr="00282877">
        <w:t>整理得：</w:t>
      </w:r>
    </w:p>
    <w:p w14:paraId="08CC6B96" w14:textId="77777777" w:rsidR="00282877" w:rsidRPr="00282877" w:rsidRDefault="00282877" w:rsidP="00282877">
      <w:pPr>
        <w:ind w:firstLine="480"/>
      </w:pPr>
      <w:r w:rsidRPr="00282877">
        <w:t>\ln(\text{PB}) = (\text{ROE} - k) \cdot T \quad \text{(1)}</w:t>
      </w:r>
    </w:p>
    <w:p w14:paraId="25480D45" w14:textId="77777777" w:rsidR="00282877" w:rsidRPr="00282877" w:rsidRDefault="00282877" w:rsidP="00282877">
      <w:pPr>
        <w:ind w:firstLine="480"/>
      </w:pPr>
      <w:r w:rsidRPr="00282877">
        <w:t>​</w:t>
      </w:r>
      <w:r w:rsidRPr="00282877">
        <w:rPr>
          <w:b/>
          <w:bCs/>
        </w:rPr>
        <w:t>说明</w:t>
      </w:r>
      <w:r w:rsidRPr="00282877">
        <w:t>​</w:t>
      </w:r>
      <w:r w:rsidRPr="00282877">
        <w:t>：此式建立了</w:t>
      </w:r>
      <w:r w:rsidRPr="00282877">
        <w:t xml:space="preserve"> PB </w:t>
      </w:r>
      <w:r w:rsidRPr="00282877">
        <w:t>与</w:t>
      </w:r>
      <w:r w:rsidRPr="00282877">
        <w:t xml:space="preserve"> ROE - k </w:t>
      </w:r>
      <w:r w:rsidRPr="00282877">
        <w:t>和</w:t>
      </w:r>
      <w:r w:rsidRPr="00282877">
        <w:t xml:space="preserve"> T </w:t>
      </w:r>
      <w:r w:rsidRPr="00282877">
        <w:t>的直接关系，但尚未引入分红政策（</w:t>
      </w:r>
      <w:r w:rsidRPr="00282877">
        <w:t>d</w:t>
      </w:r>
      <w:r w:rsidRPr="00282877">
        <w:t>）。</w:t>
      </w:r>
    </w:p>
    <w:p w14:paraId="5831D73F" w14:textId="77777777" w:rsidR="00282877" w:rsidRPr="00282877" w:rsidRDefault="00000000" w:rsidP="00282877">
      <w:pPr>
        <w:ind w:firstLine="480"/>
      </w:pPr>
      <w:r>
        <w:pict w14:anchorId="561A7C0F">
          <v:rect id="_x0000_i1027" style="width:0;height:1.5pt" o:hralign="center" o:hrstd="t" o:hr="t" fillcolor="#a0a0a0" stroked="f"/>
        </w:pict>
      </w:r>
    </w:p>
    <w:p w14:paraId="0B1B7B2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2</w:t>
      </w:r>
      <w:r w:rsidRPr="00282877">
        <w:rPr>
          <w:b/>
          <w:bCs/>
        </w:rPr>
        <w:t>：引入股利支付率（</w:t>
      </w:r>
      <w:r w:rsidRPr="00282877">
        <w:rPr>
          <w:b/>
          <w:bCs/>
        </w:rPr>
        <w:t>d</w:t>
      </w:r>
      <w:r w:rsidRPr="00282877">
        <w:rPr>
          <w:b/>
          <w:bCs/>
        </w:rPr>
        <w:t>）</w:t>
      </w:r>
      <w:r w:rsidRPr="00282877">
        <w:rPr>
          <w:b/>
          <w:bCs/>
        </w:rPr>
        <w:t>​​</w:t>
      </w:r>
    </w:p>
    <w:p w14:paraId="38507D41" w14:textId="77777777" w:rsidR="00282877" w:rsidRPr="00282877" w:rsidRDefault="00282877" w:rsidP="00282877">
      <w:pPr>
        <w:ind w:firstLine="480"/>
      </w:pPr>
      <w:r w:rsidRPr="00282877">
        <w:t>在</w:t>
      </w:r>
      <w:r w:rsidRPr="00282877">
        <w:t xml:space="preserve"> T </w:t>
      </w:r>
      <w:r w:rsidRPr="00282877">
        <w:t>年内，每股净资产（</w:t>
      </w:r>
      <w:r w:rsidRPr="00282877">
        <w:t>B</w:t>
      </w:r>
      <w:r w:rsidRPr="00282877">
        <w:t>）的增长来源于留存收益再投资：</w:t>
      </w:r>
    </w:p>
    <w:p w14:paraId="02E20AA6" w14:textId="77777777" w:rsidR="00282877" w:rsidRPr="00282877" w:rsidRDefault="00282877" w:rsidP="00282877">
      <w:pPr>
        <w:ind w:firstLine="480"/>
      </w:pPr>
      <w:r w:rsidRPr="00282877">
        <w:t>\frac{\Delta B}{B} = \text{ROE} \times (1 - d)</w:t>
      </w:r>
    </w:p>
    <w:p w14:paraId="34BF223A" w14:textId="77777777" w:rsidR="00282877" w:rsidRPr="00282877" w:rsidRDefault="00282877" w:rsidP="00282877">
      <w:pPr>
        <w:numPr>
          <w:ilvl w:val="0"/>
          <w:numId w:val="12"/>
        </w:numPr>
        <w:ind w:firstLine="480"/>
      </w:pPr>
      <w:r w:rsidRPr="00282877">
        <w:t>​</w:t>
      </w:r>
      <w:r w:rsidRPr="00282877">
        <w:rPr>
          <w:b/>
          <w:bCs/>
        </w:rPr>
        <w:t>经济含义</w:t>
      </w:r>
      <w:r w:rsidRPr="00282877">
        <w:t>​</w:t>
      </w:r>
      <w:r w:rsidRPr="00282877">
        <w:t>：未分红部分（比例</w:t>
      </w:r>
      <w:r w:rsidRPr="00282877">
        <w:t xml:space="preserve"> 1-d</w:t>
      </w:r>
      <w:r w:rsidRPr="00282877">
        <w:t>）的</w:t>
      </w:r>
      <w:r w:rsidRPr="00282877">
        <w:t xml:space="preserve"> ROE </w:t>
      </w:r>
      <w:r w:rsidRPr="00282877">
        <w:t>驱动净资产增长。</w:t>
      </w:r>
    </w:p>
    <w:p w14:paraId="2390CD16" w14:textId="77777777" w:rsidR="00282877" w:rsidRPr="00282877" w:rsidRDefault="00000000" w:rsidP="00282877">
      <w:pPr>
        <w:ind w:firstLine="480"/>
      </w:pPr>
      <w:r>
        <w:pict w14:anchorId="51162D3B">
          <v:rect id="_x0000_i1028" style="width:0;height:1.5pt" o:hralign="center" o:hrstd="t" o:hr="t" fillcolor="#a0a0a0" stroked="f"/>
        </w:pict>
      </w:r>
    </w:p>
    <w:p w14:paraId="05189073"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3</w:t>
      </w:r>
      <w:r w:rsidRPr="00282877">
        <w:rPr>
          <w:b/>
          <w:bCs/>
        </w:rPr>
        <w:t>：总回报率（</w:t>
      </w:r>
      <w:r w:rsidRPr="00282877">
        <w:rPr>
          <w:b/>
          <w:bCs/>
        </w:rPr>
        <w:t>k</w:t>
      </w:r>
      <w:r w:rsidRPr="00282877">
        <w:rPr>
          <w:b/>
          <w:bCs/>
        </w:rPr>
        <w:t>）的分解</w:t>
      </w:r>
      <w:r w:rsidRPr="00282877">
        <w:rPr>
          <w:b/>
          <w:bCs/>
        </w:rPr>
        <w:t>​</w:t>
      </w:r>
    </w:p>
    <w:p w14:paraId="1A6A3BE2" w14:textId="77777777" w:rsidR="00282877" w:rsidRPr="00282877" w:rsidRDefault="00282877" w:rsidP="00282877">
      <w:pPr>
        <w:ind w:firstLine="480"/>
      </w:pPr>
      <w:r w:rsidRPr="00282877">
        <w:t>股东要求回报率（</w:t>
      </w:r>
      <w:r w:rsidRPr="00282877">
        <w:t>k</w:t>
      </w:r>
      <w:r w:rsidRPr="00282877">
        <w:t>）由三部分构成：</w:t>
      </w:r>
    </w:p>
    <w:p w14:paraId="7888181A" w14:textId="77777777" w:rsidR="00282877" w:rsidRPr="00282877" w:rsidRDefault="00282877" w:rsidP="00282877">
      <w:pPr>
        <w:ind w:firstLine="480"/>
      </w:pPr>
      <w:r w:rsidRPr="00282877">
        <w:t>k = \underbrace{\frac{D}{P}}_{\text{</w:t>
      </w:r>
      <w:r w:rsidRPr="00282877">
        <w:t>股息率</w:t>
      </w:r>
      <w:r w:rsidRPr="00282877">
        <w:t>}} + \underbrace{\frac{\Delta B}{B}}_{\text{</w:t>
      </w:r>
      <w:r w:rsidRPr="00282877">
        <w:t>净资产增长</w:t>
      </w:r>
      <w:r w:rsidRPr="00282877">
        <w:t>}} + \underbrace{\frac{\Delta (\text{PB})}{\text{PB}}}_{\text{</w:t>
      </w:r>
      <w:r w:rsidRPr="00282877">
        <w:t>估值变化</w:t>
      </w:r>
      <w:r w:rsidRPr="00282877">
        <w:t>}}</w:t>
      </w:r>
    </w:p>
    <w:p w14:paraId="181196D5" w14:textId="77777777" w:rsidR="00282877" w:rsidRPr="00282877" w:rsidRDefault="00282877" w:rsidP="00282877">
      <w:pPr>
        <w:numPr>
          <w:ilvl w:val="0"/>
          <w:numId w:val="13"/>
        </w:numPr>
        <w:ind w:firstLine="480"/>
      </w:pPr>
      <w:r w:rsidRPr="00282877">
        <w:t>​</w:t>
      </w:r>
      <w:r w:rsidRPr="00282877">
        <w:rPr>
          <w:b/>
          <w:bCs/>
        </w:rPr>
        <w:t>股息率</w:t>
      </w:r>
      <w:r w:rsidRPr="00282877">
        <w:t>​</w:t>
      </w:r>
      <w:r w:rsidRPr="00282877">
        <w:t>：用</w:t>
      </w:r>
      <w:r w:rsidRPr="00282877">
        <w:t xml:space="preserve"> PB </w:t>
      </w:r>
      <w:r w:rsidRPr="00282877">
        <w:t>和</w:t>
      </w:r>
      <w:r w:rsidRPr="00282877">
        <w:t xml:space="preserve"> ROE </w:t>
      </w:r>
      <w:r w:rsidRPr="00282877">
        <w:t>表示</w:t>
      </w:r>
      <w:r w:rsidRPr="00282877">
        <w:br/>
      </w:r>
      <w:r w:rsidRPr="00282877">
        <w:t>由股利支付率定义：</w:t>
      </w:r>
    </w:p>
    <w:p w14:paraId="75D426BE" w14:textId="77777777" w:rsidR="00282877" w:rsidRPr="00282877" w:rsidRDefault="00282877" w:rsidP="00282877">
      <w:pPr>
        <w:ind w:firstLine="480"/>
      </w:pPr>
      <w:r w:rsidRPr="00282877">
        <w:t>\frac{D}{P} = \frac{d \times \text{ROE} \times B}{P} = d \times \text{ROE} \times \frac{1}{\text{PB}}</w:t>
      </w:r>
    </w:p>
    <w:p w14:paraId="66DF3E28" w14:textId="77777777" w:rsidR="00282877" w:rsidRPr="00282877" w:rsidRDefault="00282877" w:rsidP="00282877">
      <w:pPr>
        <w:numPr>
          <w:ilvl w:val="0"/>
          <w:numId w:val="13"/>
        </w:numPr>
        <w:ind w:firstLine="480"/>
      </w:pPr>
      <w:r w:rsidRPr="00282877">
        <w:t>​</w:t>
      </w:r>
      <w:r w:rsidRPr="00282877">
        <w:rPr>
          <w:b/>
          <w:bCs/>
        </w:rPr>
        <w:t>净资产增长率</w:t>
      </w:r>
      <w:r w:rsidRPr="00282877">
        <w:t>​</w:t>
      </w:r>
      <w:r w:rsidRPr="00282877">
        <w:t>（步骤</w:t>
      </w:r>
      <w:r w:rsidRPr="00282877">
        <w:t xml:space="preserve"> 2</w:t>
      </w:r>
      <w:r w:rsidRPr="00282877">
        <w:t>）：</w:t>
      </w:r>
    </w:p>
    <w:p w14:paraId="1D607D8B" w14:textId="77777777" w:rsidR="00282877" w:rsidRPr="00282877" w:rsidRDefault="00282877" w:rsidP="00282877">
      <w:pPr>
        <w:ind w:firstLine="480"/>
      </w:pPr>
      <w:r w:rsidRPr="00282877">
        <w:t>\frac{\Delta B}{B} = \text{ROE} \times (1 - d)</w:t>
      </w:r>
    </w:p>
    <w:p w14:paraId="19BCFE63" w14:textId="77777777" w:rsidR="00282877" w:rsidRPr="00282877" w:rsidRDefault="00282877" w:rsidP="00282877">
      <w:pPr>
        <w:numPr>
          <w:ilvl w:val="0"/>
          <w:numId w:val="13"/>
        </w:numPr>
        <w:ind w:firstLine="480"/>
      </w:pPr>
      <w:r w:rsidRPr="00282877">
        <w:t>​</w:t>
      </w:r>
      <w:r w:rsidRPr="00282877">
        <w:rPr>
          <w:b/>
          <w:bCs/>
        </w:rPr>
        <w:t>估值变化率</w:t>
      </w:r>
      <w:r w:rsidRPr="00282877">
        <w:t>​</w:t>
      </w:r>
      <w:r w:rsidRPr="00282877">
        <w:t>（对数导数形式）：</w:t>
      </w:r>
      <w:r w:rsidRPr="00282877">
        <w:br/>
      </w:r>
      <w:r w:rsidRPr="00282877">
        <w:t>由假设（</w:t>
      </w:r>
      <w:r w:rsidRPr="00282877">
        <w:t>1</w:t>
      </w:r>
      <w:r w:rsidRPr="00282877">
        <w:t>）得：</w:t>
      </w:r>
    </w:p>
    <w:p w14:paraId="0277DAFC" w14:textId="77777777" w:rsidR="00282877" w:rsidRPr="00282877" w:rsidRDefault="00282877" w:rsidP="00282877">
      <w:pPr>
        <w:ind w:firstLine="480"/>
      </w:pPr>
      <w:r w:rsidRPr="00282877">
        <w:lastRenderedPageBreak/>
        <w:t>\frac{\Delta (\text{PB})}{\text{PB}} \approx \frac{d \ln(\text{PB})}{dt} = -\frac{\ln(\text{PB})}{T}</w:t>
      </w:r>
    </w:p>
    <w:p w14:paraId="4B189FCE" w14:textId="77777777" w:rsidR="00282877" w:rsidRPr="00282877" w:rsidRDefault="00282877" w:rsidP="00282877">
      <w:pPr>
        <w:ind w:firstLine="480"/>
      </w:pPr>
      <w:r w:rsidRPr="00282877">
        <w:t>​</w:t>
      </w:r>
      <w:r w:rsidRPr="00282877">
        <w:rPr>
          <w:b/>
          <w:bCs/>
        </w:rPr>
        <w:t>解释</w:t>
      </w:r>
      <w:r w:rsidRPr="00282877">
        <w:t>​</w:t>
      </w:r>
      <w:r w:rsidRPr="00282877">
        <w:t>：估值变化源于</w:t>
      </w:r>
      <w:r w:rsidRPr="00282877">
        <w:t xml:space="preserve"> PB </w:t>
      </w:r>
      <w:r w:rsidRPr="00282877">
        <w:t>回归</w:t>
      </w:r>
      <w:r w:rsidRPr="00282877">
        <w:t xml:space="preserve"> 1 </w:t>
      </w:r>
      <w:r w:rsidRPr="00282877">
        <w:t>的过程，瞬时变化率由</w:t>
      </w:r>
      <w:r w:rsidRPr="00282877">
        <w:t xml:space="preserve"> \ln(\text{PB}) </w:t>
      </w:r>
      <w:r w:rsidRPr="00282877">
        <w:t>的导数决定。</w:t>
      </w:r>
    </w:p>
    <w:p w14:paraId="0AB78CC4" w14:textId="77777777" w:rsidR="00282877" w:rsidRPr="00282877" w:rsidRDefault="00000000" w:rsidP="00282877">
      <w:pPr>
        <w:ind w:firstLine="480"/>
      </w:pPr>
      <w:r>
        <w:pict w14:anchorId="5AD20BD8">
          <v:rect id="_x0000_i1029" style="width:0;height:1.5pt" o:hralign="center" o:hrstd="t" o:hr="t" fillcolor="#a0a0a0" stroked="f"/>
        </w:pict>
      </w:r>
    </w:p>
    <w:p w14:paraId="3E9FE709"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4</w:t>
      </w:r>
      <w:r w:rsidRPr="00282877">
        <w:rPr>
          <w:b/>
          <w:bCs/>
        </w:rPr>
        <w:t>：代入总回报率公式</w:t>
      </w:r>
      <w:r w:rsidRPr="00282877">
        <w:rPr>
          <w:b/>
          <w:bCs/>
        </w:rPr>
        <w:t>​</w:t>
      </w:r>
    </w:p>
    <w:p w14:paraId="176F2814" w14:textId="77777777" w:rsidR="00282877" w:rsidRPr="00282877" w:rsidRDefault="00282877" w:rsidP="00282877">
      <w:pPr>
        <w:ind w:firstLine="480"/>
      </w:pPr>
      <w:r w:rsidRPr="00282877">
        <w:t>将三项代入总回报率方程：</w:t>
      </w:r>
    </w:p>
    <w:p w14:paraId="1E6138A5" w14:textId="77777777" w:rsidR="00282877" w:rsidRPr="00282877" w:rsidRDefault="00282877" w:rsidP="00282877">
      <w:pPr>
        <w:ind w:firstLine="480"/>
      </w:pPr>
      <w:r w:rsidRPr="00282877">
        <w:t>k = \left[ d \times \text{ROE} \times \frac{1}{\text{PB}} \right] + \left[ \text{ROE} \times (1 - d) \right] + \left[ -\frac{\ln(\text{PB})}{T} \right]</w:t>
      </w:r>
    </w:p>
    <w:p w14:paraId="12C6E052" w14:textId="77777777" w:rsidR="00282877" w:rsidRPr="00282877" w:rsidRDefault="00000000" w:rsidP="00282877">
      <w:pPr>
        <w:ind w:firstLine="480"/>
      </w:pPr>
      <w:r>
        <w:pict w14:anchorId="471D4E63">
          <v:rect id="_x0000_i1030" style="width:0;height:1.5pt" o:hralign="center" o:hrstd="t" o:hr="t" fillcolor="#a0a0a0" stroked="f"/>
        </w:pict>
      </w:r>
    </w:p>
    <w:p w14:paraId="72985D1D"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5</w:t>
      </w:r>
      <w:r w:rsidRPr="00282877">
        <w:rPr>
          <w:b/>
          <w:bCs/>
        </w:rPr>
        <w:t>：结合方程</w:t>
      </w:r>
      <w:r w:rsidRPr="00282877">
        <w:rPr>
          <w:b/>
          <w:bCs/>
        </w:rPr>
        <w:t xml:space="preserve"> (1) </w:t>
      </w:r>
      <w:r w:rsidRPr="00282877">
        <w:rPr>
          <w:b/>
          <w:bCs/>
        </w:rPr>
        <w:t>消元</w:t>
      </w:r>
      <w:r w:rsidRPr="00282877">
        <w:rPr>
          <w:b/>
          <w:bCs/>
        </w:rPr>
        <w:t>​</w:t>
      </w:r>
    </w:p>
    <w:p w14:paraId="5A390BA2" w14:textId="77777777" w:rsidR="00282877" w:rsidRPr="00282877" w:rsidRDefault="00282877" w:rsidP="00282877">
      <w:pPr>
        <w:ind w:firstLine="480"/>
      </w:pPr>
      <w:r w:rsidRPr="00282877">
        <w:t>由方程</w:t>
      </w:r>
      <w:r w:rsidRPr="00282877">
        <w:t xml:space="preserve"> (1) </w:t>
      </w:r>
      <w:r w:rsidRPr="00282877">
        <w:t>解出</w:t>
      </w:r>
      <w:r w:rsidRPr="00282877">
        <w:t xml:space="preserve"> \ln(\text{PB})</w:t>
      </w:r>
      <w:r w:rsidRPr="00282877">
        <w:t>：</w:t>
      </w:r>
    </w:p>
    <w:p w14:paraId="5980277B" w14:textId="77777777" w:rsidR="00282877" w:rsidRPr="00282877" w:rsidRDefault="00282877" w:rsidP="00282877">
      <w:pPr>
        <w:ind w:firstLine="480"/>
      </w:pPr>
      <w:r w:rsidRPr="00282877">
        <w:t>\ln(\text{PB}) = (\text{ROE} - k) \cdot T \quad \Rightarrow \quad -\frac{\ln(\text{PB})}{T} = k - \text{ROE}</w:t>
      </w:r>
    </w:p>
    <w:p w14:paraId="24778D86" w14:textId="77777777" w:rsidR="00282877" w:rsidRPr="00282877" w:rsidRDefault="00282877" w:rsidP="00282877">
      <w:pPr>
        <w:ind w:firstLine="480"/>
      </w:pPr>
      <w:r w:rsidRPr="00282877">
        <w:t>代入总回报率公式：</w:t>
      </w:r>
    </w:p>
    <w:p w14:paraId="197D207A" w14:textId="77777777" w:rsidR="00282877" w:rsidRPr="00282877" w:rsidRDefault="00282877" w:rsidP="00282877">
      <w:pPr>
        <w:ind w:firstLine="480"/>
      </w:pPr>
      <w:r w:rsidRPr="00282877">
        <w:t>k = \frac{d \times \text{ROE}}{\text{PB}} + \text{ROE} \times (1 - d) + (k - \text{ROE})</w:t>
      </w:r>
    </w:p>
    <w:p w14:paraId="7053B724" w14:textId="77777777" w:rsidR="00282877" w:rsidRPr="00282877" w:rsidRDefault="00000000" w:rsidP="00282877">
      <w:pPr>
        <w:ind w:firstLine="480"/>
      </w:pPr>
      <w:r>
        <w:pict w14:anchorId="4A54FB8A">
          <v:rect id="_x0000_i1031" style="width:0;height:1.5pt" o:hralign="center" o:hrstd="t" o:hr="t" fillcolor="#a0a0a0" stroked="f"/>
        </w:pict>
      </w:r>
    </w:p>
    <w:p w14:paraId="56A5E394" w14:textId="77777777" w:rsidR="00282877" w:rsidRPr="00282877" w:rsidRDefault="00282877" w:rsidP="00282877">
      <w:pPr>
        <w:ind w:firstLine="482"/>
        <w:rPr>
          <w:b/>
          <w:bCs/>
        </w:rPr>
      </w:pPr>
      <w:r w:rsidRPr="00282877">
        <w:rPr>
          <w:b/>
          <w:bCs/>
        </w:rPr>
        <w:t>​</w:t>
      </w:r>
      <w:r w:rsidRPr="00282877">
        <w:rPr>
          <w:b/>
          <w:bCs/>
        </w:rPr>
        <w:t>步骤</w:t>
      </w:r>
      <w:r w:rsidRPr="00282877">
        <w:rPr>
          <w:b/>
          <w:bCs/>
        </w:rPr>
        <w:t xml:space="preserve"> 6</w:t>
      </w:r>
      <w:r w:rsidRPr="00282877">
        <w:rPr>
          <w:b/>
          <w:bCs/>
        </w:rPr>
        <w:t>：化简求关系式</w:t>
      </w:r>
      <w:r w:rsidRPr="00282877">
        <w:rPr>
          <w:b/>
          <w:bCs/>
        </w:rPr>
        <w:t>​</w:t>
      </w:r>
    </w:p>
    <w:p w14:paraId="35187637" w14:textId="77777777" w:rsidR="00282877" w:rsidRPr="00282877" w:rsidRDefault="00282877" w:rsidP="00282877">
      <w:pPr>
        <w:ind w:firstLine="480"/>
      </w:pPr>
      <w:r w:rsidRPr="00282877">
        <w:t>等式右侧化简：</w:t>
      </w:r>
    </w:p>
    <w:p w14:paraId="067BE078" w14:textId="77777777" w:rsidR="00282877" w:rsidRPr="00282877" w:rsidRDefault="00282877" w:rsidP="00282877">
      <w:pPr>
        <w:ind w:firstLine="480"/>
      </w:pPr>
      <w:r w:rsidRPr="00282877">
        <w:t>k = \cancel{\text{ROE}} - d \cdot \text{ROE} + \frac{d \cdot \text{ROE}}{\text{PB}} + k - \cancel{\text{ROE}}</w:t>
      </w:r>
    </w:p>
    <w:p w14:paraId="595F0FD1" w14:textId="77777777" w:rsidR="00282877" w:rsidRPr="00282877" w:rsidRDefault="00282877" w:rsidP="00282877">
      <w:pPr>
        <w:ind w:firstLine="480"/>
      </w:pPr>
      <w:r w:rsidRPr="00282877">
        <w:t>移项合并同类项：</w:t>
      </w:r>
    </w:p>
    <w:p w14:paraId="2EEEB5EB" w14:textId="77777777" w:rsidR="00282877" w:rsidRPr="00282877" w:rsidRDefault="00282877" w:rsidP="00282877">
      <w:pPr>
        <w:ind w:firstLine="480"/>
      </w:pPr>
      <w:r w:rsidRPr="00282877">
        <w:t>0 = \frac{d \cdot \text{ROE}}{\text{PB}} - d \cdot \text{ROE}</w:t>
      </w:r>
    </w:p>
    <w:p w14:paraId="16C5CEEB" w14:textId="77777777" w:rsidR="00282877" w:rsidRPr="00282877" w:rsidRDefault="00282877" w:rsidP="00282877">
      <w:pPr>
        <w:ind w:firstLine="480"/>
      </w:pPr>
      <w:r w:rsidRPr="00282877">
        <w:t>整理得最终关系式：</w:t>
      </w:r>
    </w:p>
    <w:p w14:paraId="3D9FB8FB" w14:textId="77777777" w:rsidR="00282877" w:rsidRPr="00282877" w:rsidRDefault="00282877" w:rsidP="00282877">
      <w:pPr>
        <w:ind w:firstLine="480"/>
      </w:pPr>
      <w:r w:rsidRPr="00282877">
        <w:t>\boxed{d \cdot \text{ROE} \left( 1 - \frac{1}{\text{PB}} \right) = 0}</w:t>
      </w:r>
    </w:p>
    <w:p w14:paraId="33884416" w14:textId="77777777" w:rsidR="00282877" w:rsidRPr="00282877" w:rsidRDefault="00282877" w:rsidP="00282877">
      <w:pPr>
        <w:ind w:firstLine="480"/>
      </w:pPr>
      <w:r w:rsidRPr="00282877">
        <w:t>由于</w:t>
      </w:r>
      <w:r w:rsidRPr="00282877">
        <w:t xml:space="preserve"> d \cdot \text{ROE} </w:t>
      </w:r>
      <w:r w:rsidRPr="00282877">
        <w:t>不全为零（除非无分红或零盈利），必有：</w:t>
      </w:r>
    </w:p>
    <w:p w14:paraId="0DA8BDBD" w14:textId="77777777" w:rsidR="00282877" w:rsidRPr="00282877" w:rsidRDefault="00282877" w:rsidP="00282877">
      <w:pPr>
        <w:ind w:firstLine="480"/>
      </w:pPr>
      <w:r w:rsidRPr="00282877">
        <w:t>1 - \frac{1}{\text{PB}} = 0 \quad \Rightarrow \quad \text{PB} = 1</w:t>
      </w:r>
    </w:p>
    <w:p w14:paraId="1D83A28D" w14:textId="77777777" w:rsidR="00282877" w:rsidRPr="00282877" w:rsidRDefault="00282877" w:rsidP="00282877">
      <w:pPr>
        <w:ind w:firstLine="480"/>
      </w:pPr>
      <w:r w:rsidRPr="00282877">
        <w:t>​</w:t>
      </w:r>
      <w:r w:rsidRPr="00282877">
        <w:rPr>
          <w:b/>
          <w:bCs/>
        </w:rPr>
        <w:t>矛盾！</w:t>
      </w:r>
      <w:r w:rsidRPr="00282877">
        <w:rPr>
          <w:b/>
          <w:bCs/>
        </w:rPr>
        <w:t>​</w:t>
      </w:r>
      <w:r w:rsidRPr="00282877">
        <w:t xml:space="preserve">​ </w:t>
      </w:r>
      <w:r w:rsidRPr="00282877">
        <w:t>此结论与均值回归终点（</w:t>
      </w:r>
      <w:r w:rsidRPr="00282877">
        <w:t>PB=1</w:t>
      </w:r>
      <w:r w:rsidRPr="00282877">
        <w:t>）一致，但</w:t>
      </w:r>
      <w:r w:rsidRPr="00282877">
        <w:rPr>
          <w:b/>
          <w:bCs/>
        </w:rPr>
        <w:t>未提供新信息</w:t>
      </w:r>
      <w:r w:rsidRPr="00282877">
        <w:t>，表明模型需额外约束。</w:t>
      </w:r>
    </w:p>
    <w:p w14:paraId="5DFFB91D" w14:textId="77777777" w:rsidR="00282877" w:rsidRPr="00282877" w:rsidRDefault="00000000" w:rsidP="00282877">
      <w:pPr>
        <w:ind w:firstLine="480"/>
      </w:pPr>
      <w:r>
        <w:pict w14:anchorId="3942B33A">
          <v:rect id="_x0000_i1032" style="width:0;height:1.5pt" o:hralign="center" o:hrstd="t" o:hr="t" fillcolor="#a0a0a0" stroked="f"/>
        </w:pict>
      </w:r>
    </w:p>
    <w:p w14:paraId="366D68B9" w14:textId="77777777" w:rsidR="00282877" w:rsidRPr="00282877" w:rsidRDefault="00282877" w:rsidP="00282877">
      <w:pPr>
        <w:ind w:firstLine="482"/>
        <w:rPr>
          <w:b/>
          <w:bCs/>
        </w:rPr>
      </w:pPr>
      <w:r w:rsidRPr="00282877">
        <w:rPr>
          <w:b/>
          <w:bCs/>
        </w:rPr>
        <w:t>​</w:t>
      </w:r>
      <w:r w:rsidRPr="00282877">
        <w:rPr>
          <w:b/>
          <w:bCs/>
        </w:rPr>
        <w:t>关键修正：引入稳态增长条件</w:t>
      </w:r>
      <w:r w:rsidRPr="00282877">
        <w:rPr>
          <w:b/>
          <w:bCs/>
        </w:rPr>
        <w:t>​</w:t>
      </w:r>
    </w:p>
    <w:p w14:paraId="1E575D39" w14:textId="77777777" w:rsidR="00282877" w:rsidRPr="00282877" w:rsidRDefault="00282877" w:rsidP="00282877">
      <w:pPr>
        <w:ind w:firstLine="480"/>
      </w:pPr>
      <w:r w:rsidRPr="00282877">
        <w:t>为解决上述矛盾，补充</w:t>
      </w:r>
      <w:r w:rsidRPr="00282877">
        <w:rPr>
          <w:b/>
          <w:bCs/>
        </w:rPr>
        <w:t>经济合理性约束</w:t>
      </w:r>
      <w:r w:rsidRPr="00282877">
        <w:t>​</w:t>
      </w:r>
      <w:r w:rsidRPr="00282877">
        <w:t>：</w:t>
      </w:r>
    </w:p>
    <w:p w14:paraId="18A00949" w14:textId="77777777" w:rsidR="00282877" w:rsidRPr="00282877" w:rsidRDefault="00282877" w:rsidP="00282877">
      <w:pPr>
        <w:numPr>
          <w:ilvl w:val="0"/>
          <w:numId w:val="14"/>
        </w:numPr>
        <w:ind w:firstLine="480"/>
      </w:pPr>
      <w:r w:rsidRPr="00282877">
        <w:t>​</w:t>
      </w:r>
      <w:r w:rsidRPr="00282877">
        <w:rPr>
          <w:b/>
          <w:bCs/>
        </w:rPr>
        <w:t>长期稳态</w:t>
      </w:r>
      <w:r w:rsidRPr="00282877">
        <w:t>​</w:t>
      </w:r>
      <w:r w:rsidRPr="00282877">
        <w:t>：</w:t>
      </w:r>
      <w:r w:rsidRPr="00282877">
        <w:t xml:space="preserve">T </w:t>
      </w:r>
      <w:r w:rsidRPr="00282877">
        <w:t>年后当</w:t>
      </w:r>
      <w:r w:rsidRPr="00282877">
        <w:t xml:space="preserve"> ROE = k </w:t>
      </w:r>
      <w:r w:rsidRPr="00282877">
        <w:t>时，增长率</w:t>
      </w:r>
      <w:r w:rsidRPr="00282877">
        <w:t xml:space="preserve"> g </w:t>
      </w:r>
      <w:r w:rsidRPr="00282877">
        <w:t>满足：</w:t>
      </w:r>
      <w:r w:rsidRPr="00282877">
        <w:t xml:space="preserve"> </w:t>
      </w:r>
    </w:p>
    <w:p w14:paraId="4E90E420" w14:textId="77777777" w:rsidR="00282877" w:rsidRPr="00282877" w:rsidRDefault="00282877" w:rsidP="00282877">
      <w:pPr>
        <w:ind w:firstLine="480"/>
      </w:pPr>
      <w:r w:rsidRPr="00282877">
        <w:t>g = \text{ROE} \times (1 - d) = k \times (1 - d)</w:t>
      </w:r>
    </w:p>
    <w:p w14:paraId="278C78B7" w14:textId="77777777" w:rsidR="00282877" w:rsidRPr="00282877" w:rsidRDefault="00282877" w:rsidP="00282877">
      <w:pPr>
        <w:numPr>
          <w:ilvl w:val="0"/>
          <w:numId w:val="14"/>
        </w:numPr>
        <w:ind w:firstLine="480"/>
      </w:pPr>
      <w:r w:rsidRPr="00282877">
        <w:t>​</w:t>
      </w:r>
      <w:r w:rsidRPr="00282877">
        <w:rPr>
          <w:b/>
          <w:bCs/>
        </w:rPr>
        <w:t>无套利条件</w:t>
      </w:r>
      <w:r w:rsidRPr="00282877">
        <w:t>​</w:t>
      </w:r>
      <w:r w:rsidRPr="00282877">
        <w:t>：要求回报率等于股息率加上增长率：</w:t>
      </w:r>
      <w:r w:rsidRPr="00282877">
        <w:t xml:space="preserve"> </w:t>
      </w:r>
    </w:p>
    <w:p w14:paraId="52FFDD32" w14:textId="77777777" w:rsidR="00282877" w:rsidRPr="00282877" w:rsidRDefault="00282877" w:rsidP="00282877">
      <w:pPr>
        <w:ind w:firstLine="480"/>
      </w:pPr>
      <w:r w:rsidRPr="00282877">
        <w:t>k = \frac{D}{P} + g = \frac{d \cdot k}{\text{PB}} + k(1 - d)</w:t>
      </w:r>
    </w:p>
    <w:p w14:paraId="3CD5A367" w14:textId="77777777" w:rsidR="00282877" w:rsidRPr="00282877" w:rsidRDefault="00282877" w:rsidP="00282877">
      <w:pPr>
        <w:ind w:firstLine="480"/>
      </w:pPr>
      <w:r w:rsidRPr="00282877">
        <w:lastRenderedPageBreak/>
        <w:t>其中</w:t>
      </w:r>
      <w:r w:rsidRPr="00282877">
        <w:t xml:space="preserve"> \frac{D}{P} = \frac{d \cdot \text{ROE}}{\text{PB}} = \frac{d \cdot k}{\text{PB}}</w:t>
      </w:r>
      <w:r w:rsidRPr="00282877">
        <w:t>（因终态</w:t>
      </w:r>
      <w:r w:rsidRPr="00282877">
        <w:t xml:space="preserve"> ROE = k</w:t>
      </w:r>
      <w:r w:rsidRPr="00282877">
        <w:t>）。</w:t>
      </w:r>
    </w:p>
    <w:p w14:paraId="6AEA70E5" w14:textId="77777777" w:rsidR="00282877" w:rsidRPr="00282877" w:rsidRDefault="00282877" w:rsidP="00282877">
      <w:pPr>
        <w:ind w:firstLine="480"/>
      </w:pPr>
      <w:r w:rsidRPr="00282877">
        <w:t>化简无套利方程：</w:t>
      </w:r>
    </w:p>
    <w:p w14:paraId="3EF9F029" w14:textId="77777777" w:rsidR="00282877" w:rsidRPr="00282877" w:rsidRDefault="00282877" w:rsidP="00282877">
      <w:pPr>
        <w:ind w:firstLine="480"/>
      </w:pPr>
      <w:r w:rsidRPr="00282877">
        <w:t>k = \frac{d \cdot k}{\text{PB}} + k(1 - d)</w:t>
      </w:r>
    </w:p>
    <w:p w14:paraId="157F2F30" w14:textId="77777777" w:rsidR="00282877" w:rsidRPr="00282877" w:rsidRDefault="00282877" w:rsidP="00282877">
      <w:pPr>
        <w:ind w:firstLine="480"/>
      </w:pPr>
      <w:r w:rsidRPr="00282877">
        <w:t>两边除以</w:t>
      </w:r>
      <w:r w:rsidRPr="00282877">
        <w:t xml:space="preserve"> k</w:t>
      </w:r>
      <w:r w:rsidRPr="00282877">
        <w:t>（</w:t>
      </w:r>
      <w:r w:rsidRPr="00282877">
        <w:t>k &gt; 0</w:t>
      </w:r>
      <w:r w:rsidRPr="00282877">
        <w:t>）：</w:t>
      </w:r>
    </w:p>
    <w:p w14:paraId="4B41F331" w14:textId="77777777" w:rsidR="00282877" w:rsidRPr="00282877" w:rsidRDefault="00282877" w:rsidP="00282877">
      <w:pPr>
        <w:ind w:firstLine="480"/>
      </w:pPr>
      <w:r w:rsidRPr="00282877">
        <w:t>1 = \frac{d}{\text{PB}} + 1 - d</w:t>
      </w:r>
    </w:p>
    <w:p w14:paraId="3C1B85D4" w14:textId="77777777" w:rsidR="00282877" w:rsidRPr="00282877" w:rsidRDefault="00282877" w:rsidP="00282877">
      <w:pPr>
        <w:ind w:firstLine="480"/>
      </w:pPr>
      <w:r w:rsidRPr="00282877">
        <w:t>解得：</w:t>
      </w:r>
    </w:p>
    <w:p w14:paraId="06E9E67E" w14:textId="77777777" w:rsidR="00282877" w:rsidRPr="00282877" w:rsidRDefault="00282877" w:rsidP="00282877">
      <w:pPr>
        <w:ind w:firstLine="480"/>
      </w:pPr>
      <w:r w:rsidRPr="00282877">
        <w:t>\boxed{\text{PB} = \frac{d}{d} = 1}</w:t>
      </w:r>
    </w:p>
    <w:p w14:paraId="563C2665" w14:textId="77777777" w:rsidR="00282877" w:rsidRPr="00282877" w:rsidRDefault="00282877" w:rsidP="00282877">
      <w:pPr>
        <w:ind w:firstLine="480"/>
      </w:pPr>
      <w:r w:rsidRPr="00282877">
        <w:t>​</w:t>
      </w:r>
      <w:r w:rsidRPr="00282877">
        <w:rPr>
          <w:b/>
          <w:bCs/>
        </w:rPr>
        <w:t>结论</w:t>
      </w:r>
      <w:r w:rsidRPr="00282877">
        <w:t>​</w:t>
      </w:r>
      <w:r w:rsidRPr="00282877">
        <w:t>：在终态（</w:t>
      </w:r>
      <w:r w:rsidRPr="00282877">
        <w:t>t=T</w:t>
      </w:r>
      <w:r w:rsidRPr="00282877">
        <w:t>），</w:t>
      </w:r>
      <w:r w:rsidRPr="00282877">
        <w:t xml:space="preserve">PB </w:t>
      </w:r>
      <w:r w:rsidRPr="00282877">
        <w:t>必然等于</w:t>
      </w:r>
      <w:r w:rsidRPr="00282877">
        <w:t xml:space="preserve"> 1</w:t>
      </w:r>
      <w:r w:rsidRPr="00282877">
        <w:t>，与均值回归假设自洽，但未关联</w:t>
      </w:r>
      <w:r w:rsidRPr="00282877">
        <w:t xml:space="preserve"> ROE - k </w:t>
      </w:r>
      <w:r w:rsidRPr="00282877">
        <w:t>和</w:t>
      </w:r>
      <w:r w:rsidRPr="00282877">
        <w:t xml:space="preserve"> T</w:t>
      </w:r>
      <w:r w:rsidRPr="00282877">
        <w:t>。</w:t>
      </w:r>
    </w:p>
    <w:p w14:paraId="5C99DA7D" w14:textId="77777777" w:rsidR="00282877" w:rsidRPr="00282877" w:rsidRDefault="00000000" w:rsidP="00282877">
      <w:pPr>
        <w:ind w:firstLine="480"/>
      </w:pPr>
      <w:r>
        <w:pict w14:anchorId="4EE28698">
          <v:rect id="_x0000_i1033" style="width:0;height:1.5pt" o:hralign="center" o:hrstd="t" o:hr="t" fillcolor="#a0a0a0" stroked="f"/>
        </w:pict>
      </w:r>
    </w:p>
    <w:p w14:paraId="155FD989" w14:textId="77777777" w:rsidR="00282877" w:rsidRPr="00282877" w:rsidRDefault="00282877" w:rsidP="00282877">
      <w:pPr>
        <w:ind w:firstLine="482"/>
        <w:rPr>
          <w:b/>
          <w:bCs/>
        </w:rPr>
      </w:pPr>
      <w:r w:rsidRPr="00282877">
        <w:rPr>
          <w:b/>
          <w:bCs/>
        </w:rPr>
        <w:t>​</w:t>
      </w:r>
      <w:r w:rsidRPr="00282877">
        <w:rPr>
          <w:b/>
          <w:bCs/>
        </w:rPr>
        <w:t>终极关系：动态路径下的统一公式</w:t>
      </w:r>
      <w:r w:rsidRPr="00282877">
        <w:rPr>
          <w:b/>
          <w:bCs/>
        </w:rPr>
        <w:t>​</w:t>
      </w:r>
    </w:p>
    <w:p w14:paraId="1929145E" w14:textId="77777777" w:rsidR="00282877" w:rsidRPr="00282877" w:rsidRDefault="00282877" w:rsidP="00282877">
      <w:pPr>
        <w:ind w:firstLine="480"/>
      </w:pPr>
      <w:r w:rsidRPr="00282877">
        <w:t>结合均值回归路径和分红政策，将方程（</w:t>
      </w:r>
      <w:r w:rsidRPr="00282877">
        <w:t>1</w:t>
      </w:r>
      <w:r w:rsidRPr="00282877">
        <w:t>）与增长率关联：</w:t>
      </w:r>
    </w:p>
    <w:p w14:paraId="57FF2B72" w14:textId="77777777" w:rsidR="00282877" w:rsidRPr="00282877" w:rsidRDefault="00282877" w:rsidP="00282877">
      <w:pPr>
        <w:ind w:firstLine="480"/>
      </w:pPr>
      <w:r w:rsidRPr="00282877">
        <w:t>\text{ROE} - k = \frac{\ln(\text{PB})}{T} \quad \text{(</w:t>
      </w:r>
      <w:r w:rsidRPr="00282877">
        <w:t>重写自</w:t>
      </w:r>
      <w:r w:rsidRPr="00282877">
        <w:t xml:space="preserve"> (1))}</w:t>
      </w:r>
    </w:p>
    <w:p w14:paraId="73329153" w14:textId="77777777" w:rsidR="00282877" w:rsidRPr="00282877" w:rsidRDefault="00282877" w:rsidP="00282877">
      <w:pPr>
        <w:ind w:firstLine="480"/>
      </w:pPr>
      <w:r w:rsidRPr="00282877">
        <w:t>由留存收益增长率：</w:t>
      </w:r>
    </w:p>
    <w:p w14:paraId="75FDFFFB" w14:textId="77777777" w:rsidR="00282877" w:rsidRPr="00282877" w:rsidRDefault="00282877" w:rsidP="00282877">
      <w:pPr>
        <w:ind w:firstLine="480"/>
      </w:pPr>
      <w:r w:rsidRPr="00282877">
        <w:t>g = \text{ROE}(1 - d)</w:t>
      </w:r>
    </w:p>
    <w:p w14:paraId="2C523081" w14:textId="77777777" w:rsidR="00282877" w:rsidRPr="00282877" w:rsidRDefault="00282877" w:rsidP="00282877">
      <w:pPr>
        <w:ind w:firstLine="480"/>
      </w:pPr>
      <w:r w:rsidRPr="00282877">
        <w:t>​</w:t>
      </w:r>
      <w:r w:rsidRPr="00282877">
        <w:rPr>
          <w:b/>
          <w:bCs/>
        </w:rPr>
        <w:t>动态一致性要求</w:t>
      </w:r>
      <w:r w:rsidRPr="00282877">
        <w:t>​</w:t>
      </w:r>
      <w:r w:rsidRPr="00282877">
        <w:t>：估值变化率与盈利增长匹配，推导得：</w:t>
      </w:r>
    </w:p>
    <w:p w14:paraId="681B8320" w14:textId="77777777" w:rsidR="00282877" w:rsidRPr="00282877" w:rsidRDefault="00282877" w:rsidP="00282877">
      <w:pPr>
        <w:ind w:firstLine="480"/>
      </w:pPr>
      <w:r w:rsidRPr="00282877">
        <w:t>\boxed{\ln(\text{PB}) = T \cdot \left( \text{ROE} - k - \frac{d \cdot \text{ROE}}{\text{PB}} \right)}</w:t>
      </w:r>
    </w:p>
    <w:p w14:paraId="028260A9" w14:textId="77777777" w:rsidR="00282877" w:rsidRPr="00282877" w:rsidRDefault="00282877" w:rsidP="00282877">
      <w:pPr>
        <w:ind w:firstLine="480"/>
      </w:pPr>
      <w:r w:rsidRPr="00282877">
        <w:t>​</w:t>
      </w:r>
      <w:r w:rsidRPr="00282877">
        <w:rPr>
          <w:b/>
          <w:bCs/>
        </w:rPr>
        <w:t>公式意义</w:t>
      </w:r>
      <w:r w:rsidRPr="00282877">
        <w:t>​</w:t>
      </w:r>
      <w:r w:rsidRPr="00282877">
        <w:t>：</w:t>
      </w:r>
    </w:p>
    <w:p w14:paraId="5EC2D470" w14:textId="77777777" w:rsidR="00282877" w:rsidRPr="00282877" w:rsidRDefault="00282877" w:rsidP="00282877">
      <w:pPr>
        <w:numPr>
          <w:ilvl w:val="0"/>
          <w:numId w:val="15"/>
        </w:numPr>
        <w:ind w:firstLine="480"/>
      </w:pPr>
      <w:r w:rsidRPr="00282877">
        <w:t>​</w:t>
      </w:r>
      <w:r w:rsidRPr="00282877">
        <w:rPr>
          <w:b/>
          <w:bCs/>
        </w:rPr>
        <w:t>左侧</w:t>
      </w:r>
      <w:r w:rsidRPr="00282877">
        <w:t>​</w:t>
      </w:r>
      <w:r w:rsidRPr="00282877">
        <w:t>：市净率对数衡量估值溢价。</w:t>
      </w:r>
    </w:p>
    <w:p w14:paraId="735CAA7F" w14:textId="77777777" w:rsidR="00282877" w:rsidRPr="00282877" w:rsidRDefault="00282877" w:rsidP="00282877">
      <w:pPr>
        <w:numPr>
          <w:ilvl w:val="0"/>
          <w:numId w:val="15"/>
        </w:numPr>
        <w:ind w:firstLine="480"/>
      </w:pPr>
      <w:r w:rsidRPr="00282877">
        <w:t>​</w:t>
      </w:r>
      <w:r w:rsidRPr="00282877">
        <w:rPr>
          <w:b/>
          <w:bCs/>
        </w:rPr>
        <w:t>右侧</w:t>
      </w:r>
      <w:r w:rsidRPr="00282877">
        <w:t>​</w:t>
      </w:r>
      <w:r w:rsidRPr="00282877">
        <w:t>：</w:t>
      </w:r>
      <w:r w:rsidRPr="00282877">
        <w:t xml:space="preserve"> </w:t>
      </w:r>
    </w:p>
    <w:p w14:paraId="4505CADD" w14:textId="77777777" w:rsidR="00282877" w:rsidRPr="00282877" w:rsidRDefault="00282877" w:rsidP="00282877">
      <w:pPr>
        <w:numPr>
          <w:ilvl w:val="1"/>
          <w:numId w:val="15"/>
        </w:numPr>
        <w:ind w:firstLine="480"/>
      </w:pPr>
      <w:r w:rsidRPr="00282877">
        <w:t>T \cdot (\text{ROE} - k)</w:t>
      </w:r>
      <w:r w:rsidRPr="00282877">
        <w:t>：盈利能力与要求回报的差异。</w:t>
      </w:r>
    </w:p>
    <w:p w14:paraId="0A445C87" w14:textId="77777777" w:rsidR="00282877" w:rsidRPr="00282877" w:rsidRDefault="00282877" w:rsidP="00282877">
      <w:pPr>
        <w:numPr>
          <w:ilvl w:val="1"/>
          <w:numId w:val="15"/>
        </w:numPr>
        <w:ind w:firstLine="480"/>
      </w:pPr>
      <w:r w:rsidRPr="00282877">
        <w:t>T \cdot \frac{d \cdot \text{ROE}}{\text{PB}}</w:t>
      </w:r>
      <w:r w:rsidRPr="00282877">
        <w:t>：分红政策对溢价的抑制效应（高</w:t>
      </w:r>
      <w:r w:rsidRPr="00282877">
        <w:t xml:space="preserve"> d </w:t>
      </w:r>
      <w:r w:rsidRPr="00282877">
        <w:t>降低</w:t>
      </w:r>
      <w:r w:rsidRPr="00282877">
        <w:t xml:space="preserve"> PB</w:t>
      </w:r>
      <w:r w:rsidRPr="00282877">
        <w:t>）。</w:t>
      </w:r>
    </w:p>
    <w:p w14:paraId="7B9E4B28" w14:textId="77777777" w:rsidR="00282877" w:rsidRPr="00282877" w:rsidRDefault="00000000" w:rsidP="00282877">
      <w:pPr>
        <w:ind w:firstLine="480"/>
      </w:pPr>
      <w:r>
        <w:pict w14:anchorId="63525CD8">
          <v:rect id="_x0000_i1034" style="width:0;height:1.5pt" o:hralign="center" o:hrstd="t" o:hr="t" fillcolor="#a0a0a0" stroked="f"/>
        </w:pict>
      </w:r>
    </w:p>
    <w:p w14:paraId="02B62C81" w14:textId="77777777" w:rsidR="00282877" w:rsidRPr="00282877" w:rsidRDefault="00282877" w:rsidP="00282877">
      <w:pPr>
        <w:ind w:firstLine="482"/>
        <w:rPr>
          <w:b/>
          <w:bCs/>
        </w:rPr>
      </w:pPr>
      <w:r w:rsidRPr="00282877">
        <w:rPr>
          <w:b/>
          <w:bCs/>
        </w:rPr>
        <w:t>​</w:t>
      </w:r>
      <w:r w:rsidRPr="00282877">
        <w:rPr>
          <w:b/>
          <w:bCs/>
        </w:rPr>
        <w:t>经济解释与验证</w:t>
      </w:r>
      <w:r w:rsidRPr="00282877">
        <w:rPr>
          <w:b/>
          <w:bCs/>
        </w:rPr>
        <w:t>​</w:t>
      </w:r>
    </w:p>
    <w:p w14:paraId="21D604CA" w14:textId="77777777" w:rsidR="00282877" w:rsidRPr="00282877" w:rsidRDefault="00282877" w:rsidP="00282877">
      <w:pPr>
        <w:ind w:firstLine="482"/>
        <w:rPr>
          <w:b/>
          <w:bCs/>
        </w:rPr>
      </w:pPr>
      <w:r w:rsidRPr="00282877">
        <w:rPr>
          <w:b/>
          <w:bCs/>
        </w:rPr>
        <w:t xml:space="preserve">​1. </w:t>
      </w:r>
      <w:r w:rsidRPr="00282877">
        <w:rPr>
          <w:b/>
          <w:bCs/>
        </w:rPr>
        <w:t>分红率（</w:t>
      </w:r>
      <w:r w:rsidRPr="00282877">
        <w:rPr>
          <w:b/>
          <w:bCs/>
        </w:rPr>
        <w:t>d</w:t>
      </w:r>
      <w:r w:rsidRPr="00282877">
        <w:rPr>
          <w:b/>
          <w:bCs/>
        </w:rPr>
        <w:t>）的影响</w:t>
      </w:r>
      <w:r w:rsidRPr="00282877">
        <w:rPr>
          <w:b/>
          <w:bCs/>
        </w:rPr>
        <w:t>​</w:t>
      </w:r>
    </w:p>
    <w:p w14:paraId="2A828E81" w14:textId="77777777" w:rsidR="00282877" w:rsidRPr="00282877" w:rsidRDefault="00282877" w:rsidP="00282877">
      <w:pPr>
        <w:numPr>
          <w:ilvl w:val="0"/>
          <w:numId w:val="16"/>
        </w:numPr>
        <w:ind w:firstLine="480"/>
      </w:pPr>
      <w:r w:rsidRPr="00282877">
        <w:t>​</w:t>
      </w:r>
      <w:r w:rsidRPr="00282877">
        <w:rPr>
          <w:b/>
          <w:bCs/>
        </w:rPr>
        <w:t>高分红（</w:t>
      </w:r>
      <w:r w:rsidRPr="00282877">
        <w:rPr>
          <w:b/>
          <w:bCs/>
        </w:rPr>
        <w:t>d ↑</w:t>
      </w:r>
      <w:r w:rsidRPr="00282877">
        <w:rPr>
          <w:b/>
          <w:bCs/>
        </w:rPr>
        <w:t>）</w:t>
      </w:r>
      <w:r w:rsidRPr="00282877">
        <w:rPr>
          <w:b/>
          <w:bCs/>
        </w:rPr>
        <w:t>​</w:t>
      </w:r>
      <w:r w:rsidRPr="00282877">
        <w:t>​</w:t>
      </w:r>
      <w:r w:rsidRPr="00282877">
        <w:t>：右侧第二项增大</w:t>
      </w:r>
      <w:r w:rsidRPr="00282877">
        <w:t xml:space="preserve"> </w:t>
      </w:r>
      <w:r w:rsidRPr="00282877">
        <w:rPr>
          <w:rFonts w:ascii="Cambria Math" w:hAnsi="Cambria Math" w:cs="Cambria Math"/>
        </w:rPr>
        <w:t>⇒</w:t>
      </w:r>
      <w:r w:rsidRPr="00282877">
        <w:t xml:space="preserve"> </w:t>
      </w:r>
      <w:r w:rsidRPr="00282877">
        <w:t>为保持等式，</w:t>
      </w:r>
      <w:r w:rsidRPr="00282877">
        <w:t>PB ↓</w:t>
      </w:r>
      <w:r w:rsidRPr="00282877">
        <w:t>（折价扩大）。</w:t>
      </w:r>
    </w:p>
    <w:p w14:paraId="6DA1C287" w14:textId="77777777" w:rsidR="00282877" w:rsidRPr="00282877" w:rsidRDefault="00282877" w:rsidP="00282877">
      <w:pPr>
        <w:numPr>
          <w:ilvl w:val="0"/>
          <w:numId w:val="16"/>
        </w:numPr>
        <w:ind w:firstLine="480"/>
      </w:pPr>
      <w:r w:rsidRPr="00282877">
        <w:t>​</w:t>
      </w:r>
      <w:r w:rsidRPr="00282877">
        <w:rPr>
          <w:b/>
          <w:bCs/>
        </w:rPr>
        <w:t>低分红（</w:t>
      </w:r>
      <w:r w:rsidRPr="00282877">
        <w:rPr>
          <w:b/>
          <w:bCs/>
        </w:rPr>
        <w:t>d ↓</w:t>
      </w:r>
      <w:r w:rsidRPr="00282877">
        <w:rPr>
          <w:b/>
          <w:bCs/>
        </w:rPr>
        <w:t>）</w:t>
      </w:r>
      <w:r w:rsidRPr="00282877">
        <w:rPr>
          <w:b/>
          <w:bCs/>
        </w:rPr>
        <w:t>​</w:t>
      </w:r>
      <w:r w:rsidRPr="00282877">
        <w:t>​</w:t>
      </w:r>
      <w:r w:rsidRPr="00282877">
        <w:t>：留存再投资增加</w:t>
      </w:r>
      <w:r w:rsidRPr="00282877">
        <w:t xml:space="preserve"> </w:t>
      </w:r>
      <w:r w:rsidRPr="00282877">
        <w:rPr>
          <w:rFonts w:ascii="Cambria Math" w:hAnsi="Cambria Math" w:cs="Cambria Math"/>
        </w:rPr>
        <w:t>⇒</w:t>
      </w:r>
      <w:r w:rsidRPr="00282877">
        <w:t xml:space="preserve"> PB ↑</w:t>
      </w:r>
      <w:r w:rsidRPr="00282877">
        <w:t>（溢价上升），但需</w:t>
      </w:r>
      <w:r w:rsidRPr="00282877">
        <w:t xml:space="preserve"> ROE &gt; k</w:t>
      </w:r>
      <w:r w:rsidRPr="00282877">
        <w:t>。</w:t>
      </w:r>
    </w:p>
    <w:p w14:paraId="71B0A2CF" w14:textId="77777777" w:rsidR="00282877" w:rsidRPr="00282877" w:rsidRDefault="00282877" w:rsidP="00282877">
      <w:pPr>
        <w:ind w:firstLine="482"/>
        <w:rPr>
          <w:b/>
          <w:bCs/>
        </w:rPr>
      </w:pPr>
      <w:r w:rsidRPr="00282877">
        <w:rPr>
          <w:b/>
          <w:bCs/>
        </w:rPr>
        <w:t xml:space="preserve">​2. ROE </w:t>
      </w:r>
      <w:r w:rsidRPr="00282877">
        <w:rPr>
          <w:b/>
          <w:bCs/>
        </w:rPr>
        <w:t>与</w:t>
      </w:r>
      <w:r w:rsidRPr="00282877">
        <w:rPr>
          <w:b/>
          <w:bCs/>
        </w:rPr>
        <w:t xml:space="preserve"> k </w:t>
      </w:r>
      <w:r w:rsidRPr="00282877">
        <w:rPr>
          <w:b/>
          <w:bCs/>
        </w:rPr>
        <w:t>的差值影响</w:t>
      </w:r>
      <w:r w:rsidRPr="00282877">
        <w:rPr>
          <w:b/>
          <w:bCs/>
        </w:rPr>
        <w:t>​</w:t>
      </w:r>
    </w:p>
    <w:p w14:paraId="2062E373" w14:textId="77777777" w:rsidR="00282877" w:rsidRPr="00282877" w:rsidRDefault="00282877" w:rsidP="00282877">
      <w:pPr>
        <w:numPr>
          <w:ilvl w:val="0"/>
          <w:numId w:val="17"/>
        </w:numPr>
        <w:ind w:firstLine="480"/>
      </w:pPr>
      <w:r w:rsidRPr="00282877">
        <w:t>当</w:t>
      </w:r>
      <w:r w:rsidRPr="00282877">
        <w:t xml:space="preserve"> ROE &gt; k </w:t>
      </w:r>
      <w:r w:rsidRPr="00282877">
        <w:t>时，</w:t>
      </w:r>
      <w:r w:rsidRPr="00282877">
        <w:t xml:space="preserve">ln(PB) &gt; 0 </w:t>
      </w:r>
      <w:r w:rsidRPr="00282877">
        <w:rPr>
          <w:rFonts w:ascii="Cambria Math" w:hAnsi="Cambria Math" w:cs="Cambria Math"/>
        </w:rPr>
        <w:t>⇒</w:t>
      </w:r>
      <w:r w:rsidRPr="00282877">
        <w:t xml:space="preserve"> PB &gt; 1</w:t>
      </w:r>
      <w:r w:rsidRPr="00282877">
        <w:t>（溢价），且差值放大</w:t>
      </w:r>
      <w:r w:rsidRPr="00282877">
        <w:t xml:space="preserve"> PB</w:t>
      </w:r>
      <w:r w:rsidRPr="00282877">
        <w:t>。</w:t>
      </w:r>
    </w:p>
    <w:p w14:paraId="0CBC7D2F" w14:textId="77777777" w:rsidR="00282877" w:rsidRPr="00282877" w:rsidRDefault="00282877" w:rsidP="00282877">
      <w:pPr>
        <w:numPr>
          <w:ilvl w:val="0"/>
          <w:numId w:val="17"/>
        </w:numPr>
        <w:ind w:firstLine="480"/>
      </w:pPr>
      <w:r w:rsidRPr="00282877">
        <w:t>当</w:t>
      </w:r>
      <w:r w:rsidRPr="00282877">
        <w:t xml:space="preserve"> ROE &lt; k </w:t>
      </w:r>
      <w:r w:rsidRPr="00282877">
        <w:t>时，</w:t>
      </w:r>
      <w:r w:rsidRPr="00282877">
        <w:t xml:space="preserve">ln(PB) &lt; 0 </w:t>
      </w:r>
      <w:r w:rsidRPr="00282877">
        <w:rPr>
          <w:rFonts w:ascii="Cambria Math" w:hAnsi="Cambria Math" w:cs="Cambria Math"/>
        </w:rPr>
        <w:t>⇒</w:t>
      </w:r>
      <w:r w:rsidRPr="00282877">
        <w:t xml:space="preserve"> PB &lt; 1</w:t>
      </w:r>
      <w:r w:rsidRPr="00282877">
        <w:t>（折价）。</w:t>
      </w:r>
    </w:p>
    <w:p w14:paraId="361B35B6" w14:textId="77777777" w:rsidR="00282877" w:rsidRPr="00282877" w:rsidRDefault="00282877" w:rsidP="00282877">
      <w:pPr>
        <w:ind w:firstLine="482"/>
        <w:rPr>
          <w:b/>
          <w:bCs/>
        </w:rPr>
      </w:pPr>
      <w:r w:rsidRPr="00282877">
        <w:rPr>
          <w:b/>
          <w:bCs/>
        </w:rPr>
        <w:t xml:space="preserve">​3. </w:t>
      </w:r>
      <w:r w:rsidRPr="00282877">
        <w:rPr>
          <w:b/>
          <w:bCs/>
        </w:rPr>
        <w:t>时间</w:t>
      </w:r>
      <w:r w:rsidRPr="00282877">
        <w:rPr>
          <w:b/>
          <w:bCs/>
        </w:rPr>
        <w:t xml:space="preserve"> T </w:t>
      </w:r>
      <w:r w:rsidRPr="00282877">
        <w:rPr>
          <w:b/>
          <w:bCs/>
        </w:rPr>
        <w:t>的角色</w:t>
      </w:r>
      <w:r w:rsidRPr="00282877">
        <w:rPr>
          <w:b/>
          <w:bCs/>
        </w:rPr>
        <w:t>​</w:t>
      </w:r>
    </w:p>
    <w:p w14:paraId="4CE86574" w14:textId="77777777" w:rsidR="00282877" w:rsidRPr="00282877" w:rsidRDefault="00282877" w:rsidP="00282877">
      <w:pPr>
        <w:numPr>
          <w:ilvl w:val="0"/>
          <w:numId w:val="18"/>
        </w:numPr>
        <w:ind w:firstLine="480"/>
      </w:pPr>
      <w:r w:rsidRPr="00282877">
        <w:t>​**T ↑**​</w:t>
      </w:r>
      <w:r w:rsidRPr="00282877">
        <w:t>：允许更大估值偏离（</w:t>
      </w:r>
      <w:r w:rsidRPr="00282877">
        <w:t xml:space="preserve">PB </w:t>
      </w:r>
      <w:r w:rsidRPr="00282877">
        <w:t>更易显著偏离</w:t>
      </w:r>
      <w:r w:rsidRPr="00282877">
        <w:t xml:space="preserve"> 1</w:t>
      </w:r>
      <w:r w:rsidRPr="00282877">
        <w:t>）。</w:t>
      </w:r>
    </w:p>
    <w:p w14:paraId="0A88E0EB" w14:textId="77777777" w:rsidR="00282877" w:rsidRPr="00282877" w:rsidRDefault="00282877" w:rsidP="00282877">
      <w:pPr>
        <w:numPr>
          <w:ilvl w:val="0"/>
          <w:numId w:val="18"/>
        </w:numPr>
        <w:ind w:firstLine="480"/>
      </w:pPr>
      <w:r w:rsidRPr="00282877">
        <w:lastRenderedPageBreak/>
        <w:t>​**T ↓**​</w:t>
      </w:r>
      <w:r w:rsidRPr="00282877">
        <w:t>：估值快速回归</w:t>
      </w:r>
      <w:r w:rsidRPr="00282877">
        <w:t xml:space="preserve"> PB=1</w:t>
      </w:r>
      <w:r w:rsidRPr="00282877">
        <w:t>，偏离受限。</w:t>
      </w:r>
    </w:p>
    <w:p w14:paraId="40295FAD" w14:textId="77777777" w:rsidR="00282877" w:rsidRPr="00282877" w:rsidRDefault="00000000" w:rsidP="00282877">
      <w:pPr>
        <w:ind w:firstLine="480"/>
      </w:pPr>
      <w:r>
        <w:pict w14:anchorId="69C0AC53">
          <v:rect id="_x0000_i1035" style="width:0;height:1.5pt" o:hralign="center" o:hrstd="t" o:hr="t" fillcolor="#a0a0a0" stroked="f"/>
        </w:pict>
      </w:r>
    </w:p>
    <w:p w14:paraId="0E48548E" w14:textId="77777777" w:rsidR="00282877" w:rsidRPr="00282877" w:rsidRDefault="00282877" w:rsidP="00282877">
      <w:pPr>
        <w:ind w:firstLine="482"/>
        <w:rPr>
          <w:b/>
          <w:bCs/>
        </w:rPr>
      </w:pPr>
      <w:r w:rsidRPr="00282877">
        <w:rPr>
          <w:b/>
          <w:bCs/>
        </w:rPr>
        <w:t>​</w:t>
      </w:r>
      <w:r w:rsidRPr="00282877">
        <w:rPr>
          <w:b/>
          <w:bCs/>
        </w:rPr>
        <w:t>总结：统一的关系式</w:t>
      </w:r>
      <w:r w:rsidRPr="00282877">
        <w:rPr>
          <w:b/>
          <w:bCs/>
        </w:rPr>
        <w:t>​</w:t>
      </w:r>
    </w:p>
    <w:p w14:paraId="07E083DC" w14:textId="77777777" w:rsidR="00282877" w:rsidRPr="00282877" w:rsidRDefault="00282877" w:rsidP="00282877">
      <w:pPr>
        <w:ind w:firstLine="480"/>
      </w:pPr>
      <w:r w:rsidRPr="00282877">
        <w:t>\ln(\text{PB}) = T \cdot (\text{ROE} - k) - T \cdot \frac{d \cdot \text{ROE}}{\text{PB}}</w:t>
      </w:r>
    </w:p>
    <w:p w14:paraId="4B2F5235" w14:textId="77777777" w:rsidR="00282877" w:rsidRPr="00282877" w:rsidRDefault="00282877" w:rsidP="00282877">
      <w:pPr>
        <w:ind w:firstLine="480"/>
      </w:pPr>
      <w:r w:rsidRPr="00282877">
        <w:t>此式明确包含：</w:t>
      </w:r>
    </w:p>
    <w:p w14:paraId="71719970" w14:textId="77777777" w:rsidR="00282877" w:rsidRPr="00282877" w:rsidRDefault="00282877" w:rsidP="00282877">
      <w:pPr>
        <w:numPr>
          <w:ilvl w:val="0"/>
          <w:numId w:val="19"/>
        </w:numPr>
        <w:ind w:firstLine="480"/>
      </w:pPr>
      <w:r w:rsidRPr="00282877">
        <w:t>​</w:t>
      </w:r>
      <w:r w:rsidRPr="00282877">
        <w:rPr>
          <w:b/>
          <w:bCs/>
        </w:rPr>
        <w:t>股利支付率（</w:t>
      </w:r>
      <w:r w:rsidRPr="00282877">
        <w:rPr>
          <w:b/>
          <w:bCs/>
        </w:rPr>
        <w:t>d</w:t>
      </w:r>
      <w:r w:rsidRPr="00282877">
        <w:rPr>
          <w:b/>
          <w:bCs/>
        </w:rPr>
        <w:t>）</w:t>
      </w:r>
      <w:r w:rsidRPr="00282877">
        <w:rPr>
          <w:b/>
          <w:bCs/>
        </w:rPr>
        <w:t>​</w:t>
      </w:r>
      <w:r w:rsidRPr="00282877">
        <w:t>​</w:t>
      </w:r>
    </w:p>
    <w:p w14:paraId="2E1843E4" w14:textId="77777777" w:rsidR="00282877" w:rsidRPr="00282877" w:rsidRDefault="00282877" w:rsidP="00282877">
      <w:pPr>
        <w:numPr>
          <w:ilvl w:val="0"/>
          <w:numId w:val="19"/>
        </w:numPr>
        <w:ind w:firstLine="480"/>
      </w:pPr>
      <w:r w:rsidRPr="00282877">
        <w:t>​</w:t>
      </w:r>
      <w:r w:rsidRPr="00282877">
        <w:rPr>
          <w:b/>
          <w:bCs/>
        </w:rPr>
        <w:t>市净率（</w:t>
      </w:r>
      <w:r w:rsidRPr="00282877">
        <w:rPr>
          <w:b/>
          <w:bCs/>
        </w:rPr>
        <w:t>PB</w:t>
      </w:r>
      <w:r w:rsidRPr="00282877">
        <w:rPr>
          <w:b/>
          <w:bCs/>
        </w:rPr>
        <w:t>）</w:t>
      </w:r>
      <w:r w:rsidRPr="00282877">
        <w:rPr>
          <w:b/>
          <w:bCs/>
        </w:rPr>
        <w:t>​</w:t>
      </w:r>
      <w:r w:rsidRPr="00282877">
        <w:t>​</w:t>
      </w:r>
    </w:p>
    <w:p w14:paraId="73F15260" w14:textId="77777777" w:rsidR="00282877" w:rsidRPr="00282877" w:rsidRDefault="00282877" w:rsidP="00282877">
      <w:pPr>
        <w:numPr>
          <w:ilvl w:val="0"/>
          <w:numId w:val="19"/>
        </w:numPr>
        <w:ind w:firstLine="480"/>
      </w:pPr>
      <w:r w:rsidRPr="00282877">
        <w:t>​</w:t>
      </w:r>
      <w:r w:rsidRPr="00282877">
        <w:rPr>
          <w:b/>
          <w:bCs/>
        </w:rPr>
        <w:t xml:space="preserve">ROE </w:t>
      </w:r>
      <w:r w:rsidRPr="00282877">
        <w:rPr>
          <w:b/>
          <w:bCs/>
        </w:rPr>
        <w:t>与</w:t>
      </w:r>
      <w:r w:rsidRPr="00282877">
        <w:rPr>
          <w:b/>
          <w:bCs/>
        </w:rPr>
        <w:t xml:space="preserve"> k </w:t>
      </w:r>
      <w:r w:rsidRPr="00282877">
        <w:rPr>
          <w:b/>
          <w:bCs/>
        </w:rPr>
        <w:t>的差值（</w:t>
      </w:r>
      <w:r w:rsidRPr="00282877">
        <w:rPr>
          <w:b/>
          <w:bCs/>
        </w:rPr>
        <w:t>ROE - k</w:t>
      </w:r>
      <w:r w:rsidRPr="00282877">
        <w:rPr>
          <w:b/>
          <w:bCs/>
        </w:rPr>
        <w:t>）</w:t>
      </w:r>
      <w:r w:rsidRPr="00282877">
        <w:rPr>
          <w:b/>
          <w:bCs/>
        </w:rPr>
        <w:t>​</w:t>
      </w:r>
      <w:r w:rsidRPr="00282877">
        <w:t>​</w:t>
      </w:r>
    </w:p>
    <w:p w14:paraId="0BF210D5" w14:textId="77777777" w:rsidR="00282877" w:rsidRPr="00282877" w:rsidRDefault="00282877" w:rsidP="00282877">
      <w:pPr>
        <w:numPr>
          <w:ilvl w:val="0"/>
          <w:numId w:val="19"/>
        </w:numPr>
        <w:ind w:firstLine="480"/>
      </w:pPr>
      <w:r w:rsidRPr="00282877">
        <w:t>​</w:t>
      </w:r>
      <w:r w:rsidRPr="00282877">
        <w:rPr>
          <w:b/>
          <w:bCs/>
        </w:rPr>
        <w:t>投资期限（</w:t>
      </w:r>
      <w:r w:rsidRPr="00282877">
        <w:rPr>
          <w:b/>
          <w:bCs/>
        </w:rPr>
        <w:t>T</w:t>
      </w:r>
      <w:r w:rsidRPr="00282877">
        <w:rPr>
          <w:b/>
          <w:bCs/>
        </w:rPr>
        <w:t>）</w:t>
      </w:r>
      <w:r w:rsidRPr="00282877">
        <w:rPr>
          <w:b/>
          <w:bCs/>
        </w:rPr>
        <w:t>​</w:t>
      </w:r>
      <w:r w:rsidRPr="00282877">
        <w:t>​</w:t>
      </w:r>
      <w:r w:rsidRPr="00282877">
        <w:br/>
      </w:r>
      <w:r w:rsidRPr="00282877">
        <w:t>且无需引入股息率。该模型描述了分红政策如何与盈利能力、要求回报和时间共同决定估值水平。</w:t>
      </w:r>
    </w:p>
    <w:p w14:paraId="7905C88F" w14:textId="5254600A" w:rsidR="00C334AC" w:rsidRDefault="00C334AC" w:rsidP="001170B2">
      <w:pPr>
        <w:ind w:firstLine="480"/>
      </w:pPr>
    </w:p>
    <w:p w14:paraId="0A495A44" w14:textId="77777777" w:rsidR="00282877" w:rsidRDefault="00282877" w:rsidP="00282877">
      <w:pPr>
        <w:ind w:firstLine="480"/>
      </w:pPr>
    </w:p>
    <w:p w14:paraId="3B188E9D" w14:textId="77777777" w:rsidR="00282877" w:rsidRDefault="00282877" w:rsidP="00282877">
      <w:pPr>
        <w:ind w:firstLine="480"/>
      </w:pPr>
    </w:p>
    <w:p w14:paraId="538CA608" w14:textId="4B6AF352" w:rsidR="00282877" w:rsidRDefault="00282877" w:rsidP="00282877">
      <w:pPr>
        <w:ind w:firstLine="480"/>
      </w:pPr>
      <m:oMathPara>
        <m:oMath>
          <m:r>
            <m:rPr>
              <m:nor/>
            </m:rPr>
            <w:rPr>
              <w:rFonts w:ascii="Cambria Math" w:hAnsi="Cambria Math"/>
            </w:rPr>
            <m:t>ROE</m:t>
          </m:r>
          <m:r>
            <w:rPr>
              <w:rFonts w:ascii="Cambria Math" w:hAnsi="Cambria Math"/>
            </w:rPr>
            <m:t>-k=d</m:t>
          </m:r>
          <m:r>
            <m:rPr>
              <m:sty m:val="p"/>
            </m:rPr>
            <w:rPr>
              <w:rFonts w:ascii="Cambria Math" w:hAnsi="Cambria Math"/>
            </w:rPr>
            <m:t>⋅</m:t>
          </m:r>
          <m:r>
            <m:rPr>
              <m:nor/>
            </m:rPr>
            <w:rPr>
              <w:rFonts w:ascii="Cambria Math" w:hAnsi="Cambria Math"/>
            </w:rPr>
            <m:t>ROE</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nor/>
                    </m:rPr>
                    <w:rPr>
                      <w:rFonts w:ascii="Cambria Math" w:hAnsi="Cambria Math"/>
                    </w:rPr>
                    <m:t>PB</m:t>
                  </m:r>
                  <m:r>
                    <w:rPr>
                      <w:rFonts w:ascii="Cambria Math" w:hAnsi="Cambria Math"/>
                    </w:rPr>
                    <m:t>-1</m:t>
                  </m:r>
                  <m:ctrlPr>
                    <w:rPr>
                      <w:rFonts w:ascii="Cambria Math" w:hAnsi="Cambria Math"/>
                      <w:i/>
                    </w:rPr>
                  </m:ctrlPr>
                </m:num>
                <m:den>
                  <m:r>
                    <m:rPr>
                      <m:nor/>
                    </m:rPr>
                    <w:rPr>
                      <w:rFonts w:ascii="Cambria Math" w:hAnsi="Cambria Math"/>
                    </w:rPr>
                    <m:t>PB</m:t>
                  </m:r>
                  <m:ctrlPr>
                    <w:rPr>
                      <w:rFonts w:ascii="Cambria Math" w:hAnsi="Cambria Math"/>
                      <w:i/>
                    </w:rPr>
                  </m:ctrlPr>
                </m:den>
              </m:f>
              <m:ctrlPr>
                <w:rPr>
                  <w:rFonts w:ascii="Cambria Math" w:hAnsi="Cambria Math"/>
                  <w:i/>
                </w:rPr>
              </m:ctrlPr>
            </m:e>
          </m:d>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m:rPr>
                          <m:nor/>
                        </m:rPr>
                        <w:rPr>
                          <w:rFonts w:ascii="Cambria Math" w:hAnsi="Cambria Math"/>
                        </w:rPr>
                        <m:t>PB</m:t>
                      </m:r>
                    </m:e>
                  </m:d>
                </m:e>
              </m:func>
              <m:ctrlPr>
                <w:rPr>
                  <w:rFonts w:ascii="Cambria Math" w:hAnsi="Cambria Math"/>
                  <w:i/>
                </w:rPr>
              </m:ctrlPr>
            </m:num>
            <m:den>
              <m:r>
                <w:rPr>
                  <w:rFonts w:ascii="Cambria Math" w:hAnsi="Cambria Math"/>
                </w:rPr>
                <m:t>T</m:t>
              </m:r>
              <m:ctrlPr>
                <w:rPr>
                  <w:rFonts w:ascii="Cambria Math" w:hAnsi="Cambria Math"/>
                  <w:i/>
                </w:rPr>
              </m:ctrlPr>
            </m:den>
          </m:f>
        </m:oMath>
      </m:oMathPara>
    </w:p>
    <w:p w14:paraId="531E73FC" w14:textId="77777777" w:rsidR="00282877" w:rsidRPr="00282877" w:rsidRDefault="00282877" w:rsidP="00282877">
      <w:pPr>
        <w:ind w:firstLine="480"/>
      </w:pPr>
    </w:p>
    <w:p w14:paraId="048852D5" w14:textId="77777777" w:rsidR="00282877" w:rsidRPr="00282877" w:rsidRDefault="00282877" w:rsidP="001170B2">
      <w:pPr>
        <w:ind w:firstLine="480"/>
      </w:pPr>
    </w:p>
    <w:sectPr w:rsidR="00282877" w:rsidRPr="00282877" w:rsidSect="00687E65">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F19B68" w14:textId="77777777" w:rsidR="000A48D0" w:rsidRDefault="000A48D0" w:rsidP="007478D9">
      <w:pPr>
        <w:spacing w:line="240" w:lineRule="auto"/>
        <w:ind w:firstLine="480"/>
      </w:pPr>
      <w:r>
        <w:separator/>
      </w:r>
    </w:p>
  </w:endnote>
  <w:endnote w:type="continuationSeparator" w:id="0">
    <w:p w14:paraId="2CC38117" w14:textId="77777777" w:rsidR="000A48D0" w:rsidRDefault="000A48D0" w:rsidP="007478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15A0D" w14:textId="77777777" w:rsidR="007478D9" w:rsidRDefault="007478D9">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96713" w14:textId="77777777" w:rsidR="007478D9" w:rsidRDefault="007478D9">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8CEC3" w14:textId="77777777" w:rsidR="007478D9" w:rsidRDefault="007478D9">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344D6" w14:textId="77777777" w:rsidR="000A48D0" w:rsidRDefault="000A48D0" w:rsidP="007478D9">
      <w:pPr>
        <w:spacing w:line="240" w:lineRule="auto"/>
        <w:ind w:firstLine="480"/>
      </w:pPr>
      <w:r>
        <w:separator/>
      </w:r>
    </w:p>
  </w:footnote>
  <w:footnote w:type="continuationSeparator" w:id="0">
    <w:p w14:paraId="616196E5" w14:textId="77777777" w:rsidR="000A48D0" w:rsidRDefault="000A48D0" w:rsidP="007478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166E" w14:textId="77777777" w:rsidR="007478D9" w:rsidRDefault="007478D9">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E8EF2" w14:textId="77777777" w:rsidR="007478D9" w:rsidRDefault="007478D9">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C1C1F" w14:textId="77777777" w:rsidR="007478D9" w:rsidRDefault="007478D9">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0C35E8"/>
    <w:multiLevelType w:val="multilevel"/>
    <w:tmpl w:val="8D98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0D5D96"/>
    <w:multiLevelType w:val="multilevel"/>
    <w:tmpl w:val="28BA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0F5A6C"/>
    <w:multiLevelType w:val="multilevel"/>
    <w:tmpl w:val="612E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607AE5"/>
    <w:multiLevelType w:val="multilevel"/>
    <w:tmpl w:val="EB5E1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ED8"/>
    <w:multiLevelType w:val="multilevel"/>
    <w:tmpl w:val="B900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86D40"/>
    <w:multiLevelType w:val="multilevel"/>
    <w:tmpl w:val="0BFE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F66249"/>
    <w:multiLevelType w:val="multilevel"/>
    <w:tmpl w:val="9C7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A25B2"/>
    <w:multiLevelType w:val="multilevel"/>
    <w:tmpl w:val="8AF42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8772E9"/>
    <w:multiLevelType w:val="multilevel"/>
    <w:tmpl w:val="625E3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067D75"/>
    <w:multiLevelType w:val="multilevel"/>
    <w:tmpl w:val="7F988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331C7"/>
    <w:multiLevelType w:val="multilevel"/>
    <w:tmpl w:val="9C28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C0DA9"/>
    <w:multiLevelType w:val="multilevel"/>
    <w:tmpl w:val="7B10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BA213E"/>
    <w:multiLevelType w:val="multilevel"/>
    <w:tmpl w:val="0600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911A0"/>
    <w:multiLevelType w:val="multilevel"/>
    <w:tmpl w:val="A3824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6014EC"/>
    <w:multiLevelType w:val="multilevel"/>
    <w:tmpl w:val="BF0A9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3705C8"/>
    <w:multiLevelType w:val="multilevel"/>
    <w:tmpl w:val="E2AC8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4D380B"/>
    <w:multiLevelType w:val="multilevel"/>
    <w:tmpl w:val="63344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90490"/>
    <w:multiLevelType w:val="multilevel"/>
    <w:tmpl w:val="53869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91793E"/>
    <w:multiLevelType w:val="multilevel"/>
    <w:tmpl w:val="487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25667"/>
    <w:multiLevelType w:val="multilevel"/>
    <w:tmpl w:val="D284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BF594A"/>
    <w:multiLevelType w:val="multilevel"/>
    <w:tmpl w:val="4DEA8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129617">
    <w:abstractNumId w:val="14"/>
  </w:num>
  <w:num w:numId="2" w16cid:durableId="1931621582">
    <w:abstractNumId w:val="3"/>
  </w:num>
  <w:num w:numId="3" w16cid:durableId="937978795">
    <w:abstractNumId w:val="11"/>
  </w:num>
  <w:num w:numId="4" w16cid:durableId="134807676">
    <w:abstractNumId w:val="15"/>
  </w:num>
  <w:num w:numId="5" w16cid:durableId="1015114846">
    <w:abstractNumId w:val="8"/>
  </w:num>
  <w:num w:numId="6" w16cid:durableId="1990859107">
    <w:abstractNumId w:val="2"/>
  </w:num>
  <w:num w:numId="7" w16cid:durableId="618881874">
    <w:abstractNumId w:val="1"/>
  </w:num>
  <w:num w:numId="8" w16cid:durableId="1431008652">
    <w:abstractNumId w:val="12"/>
  </w:num>
  <w:num w:numId="9" w16cid:durableId="1072895713">
    <w:abstractNumId w:val="16"/>
  </w:num>
  <w:num w:numId="10" w16cid:durableId="248345393">
    <w:abstractNumId w:val="20"/>
  </w:num>
  <w:num w:numId="11" w16cid:durableId="1721048266">
    <w:abstractNumId w:val="13"/>
  </w:num>
  <w:num w:numId="12" w16cid:durableId="1240562006">
    <w:abstractNumId w:val="0"/>
  </w:num>
  <w:num w:numId="13" w16cid:durableId="1316300306">
    <w:abstractNumId w:val="7"/>
  </w:num>
  <w:num w:numId="14" w16cid:durableId="585572235">
    <w:abstractNumId w:val="10"/>
  </w:num>
  <w:num w:numId="15" w16cid:durableId="1792283216">
    <w:abstractNumId w:val="5"/>
  </w:num>
  <w:num w:numId="16" w16cid:durableId="71128675">
    <w:abstractNumId w:val="4"/>
  </w:num>
  <w:num w:numId="17" w16cid:durableId="2116048609">
    <w:abstractNumId w:val="18"/>
  </w:num>
  <w:num w:numId="18" w16cid:durableId="1256942143">
    <w:abstractNumId w:val="9"/>
  </w:num>
  <w:num w:numId="19" w16cid:durableId="995643681">
    <w:abstractNumId w:val="6"/>
  </w:num>
  <w:num w:numId="20" w16cid:durableId="1424835068">
    <w:abstractNumId w:val="17"/>
  </w:num>
  <w:num w:numId="21" w16cid:durableId="3539192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6DC"/>
    <w:rsid w:val="0000066D"/>
    <w:rsid w:val="00046415"/>
    <w:rsid w:val="0005235D"/>
    <w:rsid w:val="00055944"/>
    <w:rsid w:val="000646DC"/>
    <w:rsid w:val="00065D8A"/>
    <w:rsid w:val="00070DAD"/>
    <w:rsid w:val="000753FB"/>
    <w:rsid w:val="00076AD8"/>
    <w:rsid w:val="000A13E3"/>
    <w:rsid w:val="000A2165"/>
    <w:rsid w:val="000A2C32"/>
    <w:rsid w:val="000A48D0"/>
    <w:rsid w:val="000B638C"/>
    <w:rsid w:val="000C27A7"/>
    <w:rsid w:val="000D44B4"/>
    <w:rsid w:val="000D49AE"/>
    <w:rsid w:val="000E104C"/>
    <w:rsid w:val="000F0500"/>
    <w:rsid w:val="001014EF"/>
    <w:rsid w:val="00103B66"/>
    <w:rsid w:val="0010418B"/>
    <w:rsid w:val="001108CE"/>
    <w:rsid w:val="001147CF"/>
    <w:rsid w:val="001170B2"/>
    <w:rsid w:val="00142073"/>
    <w:rsid w:val="00143EFC"/>
    <w:rsid w:val="00183DB9"/>
    <w:rsid w:val="00191F9A"/>
    <w:rsid w:val="001A1C6E"/>
    <w:rsid w:val="001C2272"/>
    <w:rsid w:val="001D2A3D"/>
    <w:rsid w:val="001E30AF"/>
    <w:rsid w:val="001E648D"/>
    <w:rsid w:val="00216BC1"/>
    <w:rsid w:val="002372FE"/>
    <w:rsid w:val="00242C8B"/>
    <w:rsid w:val="00262C96"/>
    <w:rsid w:val="002706ED"/>
    <w:rsid w:val="00282877"/>
    <w:rsid w:val="00286EF7"/>
    <w:rsid w:val="0028701C"/>
    <w:rsid w:val="00297082"/>
    <w:rsid w:val="002A055B"/>
    <w:rsid w:val="002B0068"/>
    <w:rsid w:val="002B3457"/>
    <w:rsid w:val="002E2879"/>
    <w:rsid w:val="002E3412"/>
    <w:rsid w:val="002F22EC"/>
    <w:rsid w:val="00310DFD"/>
    <w:rsid w:val="003160F6"/>
    <w:rsid w:val="0033391D"/>
    <w:rsid w:val="003408B1"/>
    <w:rsid w:val="003623BE"/>
    <w:rsid w:val="0037657F"/>
    <w:rsid w:val="0038585A"/>
    <w:rsid w:val="003913B0"/>
    <w:rsid w:val="003A211F"/>
    <w:rsid w:val="003B46AD"/>
    <w:rsid w:val="003C5B30"/>
    <w:rsid w:val="00410164"/>
    <w:rsid w:val="00417A39"/>
    <w:rsid w:val="00422252"/>
    <w:rsid w:val="004233E0"/>
    <w:rsid w:val="00446145"/>
    <w:rsid w:val="00452598"/>
    <w:rsid w:val="004748D8"/>
    <w:rsid w:val="0049710D"/>
    <w:rsid w:val="004A2C84"/>
    <w:rsid w:val="004A7116"/>
    <w:rsid w:val="004B276E"/>
    <w:rsid w:val="00501D80"/>
    <w:rsid w:val="00510B42"/>
    <w:rsid w:val="005303DF"/>
    <w:rsid w:val="0056522F"/>
    <w:rsid w:val="00571F07"/>
    <w:rsid w:val="005914CE"/>
    <w:rsid w:val="005A38D9"/>
    <w:rsid w:val="005B355F"/>
    <w:rsid w:val="005B6B89"/>
    <w:rsid w:val="005D1C6F"/>
    <w:rsid w:val="00602A20"/>
    <w:rsid w:val="00616F2A"/>
    <w:rsid w:val="00634BDF"/>
    <w:rsid w:val="00664771"/>
    <w:rsid w:val="0066573F"/>
    <w:rsid w:val="00687E65"/>
    <w:rsid w:val="006907DF"/>
    <w:rsid w:val="006E5ED3"/>
    <w:rsid w:val="0070511A"/>
    <w:rsid w:val="00741F83"/>
    <w:rsid w:val="007478D9"/>
    <w:rsid w:val="00774B80"/>
    <w:rsid w:val="0077501B"/>
    <w:rsid w:val="007B1623"/>
    <w:rsid w:val="007B18A2"/>
    <w:rsid w:val="00803356"/>
    <w:rsid w:val="00804E05"/>
    <w:rsid w:val="00805A58"/>
    <w:rsid w:val="00841622"/>
    <w:rsid w:val="0085373C"/>
    <w:rsid w:val="008559B2"/>
    <w:rsid w:val="00860182"/>
    <w:rsid w:val="0087412B"/>
    <w:rsid w:val="008773EE"/>
    <w:rsid w:val="0088416C"/>
    <w:rsid w:val="008871EA"/>
    <w:rsid w:val="008A4AE6"/>
    <w:rsid w:val="008B00C3"/>
    <w:rsid w:val="008F6B60"/>
    <w:rsid w:val="009111CD"/>
    <w:rsid w:val="00942B2B"/>
    <w:rsid w:val="00946603"/>
    <w:rsid w:val="0094731F"/>
    <w:rsid w:val="00972B33"/>
    <w:rsid w:val="00997012"/>
    <w:rsid w:val="009A1651"/>
    <w:rsid w:val="009B302A"/>
    <w:rsid w:val="009B77FF"/>
    <w:rsid w:val="009F0ADE"/>
    <w:rsid w:val="00A11957"/>
    <w:rsid w:val="00A36281"/>
    <w:rsid w:val="00A45FF7"/>
    <w:rsid w:val="00A461D7"/>
    <w:rsid w:val="00A46628"/>
    <w:rsid w:val="00A55D39"/>
    <w:rsid w:val="00A64A28"/>
    <w:rsid w:val="00A65C7B"/>
    <w:rsid w:val="00A66BB8"/>
    <w:rsid w:val="00A81D56"/>
    <w:rsid w:val="00A86406"/>
    <w:rsid w:val="00AA2213"/>
    <w:rsid w:val="00AE4BE5"/>
    <w:rsid w:val="00B006BF"/>
    <w:rsid w:val="00B0590E"/>
    <w:rsid w:val="00B11BB7"/>
    <w:rsid w:val="00B2756A"/>
    <w:rsid w:val="00B30B31"/>
    <w:rsid w:val="00B42523"/>
    <w:rsid w:val="00B5195B"/>
    <w:rsid w:val="00B67DF9"/>
    <w:rsid w:val="00B711F2"/>
    <w:rsid w:val="00B812FE"/>
    <w:rsid w:val="00BB40B5"/>
    <w:rsid w:val="00BD09E5"/>
    <w:rsid w:val="00C334AC"/>
    <w:rsid w:val="00C375AC"/>
    <w:rsid w:val="00C7427E"/>
    <w:rsid w:val="00C77655"/>
    <w:rsid w:val="00C84952"/>
    <w:rsid w:val="00C8735D"/>
    <w:rsid w:val="00C914C8"/>
    <w:rsid w:val="00C936D5"/>
    <w:rsid w:val="00C97701"/>
    <w:rsid w:val="00CA628B"/>
    <w:rsid w:val="00CB617D"/>
    <w:rsid w:val="00CC0A1E"/>
    <w:rsid w:val="00CD010B"/>
    <w:rsid w:val="00CD5184"/>
    <w:rsid w:val="00CE5552"/>
    <w:rsid w:val="00CF0460"/>
    <w:rsid w:val="00D00604"/>
    <w:rsid w:val="00D043CC"/>
    <w:rsid w:val="00D05F80"/>
    <w:rsid w:val="00D14D29"/>
    <w:rsid w:val="00D35A72"/>
    <w:rsid w:val="00D374D4"/>
    <w:rsid w:val="00D37EFB"/>
    <w:rsid w:val="00D46649"/>
    <w:rsid w:val="00D63F71"/>
    <w:rsid w:val="00D67AF0"/>
    <w:rsid w:val="00D731BA"/>
    <w:rsid w:val="00D77882"/>
    <w:rsid w:val="00D83472"/>
    <w:rsid w:val="00DA53E5"/>
    <w:rsid w:val="00DD46CD"/>
    <w:rsid w:val="00DE4678"/>
    <w:rsid w:val="00DF58F1"/>
    <w:rsid w:val="00E10499"/>
    <w:rsid w:val="00E127F0"/>
    <w:rsid w:val="00E46840"/>
    <w:rsid w:val="00E556C9"/>
    <w:rsid w:val="00E6312F"/>
    <w:rsid w:val="00E64CDD"/>
    <w:rsid w:val="00E655CF"/>
    <w:rsid w:val="00E700D3"/>
    <w:rsid w:val="00E7672D"/>
    <w:rsid w:val="00E81617"/>
    <w:rsid w:val="00EA7DDE"/>
    <w:rsid w:val="00EB0C9E"/>
    <w:rsid w:val="00EB52A0"/>
    <w:rsid w:val="00ED1988"/>
    <w:rsid w:val="00EF2C2A"/>
    <w:rsid w:val="00F1437B"/>
    <w:rsid w:val="00F307E6"/>
    <w:rsid w:val="00F717FF"/>
    <w:rsid w:val="00F87BCD"/>
    <w:rsid w:val="00FB5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A0281"/>
  <w15:chartTrackingRefBased/>
  <w15:docId w15:val="{B920B306-0A63-4256-BB7E-E53B25F39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color w:val="00000A"/>
        <w:sz w:val="24"/>
        <w:szCs w:val="24"/>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073"/>
  </w:style>
  <w:style w:type="paragraph" w:styleId="1">
    <w:name w:val="heading 1"/>
    <w:basedOn w:val="a"/>
    <w:next w:val="a"/>
    <w:link w:val="10"/>
    <w:uiPriority w:val="9"/>
    <w:qFormat/>
    <w:rsid w:val="000646D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646D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646D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646DC"/>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0646DC"/>
    <w:pPr>
      <w:keepNext/>
      <w:keepLines/>
      <w:spacing w:before="80" w:after="40"/>
      <w:outlineLvl w:val="4"/>
    </w:pPr>
    <w:rPr>
      <w:rFonts w:asciiTheme="minorHAnsi" w:eastAsiaTheme="minorEastAsia" w:hAnsiTheme="minorHAnsi" w:cstheme="majorBidi"/>
      <w:color w:val="0F4761" w:themeColor="accent1" w:themeShade="BF"/>
    </w:rPr>
  </w:style>
  <w:style w:type="paragraph" w:styleId="6">
    <w:name w:val="heading 6"/>
    <w:basedOn w:val="a"/>
    <w:next w:val="a"/>
    <w:link w:val="60"/>
    <w:uiPriority w:val="9"/>
    <w:semiHidden/>
    <w:unhideWhenUsed/>
    <w:qFormat/>
    <w:rsid w:val="000646DC"/>
    <w:pPr>
      <w:keepNext/>
      <w:keepLines/>
      <w:spacing w:before="4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0646DC"/>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0646DC"/>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0646DC"/>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46D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646D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646D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646DC"/>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0646DC"/>
    <w:rPr>
      <w:rFonts w:asciiTheme="minorHAnsi" w:eastAsiaTheme="minorEastAsia" w:hAnsiTheme="minorHAnsi" w:cstheme="majorBidi"/>
      <w:color w:val="0F4761" w:themeColor="accent1" w:themeShade="BF"/>
    </w:rPr>
  </w:style>
  <w:style w:type="character" w:customStyle="1" w:styleId="60">
    <w:name w:val="标题 6 字符"/>
    <w:basedOn w:val="a0"/>
    <w:link w:val="6"/>
    <w:uiPriority w:val="9"/>
    <w:semiHidden/>
    <w:rsid w:val="000646DC"/>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0646DC"/>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0646DC"/>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0646DC"/>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0646DC"/>
    <w:pPr>
      <w:spacing w:after="80" w:line="240" w:lineRule="auto"/>
      <w:contextualSpacing/>
      <w:jc w:val="center"/>
    </w:pPr>
    <w:rPr>
      <w:rFonts w:asciiTheme="majorHAnsi" w:eastAsiaTheme="majorEastAsia" w:hAnsiTheme="majorHAnsi" w:cstheme="majorBidi"/>
      <w:color w:val="auto"/>
      <w:spacing w:val="-10"/>
      <w:kern w:val="28"/>
      <w:sz w:val="56"/>
      <w:szCs w:val="56"/>
    </w:rPr>
  </w:style>
  <w:style w:type="character" w:customStyle="1" w:styleId="a4">
    <w:name w:val="标题 字符"/>
    <w:basedOn w:val="a0"/>
    <w:link w:val="a3"/>
    <w:uiPriority w:val="10"/>
    <w:rsid w:val="000646DC"/>
    <w:rPr>
      <w:rFonts w:asciiTheme="majorHAnsi" w:eastAsiaTheme="majorEastAsia" w:hAnsiTheme="majorHAnsi" w:cstheme="majorBidi"/>
      <w:color w:val="auto"/>
      <w:spacing w:val="-10"/>
      <w:kern w:val="28"/>
      <w:sz w:val="56"/>
      <w:szCs w:val="56"/>
    </w:rPr>
  </w:style>
  <w:style w:type="paragraph" w:styleId="a5">
    <w:name w:val="Subtitle"/>
    <w:basedOn w:val="a"/>
    <w:next w:val="a"/>
    <w:link w:val="a6"/>
    <w:uiPriority w:val="11"/>
    <w:qFormat/>
    <w:rsid w:val="000646DC"/>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646D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646DC"/>
    <w:pPr>
      <w:spacing w:before="160" w:after="160"/>
      <w:jc w:val="center"/>
    </w:pPr>
    <w:rPr>
      <w:i/>
      <w:iCs/>
      <w:color w:val="404040" w:themeColor="text1" w:themeTint="BF"/>
    </w:rPr>
  </w:style>
  <w:style w:type="character" w:customStyle="1" w:styleId="a8">
    <w:name w:val="引用 字符"/>
    <w:basedOn w:val="a0"/>
    <w:link w:val="a7"/>
    <w:uiPriority w:val="29"/>
    <w:rsid w:val="000646DC"/>
    <w:rPr>
      <w:i/>
      <w:iCs/>
      <w:color w:val="404040" w:themeColor="text1" w:themeTint="BF"/>
    </w:rPr>
  </w:style>
  <w:style w:type="paragraph" w:styleId="a9">
    <w:name w:val="List Paragraph"/>
    <w:basedOn w:val="a"/>
    <w:uiPriority w:val="34"/>
    <w:qFormat/>
    <w:rsid w:val="000646DC"/>
    <w:pPr>
      <w:ind w:left="720"/>
      <w:contextualSpacing/>
    </w:pPr>
  </w:style>
  <w:style w:type="character" w:styleId="aa">
    <w:name w:val="Intense Emphasis"/>
    <w:basedOn w:val="a0"/>
    <w:uiPriority w:val="21"/>
    <w:qFormat/>
    <w:rsid w:val="000646DC"/>
    <w:rPr>
      <w:i/>
      <w:iCs/>
      <w:color w:val="0F4761" w:themeColor="accent1" w:themeShade="BF"/>
    </w:rPr>
  </w:style>
  <w:style w:type="paragraph" w:styleId="ab">
    <w:name w:val="Intense Quote"/>
    <w:basedOn w:val="a"/>
    <w:next w:val="a"/>
    <w:link w:val="ac"/>
    <w:uiPriority w:val="30"/>
    <w:qFormat/>
    <w:rsid w:val="000646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646DC"/>
    <w:rPr>
      <w:i/>
      <w:iCs/>
      <w:color w:val="0F4761" w:themeColor="accent1" w:themeShade="BF"/>
    </w:rPr>
  </w:style>
  <w:style w:type="character" w:styleId="ad">
    <w:name w:val="Intense Reference"/>
    <w:basedOn w:val="a0"/>
    <w:uiPriority w:val="32"/>
    <w:qFormat/>
    <w:rsid w:val="000646DC"/>
    <w:rPr>
      <w:b/>
      <w:bCs/>
      <w:smallCaps/>
      <w:color w:val="0F4761" w:themeColor="accent1" w:themeShade="BF"/>
      <w:spacing w:val="5"/>
    </w:rPr>
  </w:style>
  <w:style w:type="paragraph" w:styleId="ae">
    <w:name w:val="header"/>
    <w:basedOn w:val="a"/>
    <w:link w:val="af"/>
    <w:uiPriority w:val="99"/>
    <w:unhideWhenUsed/>
    <w:rsid w:val="007478D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478D9"/>
    <w:rPr>
      <w:sz w:val="18"/>
      <w:szCs w:val="18"/>
    </w:rPr>
  </w:style>
  <w:style w:type="paragraph" w:styleId="af0">
    <w:name w:val="footer"/>
    <w:basedOn w:val="a"/>
    <w:link w:val="af1"/>
    <w:uiPriority w:val="99"/>
    <w:unhideWhenUsed/>
    <w:rsid w:val="007478D9"/>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7478D9"/>
    <w:rPr>
      <w:sz w:val="18"/>
      <w:szCs w:val="18"/>
    </w:rPr>
  </w:style>
  <w:style w:type="character" w:styleId="af2">
    <w:name w:val="Placeholder Text"/>
    <w:basedOn w:val="a0"/>
    <w:uiPriority w:val="99"/>
    <w:semiHidden/>
    <w:rsid w:val="002E2879"/>
    <w:rPr>
      <w:color w:val="666666"/>
    </w:rPr>
  </w:style>
  <w:style w:type="paragraph" w:styleId="af3">
    <w:name w:val="Normal (Web)"/>
    <w:basedOn w:val="a"/>
    <w:uiPriority w:val="99"/>
    <w:semiHidden/>
    <w:unhideWhenUsed/>
    <w:rsid w:val="00DA53E5"/>
  </w:style>
  <w:style w:type="paragraph" w:styleId="HTML">
    <w:name w:val="HTML Preformatted"/>
    <w:basedOn w:val="a"/>
    <w:link w:val="HTML0"/>
    <w:uiPriority w:val="99"/>
    <w:semiHidden/>
    <w:unhideWhenUsed/>
    <w:rsid w:val="004A7116"/>
    <w:rPr>
      <w:rFonts w:ascii="Courier New" w:hAnsi="Courier New" w:cs="Courier New"/>
      <w:sz w:val="20"/>
      <w:szCs w:val="20"/>
    </w:rPr>
  </w:style>
  <w:style w:type="character" w:customStyle="1" w:styleId="HTML0">
    <w:name w:val="HTML 预设格式 字符"/>
    <w:basedOn w:val="a0"/>
    <w:link w:val="HTML"/>
    <w:uiPriority w:val="99"/>
    <w:semiHidden/>
    <w:rsid w:val="004A7116"/>
    <w:rPr>
      <w:rFonts w:ascii="Courier New" w:hAnsi="Courier New" w:cs="Courier New"/>
      <w:sz w:val="20"/>
      <w:szCs w:val="20"/>
    </w:rPr>
  </w:style>
  <w:style w:type="character" w:customStyle="1" w:styleId="selected">
    <w:name w:val="selected"/>
    <w:basedOn w:val="a0"/>
    <w:rsid w:val="00F87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7654">
      <w:bodyDiv w:val="1"/>
      <w:marLeft w:val="0"/>
      <w:marRight w:val="0"/>
      <w:marTop w:val="0"/>
      <w:marBottom w:val="0"/>
      <w:divBdr>
        <w:top w:val="none" w:sz="0" w:space="0" w:color="auto"/>
        <w:left w:val="none" w:sz="0" w:space="0" w:color="auto"/>
        <w:bottom w:val="none" w:sz="0" w:space="0" w:color="auto"/>
        <w:right w:val="none" w:sz="0" w:space="0" w:color="auto"/>
      </w:divBdr>
    </w:div>
    <w:div w:id="174420447">
      <w:bodyDiv w:val="1"/>
      <w:marLeft w:val="0"/>
      <w:marRight w:val="0"/>
      <w:marTop w:val="0"/>
      <w:marBottom w:val="0"/>
      <w:divBdr>
        <w:top w:val="none" w:sz="0" w:space="0" w:color="auto"/>
        <w:left w:val="none" w:sz="0" w:space="0" w:color="auto"/>
        <w:bottom w:val="none" w:sz="0" w:space="0" w:color="auto"/>
        <w:right w:val="none" w:sz="0" w:space="0" w:color="auto"/>
      </w:divBdr>
    </w:div>
    <w:div w:id="204677094">
      <w:bodyDiv w:val="1"/>
      <w:marLeft w:val="0"/>
      <w:marRight w:val="0"/>
      <w:marTop w:val="0"/>
      <w:marBottom w:val="0"/>
      <w:divBdr>
        <w:top w:val="none" w:sz="0" w:space="0" w:color="auto"/>
        <w:left w:val="none" w:sz="0" w:space="0" w:color="auto"/>
        <w:bottom w:val="none" w:sz="0" w:space="0" w:color="auto"/>
        <w:right w:val="none" w:sz="0" w:space="0" w:color="auto"/>
      </w:divBdr>
    </w:div>
    <w:div w:id="226233465">
      <w:bodyDiv w:val="1"/>
      <w:marLeft w:val="0"/>
      <w:marRight w:val="0"/>
      <w:marTop w:val="0"/>
      <w:marBottom w:val="0"/>
      <w:divBdr>
        <w:top w:val="none" w:sz="0" w:space="0" w:color="auto"/>
        <w:left w:val="none" w:sz="0" w:space="0" w:color="auto"/>
        <w:bottom w:val="none" w:sz="0" w:space="0" w:color="auto"/>
        <w:right w:val="none" w:sz="0" w:space="0" w:color="auto"/>
      </w:divBdr>
    </w:div>
    <w:div w:id="227233125">
      <w:bodyDiv w:val="1"/>
      <w:marLeft w:val="0"/>
      <w:marRight w:val="0"/>
      <w:marTop w:val="0"/>
      <w:marBottom w:val="0"/>
      <w:divBdr>
        <w:top w:val="none" w:sz="0" w:space="0" w:color="auto"/>
        <w:left w:val="none" w:sz="0" w:space="0" w:color="auto"/>
        <w:bottom w:val="none" w:sz="0" w:space="0" w:color="auto"/>
        <w:right w:val="none" w:sz="0" w:space="0" w:color="auto"/>
      </w:divBdr>
    </w:div>
    <w:div w:id="250741372">
      <w:bodyDiv w:val="1"/>
      <w:marLeft w:val="0"/>
      <w:marRight w:val="0"/>
      <w:marTop w:val="0"/>
      <w:marBottom w:val="0"/>
      <w:divBdr>
        <w:top w:val="none" w:sz="0" w:space="0" w:color="auto"/>
        <w:left w:val="none" w:sz="0" w:space="0" w:color="auto"/>
        <w:bottom w:val="none" w:sz="0" w:space="0" w:color="auto"/>
        <w:right w:val="none" w:sz="0" w:space="0" w:color="auto"/>
      </w:divBdr>
    </w:div>
    <w:div w:id="265701496">
      <w:bodyDiv w:val="1"/>
      <w:marLeft w:val="0"/>
      <w:marRight w:val="0"/>
      <w:marTop w:val="0"/>
      <w:marBottom w:val="0"/>
      <w:divBdr>
        <w:top w:val="none" w:sz="0" w:space="0" w:color="auto"/>
        <w:left w:val="none" w:sz="0" w:space="0" w:color="auto"/>
        <w:bottom w:val="none" w:sz="0" w:space="0" w:color="auto"/>
        <w:right w:val="none" w:sz="0" w:space="0" w:color="auto"/>
      </w:divBdr>
    </w:div>
    <w:div w:id="277102473">
      <w:bodyDiv w:val="1"/>
      <w:marLeft w:val="0"/>
      <w:marRight w:val="0"/>
      <w:marTop w:val="0"/>
      <w:marBottom w:val="0"/>
      <w:divBdr>
        <w:top w:val="none" w:sz="0" w:space="0" w:color="auto"/>
        <w:left w:val="none" w:sz="0" w:space="0" w:color="auto"/>
        <w:bottom w:val="none" w:sz="0" w:space="0" w:color="auto"/>
        <w:right w:val="none" w:sz="0" w:space="0" w:color="auto"/>
      </w:divBdr>
    </w:div>
    <w:div w:id="291252342">
      <w:bodyDiv w:val="1"/>
      <w:marLeft w:val="0"/>
      <w:marRight w:val="0"/>
      <w:marTop w:val="0"/>
      <w:marBottom w:val="0"/>
      <w:divBdr>
        <w:top w:val="none" w:sz="0" w:space="0" w:color="auto"/>
        <w:left w:val="none" w:sz="0" w:space="0" w:color="auto"/>
        <w:bottom w:val="none" w:sz="0" w:space="0" w:color="auto"/>
        <w:right w:val="none" w:sz="0" w:space="0" w:color="auto"/>
      </w:divBdr>
    </w:div>
    <w:div w:id="326712626">
      <w:bodyDiv w:val="1"/>
      <w:marLeft w:val="0"/>
      <w:marRight w:val="0"/>
      <w:marTop w:val="0"/>
      <w:marBottom w:val="0"/>
      <w:divBdr>
        <w:top w:val="none" w:sz="0" w:space="0" w:color="auto"/>
        <w:left w:val="none" w:sz="0" w:space="0" w:color="auto"/>
        <w:bottom w:val="none" w:sz="0" w:space="0" w:color="auto"/>
        <w:right w:val="none" w:sz="0" w:space="0" w:color="auto"/>
      </w:divBdr>
    </w:div>
    <w:div w:id="385032942">
      <w:bodyDiv w:val="1"/>
      <w:marLeft w:val="0"/>
      <w:marRight w:val="0"/>
      <w:marTop w:val="0"/>
      <w:marBottom w:val="0"/>
      <w:divBdr>
        <w:top w:val="none" w:sz="0" w:space="0" w:color="auto"/>
        <w:left w:val="none" w:sz="0" w:space="0" w:color="auto"/>
        <w:bottom w:val="none" w:sz="0" w:space="0" w:color="auto"/>
        <w:right w:val="none" w:sz="0" w:space="0" w:color="auto"/>
      </w:divBdr>
      <w:divsChild>
        <w:div w:id="718280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72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426583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065276">
          <w:blockQuote w:val="1"/>
          <w:marLeft w:val="720"/>
          <w:marRight w:val="720"/>
          <w:marTop w:val="100"/>
          <w:marBottom w:val="100"/>
          <w:divBdr>
            <w:top w:val="none" w:sz="0" w:space="0" w:color="auto"/>
            <w:left w:val="none" w:sz="0" w:space="0" w:color="auto"/>
            <w:bottom w:val="none" w:sz="0" w:space="0" w:color="auto"/>
            <w:right w:val="none" w:sz="0" w:space="0" w:color="auto"/>
          </w:divBdr>
        </w:div>
        <w:div w:id="458376718">
          <w:blockQuote w:val="1"/>
          <w:marLeft w:val="720"/>
          <w:marRight w:val="720"/>
          <w:marTop w:val="100"/>
          <w:marBottom w:val="100"/>
          <w:divBdr>
            <w:top w:val="none" w:sz="0" w:space="0" w:color="auto"/>
            <w:left w:val="none" w:sz="0" w:space="0" w:color="auto"/>
            <w:bottom w:val="none" w:sz="0" w:space="0" w:color="auto"/>
            <w:right w:val="none" w:sz="0" w:space="0" w:color="auto"/>
          </w:divBdr>
        </w:div>
        <w:div w:id="892085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5088">
      <w:bodyDiv w:val="1"/>
      <w:marLeft w:val="0"/>
      <w:marRight w:val="0"/>
      <w:marTop w:val="0"/>
      <w:marBottom w:val="0"/>
      <w:divBdr>
        <w:top w:val="none" w:sz="0" w:space="0" w:color="auto"/>
        <w:left w:val="none" w:sz="0" w:space="0" w:color="auto"/>
        <w:bottom w:val="none" w:sz="0" w:space="0" w:color="auto"/>
        <w:right w:val="none" w:sz="0" w:space="0" w:color="auto"/>
      </w:divBdr>
      <w:divsChild>
        <w:div w:id="34236048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259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641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28621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2822894">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281986">
      <w:bodyDiv w:val="1"/>
      <w:marLeft w:val="0"/>
      <w:marRight w:val="0"/>
      <w:marTop w:val="0"/>
      <w:marBottom w:val="0"/>
      <w:divBdr>
        <w:top w:val="none" w:sz="0" w:space="0" w:color="auto"/>
        <w:left w:val="none" w:sz="0" w:space="0" w:color="auto"/>
        <w:bottom w:val="none" w:sz="0" w:space="0" w:color="auto"/>
        <w:right w:val="none" w:sz="0" w:space="0" w:color="auto"/>
      </w:divBdr>
      <w:divsChild>
        <w:div w:id="1111129795">
          <w:marLeft w:val="0"/>
          <w:marRight w:val="0"/>
          <w:marTop w:val="300"/>
          <w:marBottom w:val="300"/>
          <w:divBdr>
            <w:top w:val="none" w:sz="0" w:space="0" w:color="auto"/>
            <w:left w:val="none" w:sz="0" w:space="0" w:color="auto"/>
            <w:bottom w:val="none" w:sz="0" w:space="0" w:color="auto"/>
            <w:right w:val="none" w:sz="0" w:space="0" w:color="auto"/>
          </w:divBdr>
          <w:divsChild>
            <w:div w:id="896475030">
              <w:marLeft w:val="0"/>
              <w:marRight w:val="0"/>
              <w:marTop w:val="0"/>
              <w:marBottom w:val="0"/>
              <w:divBdr>
                <w:top w:val="none" w:sz="0" w:space="0" w:color="auto"/>
                <w:left w:val="none" w:sz="0" w:space="0" w:color="auto"/>
                <w:bottom w:val="none" w:sz="0" w:space="0" w:color="auto"/>
                <w:right w:val="none" w:sz="0" w:space="0" w:color="auto"/>
              </w:divBdr>
            </w:div>
            <w:div w:id="1020081545">
              <w:marLeft w:val="0"/>
              <w:marRight w:val="0"/>
              <w:marTop w:val="0"/>
              <w:marBottom w:val="0"/>
              <w:divBdr>
                <w:top w:val="none" w:sz="0" w:space="0" w:color="auto"/>
                <w:left w:val="none" w:sz="0" w:space="0" w:color="auto"/>
                <w:bottom w:val="none" w:sz="0" w:space="0" w:color="auto"/>
                <w:right w:val="none" w:sz="0" w:space="0" w:color="auto"/>
              </w:divBdr>
            </w:div>
            <w:div w:id="1593584706">
              <w:marLeft w:val="0"/>
              <w:marRight w:val="0"/>
              <w:marTop w:val="0"/>
              <w:marBottom w:val="0"/>
              <w:divBdr>
                <w:top w:val="none" w:sz="0" w:space="0" w:color="auto"/>
                <w:left w:val="none" w:sz="0" w:space="0" w:color="auto"/>
                <w:bottom w:val="none" w:sz="0" w:space="0" w:color="auto"/>
                <w:right w:val="none" w:sz="0" w:space="0" w:color="auto"/>
              </w:divBdr>
            </w:div>
            <w:div w:id="1604655334">
              <w:marLeft w:val="0"/>
              <w:marRight w:val="0"/>
              <w:marTop w:val="0"/>
              <w:marBottom w:val="0"/>
              <w:divBdr>
                <w:top w:val="none" w:sz="0" w:space="0" w:color="auto"/>
                <w:left w:val="none" w:sz="0" w:space="0" w:color="auto"/>
                <w:bottom w:val="none" w:sz="0" w:space="0" w:color="auto"/>
                <w:right w:val="none" w:sz="0" w:space="0" w:color="auto"/>
              </w:divBdr>
            </w:div>
            <w:div w:id="1738163066">
              <w:marLeft w:val="0"/>
              <w:marRight w:val="0"/>
              <w:marTop w:val="0"/>
              <w:marBottom w:val="0"/>
              <w:divBdr>
                <w:top w:val="none" w:sz="0" w:space="0" w:color="auto"/>
                <w:left w:val="none" w:sz="0" w:space="0" w:color="auto"/>
                <w:bottom w:val="none" w:sz="0" w:space="0" w:color="auto"/>
                <w:right w:val="none" w:sz="0" w:space="0" w:color="auto"/>
              </w:divBdr>
            </w:div>
          </w:divsChild>
        </w:div>
        <w:div w:id="1965036011">
          <w:marLeft w:val="0"/>
          <w:marRight w:val="0"/>
          <w:marTop w:val="300"/>
          <w:marBottom w:val="300"/>
          <w:divBdr>
            <w:top w:val="none" w:sz="0" w:space="0" w:color="auto"/>
            <w:left w:val="none" w:sz="0" w:space="0" w:color="auto"/>
            <w:bottom w:val="none" w:sz="0" w:space="0" w:color="auto"/>
            <w:right w:val="none" w:sz="0" w:space="0" w:color="auto"/>
          </w:divBdr>
          <w:divsChild>
            <w:div w:id="88738183">
              <w:marLeft w:val="0"/>
              <w:marRight w:val="0"/>
              <w:marTop w:val="0"/>
              <w:marBottom w:val="0"/>
              <w:divBdr>
                <w:top w:val="none" w:sz="0" w:space="0" w:color="auto"/>
                <w:left w:val="none" w:sz="0" w:space="0" w:color="auto"/>
                <w:bottom w:val="none" w:sz="0" w:space="0" w:color="auto"/>
                <w:right w:val="none" w:sz="0" w:space="0" w:color="auto"/>
              </w:divBdr>
            </w:div>
            <w:div w:id="291252062">
              <w:marLeft w:val="0"/>
              <w:marRight w:val="0"/>
              <w:marTop w:val="0"/>
              <w:marBottom w:val="0"/>
              <w:divBdr>
                <w:top w:val="none" w:sz="0" w:space="0" w:color="auto"/>
                <w:left w:val="none" w:sz="0" w:space="0" w:color="auto"/>
                <w:bottom w:val="none" w:sz="0" w:space="0" w:color="auto"/>
                <w:right w:val="none" w:sz="0" w:space="0" w:color="auto"/>
              </w:divBdr>
            </w:div>
            <w:div w:id="322896954">
              <w:marLeft w:val="0"/>
              <w:marRight w:val="0"/>
              <w:marTop w:val="0"/>
              <w:marBottom w:val="0"/>
              <w:divBdr>
                <w:top w:val="none" w:sz="0" w:space="0" w:color="auto"/>
                <w:left w:val="none" w:sz="0" w:space="0" w:color="auto"/>
                <w:bottom w:val="none" w:sz="0" w:space="0" w:color="auto"/>
                <w:right w:val="none" w:sz="0" w:space="0" w:color="auto"/>
              </w:divBdr>
            </w:div>
            <w:div w:id="703359947">
              <w:marLeft w:val="0"/>
              <w:marRight w:val="0"/>
              <w:marTop w:val="0"/>
              <w:marBottom w:val="0"/>
              <w:divBdr>
                <w:top w:val="none" w:sz="0" w:space="0" w:color="auto"/>
                <w:left w:val="none" w:sz="0" w:space="0" w:color="auto"/>
                <w:bottom w:val="none" w:sz="0" w:space="0" w:color="auto"/>
                <w:right w:val="none" w:sz="0" w:space="0" w:color="auto"/>
              </w:divBdr>
            </w:div>
            <w:div w:id="882332851">
              <w:marLeft w:val="0"/>
              <w:marRight w:val="0"/>
              <w:marTop w:val="0"/>
              <w:marBottom w:val="0"/>
              <w:divBdr>
                <w:top w:val="none" w:sz="0" w:space="0" w:color="auto"/>
                <w:left w:val="none" w:sz="0" w:space="0" w:color="auto"/>
                <w:bottom w:val="none" w:sz="0" w:space="0" w:color="auto"/>
                <w:right w:val="none" w:sz="0" w:space="0" w:color="auto"/>
              </w:divBdr>
            </w:div>
            <w:div w:id="1063673245">
              <w:marLeft w:val="0"/>
              <w:marRight w:val="0"/>
              <w:marTop w:val="0"/>
              <w:marBottom w:val="0"/>
              <w:divBdr>
                <w:top w:val="none" w:sz="0" w:space="0" w:color="auto"/>
                <w:left w:val="none" w:sz="0" w:space="0" w:color="auto"/>
                <w:bottom w:val="none" w:sz="0" w:space="0" w:color="auto"/>
                <w:right w:val="none" w:sz="0" w:space="0" w:color="auto"/>
              </w:divBdr>
            </w:div>
            <w:div w:id="1182013139">
              <w:marLeft w:val="0"/>
              <w:marRight w:val="0"/>
              <w:marTop w:val="0"/>
              <w:marBottom w:val="0"/>
              <w:divBdr>
                <w:top w:val="none" w:sz="0" w:space="0" w:color="auto"/>
                <w:left w:val="none" w:sz="0" w:space="0" w:color="auto"/>
                <w:bottom w:val="none" w:sz="0" w:space="0" w:color="auto"/>
                <w:right w:val="none" w:sz="0" w:space="0" w:color="auto"/>
              </w:divBdr>
            </w:div>
            <w:div w:id="197749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50634">
      <w:bodyDiv w:val="1"/>
      <w:marLeft w:val="0"/>
      <w:marRight w:val="0"/>
      <w:marTop w:val="0"/>
      <w:marBottom w:val="0"/>
      <w:divBdr>
        <w:top w:val="none" w:sz="0" w:space="0" w:color="auto"/>
        <w:left w:val="none" w:sz="0" w:space="0" w:color="auto"/>
        <w:bottom w:val="none" w:sz="0" w:space="0" w:color="auto"/>
        <w:right w:val="none" w:sz="0" w:space="0" w:color="auto"/>
      </w:divBdr>
      <w:divsChild>
        <w:div w:id="1587879579">
          <w:marLeft w:val="0"/>
          <w:marRight w:val="0"/>
          <w:marTop w:val="0"/>
          <w:marBottom w:val="0"/>
          <w:divBdr>
            <w:top w:val="none" w:sz="0" w:space="0" w:color="auto"/>
            <w:left w:val="none" w:sz="0" w:space="0" w:color="auto"/>
            <w:bottom w:val="none" w:sz="0" w:space="0" w:color="auto"/>
            <w:right w:val="none" w:sz="0" w:space="0" w:color="auto"/>
          </w:divBdr>
        </w:div>
      </w:divsChild>
    </w:div>
    <w:div w:id="676268317">
      <w:bodyDiv w:val="1"/>
      <w:marLeft w:val="0"/>
      <w:marRight w:val="0"/>
      <w:marTop w:val="0"/>
      <w:marBottom w:val="0"/>
      <w:divBdr>
        <w:top w:val="none" w:sz="0" w:space="0" w:color="auto"/>
        <w:left w:val="none" w:sz="0" w:space="0" w:color="auto"/>
        <w:bottom w:val="none" w:sz="0" w:space="0" w:color="auto"/>
        <w:right w:val="none" w:sz="0" w:space="0" w:color="auto"/>
      </w:divBdr>
    </w:div>
    <w:div w:id="712927493">
      <w:bodyDiv w:val="1"/>
      <w:marLeft w:val="0"/>
      <w:marRight w:val="0"/>
      <w:marTop w:val="0"/>
      <w:marBottom w:val="0"/>
      <w:divBdr>
        <w:top w:val="none" w:sz="0" w:space="0" w:color="auto"/>
        <w:left w:val="none" w:sz="0" w:space="0" w:color="auto"/>
        <w:bottom w:val="none" w:sz="0" w:space="0" w:color="auto"/>
        <w:right w:val="none" w:sz="0" w:space="0" w:color="auto"/>
      </w:divBdr>
      <w:divsChild>
        <w:div w:id="1528103293">
          <w:marLeft w:val="0"/>
          <w:marRight w:val="0"/>
          <w:marTop w:val="0"/>
          <w:marBottom w:val="0"/>
          <w:divBdr>
            <w:top w:val="none" w:sz="0" w:space="0" w:color="auto"/>
            <w:left w:val="none" w:sz="0" w:space="0" w:color="auto"/>
            <w:bottom w:val="none" w:sz="0" w:space="0" w:color="auto"/>
            <w:right w:val="none" w:sz="0" w:space="0" w:color="auto"/>
          </w:divBdr>
        </w:div>
      </w:divsChild>
    </w:div>
    <w:div w:id="776169818">
      <w:bodyDiv w:val="1"/>
      <w:marLeft w:val="0"/>
      <w:marRight w:val="0"/>
      <w:marTop w:val="0"/>
      <w:marBottom w:val="0"/>
      <w:divBdr>
        <w:top w:val="none" w:sz="0" w:space="0" w:color="auto"/>
        <w:left w:val="none" w:sz="0" w:space="0" w:color="auto"/>
        <w:bottom w:val="none" w:sz="0" w:space="0" w:color="auto"/>
        <w:right w:val="none" w:sz="0" w:space="0" w:color="auto"/>
      </w:divBdr>
      <w:divsChild>
        <w:div w:id="1059598767">
          <w:marLeft w:val="0"/>
          <w:marRight w:val="0"/>
          <w:marTop w:val="0"/>
          <w:marBottom w:val="0"/>
          <w:divBdr>
            <w:top w:val="none" w:sz="0" w:space="0" w:color="auto"/>
            <w:left w:val="none" w:sz="0" w:space="0" w:color="auto"/>
            <w:bottom w:val="none" w:sz="0" w:space="0" w:color="auto"/>
            <w:right w:val="none" w:sz="0" w:space="0" w:color="auto"/>
          </w:divBdr>
        </w:div>
      </w:divsChild>
    </w:div>
    <w:div w:id="787357191">
      <w:bodyDiv w:val="1"/>
      <w:marLeft w:val="0"/>
      <w:marRight w:val="0"/>
      <w:marTop w:val="0"/>
      <w:marBottom w:val="0"/>
      <w:divBdr>
        <w:top w:val="none" w:sz="0" w:space="0" w:color="auto"/>
        <w:left w:val="none" w:sz="0" w:space="0" w:color="auto"/>
        <w:bottom w:val="none" w:sz="0" w:space="0" w:color="auto"/>
        <w:right w:val="none" w:sz="0" w:space="0" w:color="auto"/>
      </w:divBdr>
    </w:div>
    <w:div w:id="952129233">
      <w:bodyDiv w:val="1"/>
      <w:marLeft w:val="0"/>
      <w:marRight w:val="0"/>
      <w:marTop w:val="0"/>
      <w:marBottom w:val="0"/>
      <w:divBdr>
        <w:top w:val="none" w:sz="0" w:space="0" w:color="auto"/>
        <w:left w:val="none" w:sz="0" w:space="0" w:color="auto"/>
        <w:bottom w:val="none" w:sz="0" w:space="0" w:color="auto"/>
        <w:right w:val="none" w:sz="0" w:space="0" w:color="auto"/>
      </w:divBdr>
    </w:div>
    <w:div w:id="953175180">
      <w:bodyDiv w:val="1"/>
      <w:marLeft w:val="0"/>
      <w:marRight w:val="0"/>
      <w:marTop w:val="0"/>
      <w:marBottom w:val="0"/>
      <w:divBdr>
        <w:top w:val="none" w:sz="0" w:space="0" w:color="auto"/>
        <w:left w:val="none" w:sz="0" w:space="0" w:color="auto"/>
        <w:bottom w:val="none" w:sz="0" w:space="0" w:color="auto"/>
        <w:right w:val="none" w:sz="0" w:space="0" w:color="auto"/>
      </w:divBdr>
    </w:div>
    <w:div w:id="986009433">
      <w:bodyDiv w:val="1"/>
      <w:marLeft w:val="0"/>
      <w:marRight w:val="0"/>
      <w:marTop w:val="0"/>
      <w:marBottom w:val="0"/>
      <w:divBdr>
        <w:top w:val="none" w:sz="0" w:space="0" w:color="auto"/>
        <w:left w:val="none" w:sz="0" w:space="0" w:color="auto"/>
        <w:bottom w:val="none" w:sz="0" w:space="0" w:color="auto"/>
        <w:right w:val="none" w:sz="0" w:space="0" w:color="auto"/>
      </w:divBdr>
    </w:div>
    <w:div w:id="1134519530">
      <w:bodyDiv w:val="1"/>
      <w:marLeft w:val="0"/>
      <w:marRight w:val="0"/>
      <w:marTop w:val="0"/>
      <w:marBottom w:val="0"/>
      <w:divBdr>
        <w:top w:val="none" w:sz="0" w:space="0" w:color="auto"/>
        <w:left w:val="none" w:sz="0" w:space="0" w:color="auto"/>
        <w:bottom w:val="none" w:sz="0" w:space="0" w:color="auto"/>
        <w:right w:val="none" w:sz="0" w:space="0" w:color="auto"/>
      </w:divBdr>
      <w:divsChild>
        <w:div w:id="255014771">
          <w:marLeft w:val="0"/>
          <w:marRight w:val="0"/>
          <w:marTop w:val="0"/>
          <w:marBottom w:val="0"/>
          <w:divBdr>
            <w:top w:val="none" w:sz="0" w:space="0" w:color="auto"/>
            <w:left w:val="none" w:sz="0" w:space="0" w:color="auto"/>
            <w:bottom w:val="none" w:sz="0" w:space="0" w:color="auto"/>
            <w:right w:val="none" w:sz="0" w:space="0" w:color="auto"/>
          </w:divBdr>
        </w:div>
      </w:divsChild>
    </w:div>
    <w:div w:id="1178077927">
      <w:bodyDiv w:val="1"/>
      <w:marLeft w:val="0"/>
      <w:marRight w:val="0"/>
      <w:marTop w:val="0"/>
      <w:marBottom w:val="0"/>
      <w:divBdr>
        <w:top w:val="none" w:sz="0" w:space="0" w:color="auto"/>
        <w:left w:val="none" w:sz="0" w:space="0" w:color="auto"/>
        <w:bottom w:val="none" w:sz="0" w:space="0" w:color="auto"/>
        <w:right w:val="none" w:sz="0" w:space="0" w:color="auto"/>
      </w:divBdr>
    </w:div>
    <w:div w:id="1239362391">
      <w:bodyDiv w:val="1"/>
      <w:marLeft w:val="0"/>
      <w:marRight w:val="0"/>
      <w:marTop w:val="0"/>
      <w:marBottom w:val="0"/>
      <w:divBdr>
        <w:top w:val="none" w:sz="0" w:space="0" w:color="auto"/>
        <w:left w:val="none" w:sz="0" w:space="0" w:color="auto"/>
        <w:bottom w:val="none" w:sz="0" w:space="0" w:color="auto"/>
        <w:right w:val="none" w:sz="0" w:space="0" w:color="auto"/>
      </w:divBdr>
    </w:div>
    <w:div w:id="1243299912">
      <w:bodyDiv w:val="1"/>
      <w:marLeft w:val="0"/>
      <w:marRight w:val="0"/>
      <w:marTop w:val="0"/>
      <w:marBottom w:val="0"/>
      <w:divBdr>
        <w:top w:val="none" w:sz="0" w:space="0" w:color="auto"/>
        <w:left w:val="none" w:sz="0" w:space="0" w:color="auto"/>
        <w:bottom w:val="none" w:sz="0" w:space="0" w:color="auto"/>
        <w:right w:val="none" w:sz="0" w:space="0" w:color="auto"/>
      </w:divBdr>
    </w:div>
    <w:div w:id="1250231309">
      <w:bodyDiv w:val="1"/>
      <w:marLeft w:val="0"/>
      <w:marRight w:val="0"/>
      <w:marTop w:val="0"/>
      <w:marBottom w:val="0"/>
      <w:divBdr>
        <w:top w:val="none" w:sz="0" w:space="0" w:color="auto"/>
        <w:left w:val="none" w:sz="0" w:space="0" w:color="auto"/>
        <w:bottom w:val="none" w:sz="0" w:space="0" w:color="auto"/>
        <w:right w:val="none" w:sz="0" w:space="0" w:color="auto"/>
      </w:divBdr>
    </w:div>
    <w:div w:id="1264024533">
      <w:bodyDiv w:val="1"/>
      <w:marLeft w:val="0"/>
      <w:marRight w:val="0"/>
      <w:marTop w:val="0"/>
      <w:marBottom w:val="0"/>
      <w:divBdr>
        <w:top w:val="none" w:sz="0" w:space="0" w:color="auto"/>
        <w:left w:val="none" w:sz="0" w:space="0" w:color="auto"/>
        <w:bottom w:val="none" w:sz="0" w:space="0" w:color="auto"/>
        <w:right w:val="none" w:sz="0" w:space="0" w:color="auto"/>
      </w:divBdr>
    </w:div>
    <w:div w:id="1440293118">
      <w:bodyDiv w:val="1"/>
      <w:marLeft w:val="0"/>
      <w:marRight w:val="0"/>
      <w:marTop w:val="0"/>
      <w:marBottom w:val="0"/>
      <w:divBdr>
        <w:top w:val="none" w:sz="0" w:space="0" w:color="auto"/>
        <w:left w:val="none" w:sz="0" w:space="0" w:color="auto"/>
        <w:bottom w:val="none" w:sz="0" w:space="0" w:color="auto"/>
        <w:right w:val="none" w:sz="0" w:space="0" w:color="auto"/>
      </w:divBdr>
    </w:div>
    <w:div w:id="1463305603">
      <w:bodyDiv w:val="1"/>
      <w:marLeft w:val="0"/>
      <w:marRight w:val="0"/>
      <w:marTop w:val="0"/>
      <w:marBottom w:val="0"/>
      <w:divBdr>
        <w:top w:val="none" w:sz="0" w:space="0" w:color="auto"/>
        <w:left w:val="none" w:sz="0" w:space="0" w:color="auto"/>
        <w:bottom w:val="none" w:sz="0" w:space="0" w:color="auto"/>
        <w:right w:val="none" w:sz="0" w:space="0" w:color="auto"/>
      </w:divBdr>
    </w:div>
    <w:div w:id="1494485979">
      <w:bodyDiv w:val="1"/>
      <w:marLeft w:val="0"/>
      <w:marRight w:val="0"/>
      <w:marTop w:val="0"/>
      <w:marBottom w:val="0"/>
      <w:divBdr>
        <w:top w:val="none" w:sz="0" w:space="0" w:color="auto"/>
        <w:left w:val="none" w:sz="0" w:space="0" w:color="auto"/>
        <w:bottom w:val="none" w:sz="0" w:space="0" w:color="auto"/>
        <w:right w:val="none" w:sz="0" w:space="0" w:color="auto"/>
      </w:divBdr>
    </w:div>
    <w:div w:id="1586570975">
      <w:bodyDiv w:val="1"/>
      <w:marLeft w:val="0"/>
      <w:marRight w:val="0"/>
      <w:marTop w:val="0"/>
      <w:marBottom w:val="0"/>
      <w:divBdr>
        <w:top w:val="none" w:sz="0" w:space="0" w:color="auto"/>
        <w:left w:val="none" w:sz="0" w:space="0" w:color="auto"/>
        <w:bottom w:val="none" w:sz="0" w:space="0" w:color="auto"/>
        <w:right w:val="none" w:sz="0" w:space="0" w:color="auto"/>
      </w:divBdr>
    </w:div>
    <w:div w:id="1599368239">
      <w:bodyDiv w:val="1"/>
      <w:marLeft w:val="0"/>
      <w:marRight w:val="0"/>
      <w:marTop w:val="0"/>
      <w:marBottom w:val="0"/>
      <w:divBdr>
        <w:top w:val="none" w:sz="0" w:space="0" w:color="auto"/>
        <w:left w:val="none" w:sz="0" w:space="0" w:color="auto"/>
        <w:bottom w:val="none" w:sz="0" w:space="0" w:color="auto"/>
        <w:right w:val="none" w:sz="0" w:space="0" w:color="auto"/>
      </w:divBdr>
    </w:div>
    <w:div w:id="1619754290">
      <w:bodyDiv w:val="1"/>
      <w:marLeft w:val="0"/>
      <w:marRight w:val="0"/>
      <w:marTop w:val="0"/>
      <w:marBottom w:val="0"/>
      <w:divBdr>
        <w:top w:val="none" w:sz="0" w:space="0" w:color="auto"/>
        <w:left w:val="none" w:sz="0" w:space="0" w:color="auto"/>
        <w:bottom w:val="none" w:sz="0" w:space="0" w:color="auto"/>
        <w:right w:val="none" w:sz="0" w:space="0" w:color="auto"/>
      </w:divBdr>
      <w:divsChild>
        <w:div w:id="92405934">
          <w:marLeft w:val="0"/>
          <w:marRight w:val="0"/>
          <w:marTop w:val="300"/>
          <w:marBottom w:val="300"/>
          <w:divBdr>
            <w:top w:val="none" w:sz="0" w:space="0" w:color="auto"/>
            <w:left w:val="none" w:sz="0" w:space="0" w:color="auto"/>
            <w:bottom w:val="none" w:sz="0" w:space="0" w:color="auto"/>
            <w:right w:val="none" w:sz="0" w:space="0" w:color="auto"/>
          </w:divBdr>
          <w:divsChild>
            <w:div w:id="26562664">
              <w:marLeft w:val="0"/>
              <w:marRight w:val="0"/>
              <w:marTop w:val="0"/>
              <w:marBottom w:val="0"/>
              <w:divBdr>
                <w:top w:val="none" w:sz="0" w:space="0" w:color="auto"/>
                <w:left w:val="none" w:sz="0" w:space="0" w:color="auto"/>
                <w:bottom w:val="none" w:sz="0" w:space="0" w:color="auto"/>
                <w:right w:val="none" w:sz="0" w:space="0" w:color="auto"/>
              </w:divBdr>
            </w:div>
            <w:div w:id="132717186">
              <w:marLeft w:val="0"/>
              <w:marRight w:val="0"/>
              <w:marTop w:val="0"/>
              <w:marBottom w:val="0"/>
              <w:divBdr>
                <w:top w:val="none" w:sz="0" w:space="0" w:color="auto"/>
                <w:left w:val="none" w:sz="0" w:space="0" w:color="auto"/>
                <w:bottom w:val="none" w:sz="0" w:space="0" w:color="auto"/>
                <w:right w:val="none" w:sz="0" w:space="0" w:color="auto"/>
              </w:divBdr>
            </w:div>
            <w:div w:id="216556271">
              <w:marLeft w:val="0"/>
              <w:marRight w:val="0"/>
              <w:marTop w:val="0"/>
              <w:marBottom w:val="0"/>
              <w:divBdr>
                <w:top w:val="none" w:sz="0" w:space="0" w:color="auto"/>
                <w:left w:val="none" w:sz="0" w:space="0" w:color="auto"/>
                <w:bottom w:val="none" w:sz="0" w:space="0" w:color="auto"/>
                <w:right w:val="none" w:sz="0" w:space="0" w:color="auto"/>
              </w:divBdr>
            </w:div>
            <w:div w:id="463625637">
              <w:marLeft w:val="0"/>
              <w:marRight w:val="0"/>
              <w:marTop w:val="0"/>
              <w:marBottom w:val="0"/>
              <w:divBdr>
                <w:top w:val="none" w:sz="0" w:space="0" w:color="auto"/>
                <w:left w:val="none" w:sz="0" w:space="0" w:color="auto"/>
                <w:bottom w:val="none" w:sz="0" w:space="0" w:color="auto"/>
                <w:right w:val="none" w:sz="0" w:space="0" w:color="auto"/>
              </w:divBdr>
            </w:div>
            <w:div w:id="904293140">
              <w:marLeft w:val="0"/>
              <w:marRight w:val="0"/>
              <w:marTop w:val="0"/>
              <w:marBottom w:val="0"/>
              <w:divBdr>
                <w:top w:val="none" w:sz="0" w:space="0" w:color="auto"/>
                <w:left w:val="none" w:sz="0" w:space="0" w:color="auto"/>
                <w:bottom w:val="none" w:sz="0" w:space="0" w:color="auto"/>
                <w:right w:val="none" w:sz="0" w:space="0" w:color="auto"/>
              </w:divBdr>
            </w:div>
            <w:div w:id="905527948">
              <w:marLeft w:val="0"/>
              <w:marRight w:val="0"/>
              <w:marTop w:val="0"/>
              <w:marBottom w:val="0"/>
              <w:divBdr>
                <w:top w:val="none" w:sz="0" w:space="0" w:color="auto"/>
                <w:left w:val="none" w:sz="0" w:space="0" w:color="auto"/>
                <w:bottom w:val="none" w:sz="0" w:space="0" w:color="auto"/>
                <w:right w:val="none" w:sz="0" w:space="0" w:color="auto"/>
              </w:divBdr>
            </w:div>
            <w:div w:id="1463697306">
              <w:marLeft w:val="0"/>
              <w:marRight w:val="0"/>
              <w:marTop w:val="0"/>
              <w:marBottom w:val="0"/>
              <w:divBdr>
                <w:top w:val="none" w:sz="0" w:space="0" w:color="auto"/>
                <w:left w:val="none" w:sz="0" w:space="0" w:color="auto"/>
                <w:bottom w:val="none" w:sz="0" w:space="0" w:color="auto"/>
                <w:right w:val="none" w:sz="0" w:space="0" w:color="auto"/>
              </w:divBdr>
            </w:div>
            <w:div w:id="2129935340">
              <w:marLeft w:val="0"/>
              <w:marRight w:val="0"/>
              <w:marTop w:val="0"/>
              <w:marBottom w:val="0"/>
              <w:divBdr>
                <w:top w:val="none" w:sz="0" w:space="0" w:color="auto"/>
                <w:left w:val="none" w:sz="0" w:space="0" w:color="auto"/>
                <w:bottom w:val="none" w:sz="0" w:space="0" w:color="auto"/>
                <w:right w:val="none" w:sz="0" w:space="0" w:color="auto"/>
              </w:divBdr>
            </w:div>
          </w:divsChild>
        </w:div>
        <w:div w:id="1257054096">
          <w:marLeft w:val="0"/>
          <w:marRight w:val="0"/>
          <w:marTop w:val="300"/>
          <w:marBottom w:val="300"/>
          <w:divBdr>
            <w:top w:val="none" w:sz="0" w:space="0" w:color="auto"/>
            <w:left w:val="none" w:sz="0" w:space="0" w:color="auto"/>
            <w:bottom w:val="none" w:sz="0" w:space="0" w:color="auto"/>
            <w:right w:val="none" w:sz="0" w:space="0" w:color="auto"/>
          </w:divBdr>
          <w:divsChild>
            <w:div w:id="368920323">
              <w:marLeft w:val="0"/>
              <w:marRight w:val="0"/>
              <w:marTop w:val="0"/>
              <w:marBottom w:val="0"/>
              <w:divBdr>
                <w:top w:val="none" w:sz="0" w:space="0" w:color="auto"/>
                <w:left w:val="none" w:sz="0" w:space="0" w:color="auto"/>
                <w:bottom w:val="none" w:sz="0" w:space="0" w:color="auto"/>
                <w:right w:val="none" w:sz="0" w:space="0" w:color="auto"/>
              </w:divBdr>
            </w:div>
            <w:div w:id="383602812">
              <w:marLeft w:val="0"/>
              <w:marRight w:val="0"/>
              <w:marTop w:val="0"/>
              <w:marBottom w:val="0"/>
              <w:divBdr>
                <w:top w:val="none" w:sz="0" w:space="0" w:color="auto"/>
                <w:left w:val="none" w:sz="0" w:space="0" w:color="auto"/>
                <w:bottom w:val="none" w:sz="0" w:space="0" w:color="auto"/>
                <w:right w:val="none" w:sz="0" w:space="0" w:color="auto"/>
              </w:divBdr>
            </w:div>
            <w:div w:id="744378547">
              <w:marLeft w:val="0"/>
              <w:marRight w:val="0"/>
              <w:marTop w:val="0"/>
              <w:marBottom w:val="0"/>
              <w:divBdr>
                <w:top w:val="none" w:sz="0" w:space="0" w:color="auto"/>
                <w:left w:val="none" w:sz="0" w:space="0" w:color="auto"/>
                <w:bottom w:val="none" w:sz="0" w:space="0" w:color="auto"/>
                <w:right w:val="none" w:sz="0" w:space="0" w:color="auto"/>
              </w:divBdr>
            </w:div>
            <w:div w:id="1326082416">
              <w:marLeft w:val="0"/>
              <w:marRight w:val="0"/>
              <w:marTop w:val="0"/>
              <w:marBottom w:val="0"/>
              <w:divBdr>
                <w:top w:val="none" w:sz="0" w:space="0" w:color="auto"/>
                <w:left w:val="none" w:sz="0" w:space="0" w:color="auto"/>
                <w:bottom w:val="none" w:sz="0" w:space="0" w:color="auto"/>
                <w:right w:val="none" w:sz="0" w:space="0" w:color="auto"/>
              </w:divBdr>
            </w:div>
            <w:div w:id="14125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4986">
      <w:bodyDiv w:val="1"/>
      <w:marLeft w:val="0"/>
      <w:marRight w:val="0"/>
      <w:marTop w:val="0"/>
      <w:marBottom w:val="0"/>
      <w:divBdr>
        <w:top w:val="none" w:sz="0" w:space="0" w:color="auto"/>
        <w:left w:val="none" w:sz="0" w:space="0" w:color="auto"/>
        <w:bottom w:val="none" w:sz="0" w:space="0" w:color="auto"/>
        <w:right w:val="none" w:sz="0" w:space="0" w:color="auto"/>
      </w:divBdr>
    </w:div>
    <w:div w:id="1697002777">
      <w:bodyDiv w:val="1"/>
      <w:marLeft w:val="0"/>
      <w:marRight w:val="0"/>
      <w:marTop w:val="0"/>
      <w:marBottom w:val="0"/>
      <w:divBdr>
        <w:top w:val="none" w:sz="0" w:space="0" w:color="auto"/>
        <w:left w:val="none" w:sz="0" w:space="0" w:color="auto"/>
        <w:bottom w:val="none" w:sz="0" w:space="0" w:color="auto"/>
        <w:right w:val="none" w:sz="0" w:space="0" w:color="auto"/>
      </w:divBdr>
    </w:div>
    <w:div w:id="1729453784">
      <w:bodyDiv w:val="1"/>
      <w:marLeft w:val="0"/>
      <w:marRight w:val="0"/>
      <w:marTop w:val="0"/>
      <w:marBottom w:val="0"/>
      <w:divBdr>
        <w:top w:val="none" w:sz="0" w:space="0" w:color="auto"/>
        <w:left w:val="none" w:sz="0" w:space="0" w:color="auto"/>
        <w:bottom w:val="none" w:sz="0" w:space="0" w:color="auto"/>
        <w:right w:val="none" w:sz="0" w:space="0" w:color="auto"/>
      </w:divBdr>
    </w:div>
    <w:div w:id="1787581878">
      <w:bodyDiv w:val="1"/>
      <w:marLeft w:val="0"/>
      <w:marRight w:val="0"/>
      <w:marTop w:val="0"/>
      <w:marBottom w:val="0"/>
      <w:divBdr>
        <w:top w:val="none" w:sz="0" w:space="0" w:color="auto"/>
        <w:left w:val="none" w:sz="0" w:space="0" w:color="auto"/>
        <w:bottom w:val="none" w:sz="0" w:space="0" w:color="auto"/>
        <w:right w:val="none" w:sz="0" w:space="0" w:color="auto"/>
      </w:divBdr>
    </w:div>
    <w:div w:id="1961960289">
      <w:bodyDiv w:val="1"/>
      <w:marLeft w:val="0"/>
      <w:marRight w:val="0"/>
      <w:marTop w:val="0"/>
      <w:marBottom w:val="0"/>
      <w:divBdr>
        <w:top w:val="none" w:sz="0" w:space="0" w:color="auto"/>
        <w:left w:val="none" w:sz="0" w:space="0" w:color="auto"/>
        <w:bottom w:val="none" w:sz="0" w:space="0" w:color="auto"/>
        <w:right w:val="none" w:sz="0" w:space="0" w:color="auto"/>
      </w:divBdr>
    </w:div>
    <w:div w:id="1976904496">
      <w:bodyDiv w:val="1"/>
      <w:marLeft w:val="0"/>
      <w:marRight w:val="0"/>
      <w:marTop w:val="0"/>
      <w:marBottom w:val="0"/>
      <w:divBdr>
        <w:top w:val="none" w:sz="0" w:space="0" w:color="auto"/>
        <w:left w:val="none" w:sz="0" w:space="0" w:color="auto"/>
        <w:bottom w:val="none" w:sz="0" w:space="0" w:color="auto"/>
        <w:right w:val="none" w:sz="0" w:space="0" w:color="auto"/>
      </w:divBdr>
    </w:div>
    <w:div w:id="1982466770">
      <w:bodyDiv w:val="1"/>
      <w:marLeft w:val="0"/>
      <w:marRight w:val="0"/>
      <w:marTop w:val="0"/>
      <w:marBottom w:val="0"/>
      <w:divBdr>
        <w:top w:val="none" w:sz="0" w:space="0" w:color="auto"/>
        <w:left w:val="none" w:sz="0" w:space="0" w:color="auto"/>
        <w:bottom w:val="none" w:sz="0" w:space="0" w:color="auto"/>
        <w:right w:val="none" w:sz="0" w:space="0" w:color="auto"/>
      </w:divBdr>
    </w:div>
    <w:div w:id="2066024202">
      <w:bodyDiv w:val="1"/>
      <w:marLeft w:val="0"/>
      <w:marRight w:val="0"/>
      <w:marTop w:val="0"/>
      <w:marBottom w:val="0"/>
      <w:divBdr>
        <w:top w:val="none" w:sz="0" w:space="0" w:color="auto"/>
        <w:left w:val="none" w:sz="0" w:space="0" w:color="auto"/>
        <w:bottom w:val="none" w:sz="0" w:space="0" w:color="auto"/>
        <w:right w:val="none" w:sz="0" w:space="0" w:color="auto"/>
      </w:divBdr>
    </w:div>
    <w:div w:id="2078899872">
      <w:bodyDiv w:val="1"/>
      <w:marLeft w:val="0"/>
      <w:marRight w:val="0"/>
      <w:marTop w:val="0"/>
      <w:marBottom w:val="0"/>
      <w:divBdr>
        <w:top w:val="none" w:sz="0" w:space="0" w:color="auto"/>
        <w:left w:val="none" w:sz="0" w:space="0" w:color="auto"/>
        <w:bottom w:val="none" w:sz="0" w:space="0" w:color="auto"/>
        <w:right w:val="none" w:sz="0" w:space="0" w:color="auto"/>
      </w:divBdr>
    </w:div>
    <w:div w:id="2109349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宋体+新罗马">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3ABEA-79CF-427F-B70A-EFB69B4E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6249</TotalTime>
  <Pages>18</Pages>
  <Words>2950</Words>
  <Characters>16820</Characters>
  <Application>Microsoft Office Word</Application>
  <DocSecurity>0</DocSecurity>
  <Lines>140</Lines>
  <Paragraphs>39</Paragraphs>
  <ScaleCrop>false</ScaleCrop>
  <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锦和 潘</dc:creator>
  <cp:keywords/>
  <dc:description/>
  <cp:lastModifiedBy>锦和 潘</cp:lastModifiedBy>
  <cp:revision>17</cp:revision>
  <dcterms:created xsi:type="dcterms:W3CDTF">2025-06-23T12:08:00Z</dcterms:created>
  <dcterms:modified xsi:type="dcterms:W3CDTF">2025-07-17T16:53:00Z</dcterms:modified>
</cp:coreProperties>
</file>