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DB5F2" w14:textId="25E9B1AD" w:rsidR="00B711F2" w:rsidRDefault="00B711F2" w:rsidP="00CC0A1E">
      <w:pPr>
        <w:ind w:firstLine="480"/>
        <w:outlineLvl w:val="0"/>
      </w:pPr>
      <w:r>
        <w:rPr>
          <w:rFonts w:hint="eastAsia"/>
        </w:rPr>
        <w:t>序言</w:t>
      </w:r>
    </w:p>
    <w:p w14:paraId="46B9F023" w14:textId="07EAAE5B" w:rsidR="00B711F2" w:rsidRDefault="00B711F2" w:rsidP="00B711F2">
      <w:pPr>
        <w:ind w:firstLine="480"/>
      </w:pPr>
      <w:r>
        <w:rPr>
          <w:rFonts w:hint="eastAsia"/>
        </w:rPr>
        <w:t>•</w:t>
      </w:r>
      <w:r>
        <w:rPr>
          <w:rFonts w:hint="eastAsia"/>
        </w:rPr>
        <w:t xml:space="preserve"> </w:t>
      </w:r>
      <w:r>
        <w:rPr>
          <w:rFonts w:hint="eastAsia"/>
        </w:rPr>
        <w:t>本书缘起：为什么选择</w:t>
      </w:r>
      <w:r>
        <w:rPr>
          <w:rFonts w:hint="eastAsia"/>
        </w:rPr>
        <w:t xml:space="preserve"> PB-ROE </w:t>
      </w:r>
    </w:p>
    <w:p w14:paraId="663E45C8" w14:textId="4282E302" w:rsidR="00B711F2" w:rsidRDefault="00B711F2" w:rsidP="00B711F2">
      <w:pPr>
        <w:ind w:firstLine="480"/>
      </w:pPr>
      <w:r>
        <w:rPr>
          <w:rFonts w:hint="eastAsia"/>
        </w:rPr>
        <w:t>•</w:t>
      </w:r>
      <w:r>
        <w:rPr>
          <w:rFonts w:hint="eastAsia"/>
        </w:rPr>
        <w:t xml:space="preserve"> </w:t>
      </w:r>
      <w:r w:rsidR="001E648D">
        <w:rPr>
          <w:rFonts w:hint="eastAsia"/>
        </w:rPr>
        <w:t>本书内容</w:t>
      </w:r>
      <w:r>
        <w:rPr>
          <w:rFonts w:hint="eastAsia"/>
        </w:rPr>
        <w:t>与目标读者</w:t>
      </w:r>
    </w:p>
    <w:p w14:paraId="6D870FF5" w14:textId="77777777" w:rsidR="00B711F2" w:rsidRDefault="00B711F2" w:rsidP="00B711F2">
      <w:pPr>
        <w:ind w:firstLine="480"/>
      </w:pPr>
    </w:p>
    <w:p w14:paraId="54329273" w14:textId="77777777" w:rsidR="00EA1480" w:rsidRPr="00EA1480" w:rsidRDefault="00EA1480" w:rsidP="00EA1480">
      <w:pPr>
        <w:ind w:firstLine="480"/>
      </w:pPr>
      <w:r w:rsidRPr="00EA1480">
        <w:t>第一篇</w:t>
      </w:r>
      <w:r w:rsidRPr="00EA1480">
        <w:t xml:space="preserve"> </w:t>
      </w:r>
      <w:r w:rsidRPr="00EA1480">
        <w:t>基础理论与策略原点</w:t>
      </w:r>
    </w:p>
    <w:p w14:paraId="33293353" w14:textId="77777777" w:rsidR="00EA1480" w:rsidRPr="00EA1480" w:rsidRDefault="00EA1480" w:rsidP="00EA1480">
      <w:pPr>
        <w:ind w:left="420" w:firstLineChars="0" w:firstLine="0"/>
        <w:jc w:val="left"/>
      </w:pPr>
      <w:r w:rsidRPr="00EA1480">
        <w:t>第一章</w:t>
      </w:r>
      <w:r w:rsidRPr="00EA1480">
        <w:t xml:space="preserve"> </w:t>
      </w:r>
      <w:r w:rsidRPr="00EA1480">
        <w:t>从</w:t>
      </w:r>
      <w:r w:rsidRPr="00EA1480">
        <w:t>PB-ROE</w:t>
      </w:r>
      <w:r w:rsidRPr="00EA1480">
        <w:t>出发：估值理论与基础策略构建</w:t>
      </w:r>
      <w:r w:rsidRPr="00EA1480">
        <w:br/>
        <w:t xml:space="preserve">1.1 </w:t>
      </w:r>
      <w:r w:rsidRPr="00EA1480">
        <w:t>引言：连接价值与价格的桥梁</w:t>
      </w:r>
      <w:r w:rsidRPr="00EA1480">
        <w:br/>
        <w:t xml:space="preserve">1.2 </w:t>
      </w:r>
      <w:r w:rsidRPr="00EA1480">
        <w:t>理论框架：从股东回报到估值方程</w:t>
      </w:r>
      <w:r w:rsidRPr="00EA1480">
        <w:br/>
        <w:t xml:space="preserve">1.2.1 </w:t>
      </w:r>
      <w:r w:rsidRPr="00EA1480">
        <w:t>核心逻辑推导</w:t>
      </w:r>
      <w:r w:rsidRPr="00EA1480">
        <w:br/>
        <w:t>1.3 A</w:t>
      </w:r>
      <w:r w:rsidRPr="00EA1480">
        <w:t>股市场的实证检验</w:t>
      </w:r>
      <w:r w:rsidRPr="00EA1480">
        <w:br/>
        <w:t xml:space="preserve">1.3.1 </w:t>
      </w:r>
      <w:r w:rsidRPr="00EA1480">
        <w:t>盈利能力与估值的横截面证据</w:t>
      </w:r>
      <w:r w:rsidRPr="00EA1480">
        <w:br/>
        <w:t xml:space="preserve">1.3.2 </w:t>
      </w:r>
      <w:r w:rsidRPr="00EA1480">
        <w:t>历史</w:t>
      </w:r>
      <w:r w:rsidRPr="00EA1480">
        <w:t>ROE</w:t>
      </w:r>
      <w:r w:rsidRPr="00EA1480">
        <w:t>作为预期</w:t>
      </w:r>
      <w:r w:rsidRPr="00EA1480">
        <w:t>ROE</w:t>
      </w:r>
      <w:r w:rsidRPr="00EA1480">
        <w:t>代理变量的有效性</w:t>
      </w:r>
      <w:r w:rsidRPr="00EA1480">
        <w:br/>
        <w:t xml:space="preserve">1.4 </w:t>
      </w:r>
      <w:r w:rsidRPr="00EA1480">
        <w:t>基础策略构建与回测分析</w:t>
      </w:r>
      <w:r w:rsidRPr="00EA1480">
        <w:br/>
        <w:t xml:space="preserve">1.4.1 </w:t>
      </w:r>
      <w:r w:rsidRPr="00EA1480">
        <w:t>策略的内在逻辑</w:t>
      </w:r>
      <w:r w:rsidRPr="00EA1480">
        <w:br/>
        <w:t xml:space="preserve">1.4.2 </w:t>
      </w:r>
      <w:r w:rsidRPr="00EA1480">
        <w:t>策略构建与回测方法论</w:t>
      </w:r>
      <w:r w:rsidRPr="00EA1480">
        <w:br/>
        <w:t xml:space="preserve">1.4.3 </w:t>
      </w:r>
      <w:r w:rsidRPr="00EA1480">
        <w:t>业绩表现与深度分析</w:t>
      </w:r>
      <w:r w:rsidRPr="00EA1480">
        <w:br/>
        <w:t xml:space="preserve">1.5 </w:t>
      </w:r>
      <w:r w:rsidRPr="00EA1480">
        <w:t>本章小结</w:t>
      </w:r>
    </w:p>
    <w:p w14:paraId="4EA2C00F" w14:textId="77777777" w:rsidR="00EA1480" w:rsidRPr="00EA1480" w:rsidRDefault="00EA1480" w:rsidP="00EA1480">
      <w:pPr>
        <w:ind w:left="420" w:firstLineChars="25" w:firstLine="60"/>
      </w:pPr>
      <w:r w:rsidRPr="00EA1480">
        <w:t>第二章</w:t>
      </w:r>
      <w:r w:rsidRPr="00EA1480">
        <w:t xml:space="preserve"> </w:t>
      </w:r>
      <w:r w:rsidRPr="00EA1480">
        <w:t>行业中性化与月度调仓</w:t>
      </w:r>
      <w:r w:rsidRPr="00EA1480">
        <w:br/>
        <w:t xml:space="preserve">2.1 </w:t>
      </w:r>
      <w:r w:rsidRPr="00EA1480">
        <w:t>策略改进一：引入行业中性化</w:t>
      </w:r>
      <w:r w:rsidRPr="00EA1480">
        <w:br/>
        <w:t xml:space="preserve">2.1.1 </w:t>
      </w:r>
      <w:r w:rsidRPr="00EA1480">
        <w:t>问题的提出：无意识的行业</w:t>
      </w:r>
      <w:r w:rsidRPr="00EA1480">
        <w:t>"</w:t>
      </w:r>
      <w:r w:rsidRPr="00EA1480">
        <w:t>赌注</w:t>
      </w:r>
      <w:r w:rsidRPr="00EA1480">
        <w:t>"</w:t>
      </w:r>
      <w:r w:rsidRPr="00EA1480">
        <w:br/>
        <w:t xml:space="preserve">2.1.2 </w:t>
      </w:r>
      <w:r w:rsidRPr="00EA1480">
        <w:t>改进的逻辑与实施</w:t>
      </w:r>
      <w:r w:rsidRPr="00EA1480">
        <w:br/>
        <w:t xml:space="preserve">2.1.3 </w:t>
      </w:r>
      <w:r w:rsidRPr="00EA1480">
        <w:t>实证分析：风险调整后收益的提升</w:t>
      </w:r>
      <w:r w:rsidRPr="00EA1480">
        <w:br/>
        <w:t xml:space="preserve">2.1.4 </w:t>
      </w:r>
      <w:r w:rsidRPr="00EA1480">
        <w:t>小结</w:t>
      </w:r>
      <w:r w:rsidRPr="00EA1480">
        <w:br/>
        <w:t xml:space="preserve">2.2 </w:t>
      </w:r>
      <w:r w:rsidRPr="00EA1480">
        <w:t>策略改进二：优化调仓周期以提升信息时效性</w:t>
      </w:r>
      <w:r w:rsidRPr="00EA1480">
        <w:br/>
        <w:t xml:space="preserve">2.2.1 </w:t>
      </w:r>
      <w:r w:rsidRPr="00EA1480">
        <w:t>问题的提出：因子数据的时滞性</w:t>
      </w:r>
      <w:r w:rsidRPr="00EA1480">
        <w:br/>
        <w:t xml:space="preserve">2.2.2 </w:t>
      </w:r>
      <w:r w:rsidRPr="00EA1480">
        <w:t>改进的逻辑与实施</w:t>
      </w:r>
      <w:r w:rsidRPr="00EA1480">
        <w:br/>
        <w:t xml:space="preserve">2.2.3 </w:t>
      </w:r>
      <w:r w:rsidRPr="00EA1480">
        <w:t>实证分析：信息效率的价值</w:t>
      </w:r>
      <w:r w:rsidRPr="00EA1480">
        <w:br/>
        <w:t xml:space="preserve">2.2.4 </w:t>
      </w:r>
      <w:r w:rsidRPr="00EA1480">
        <w:t>小结</w:t>
      </w:r>
      <w:r w:rsidRPr="00EA1480">
        <w:br/>
        <w:t xml:space="preserve">2.3 </w:t>
      </w:r>
      <w:r w:rsidRPr="00EA1480">
        <w:t>策略改进三：引入月度再平衡以维持因子敞口</w:t>
      </w:r>
      <w:r w:rsidRPr="00EA1480">
        <w:br/>
        <w:t xml:space="preserve">2.3.1 </w:t>
      </w:r>
      <w:r w:rsidRPr="00EA1480">
        <w:t>问题的提出：因子敞口的盘中衰减</w:t>
      </w:r>
      <w:r w:rsidRPr="00EA1480">
        <w:br/>
        <w:t xml:space="preserve">2.3.2 </w:t>
      </w:r>
      <w:r w:rsidRPr="00EA1480">
        <w:t>改进的逻辑与实施</w:t>
      </w:r>
      <w:r w:rsidRPr="00EA1480">
        <w:br/>
        <w:t xml:space="preserve">2.3.3 </w:t>
      </w:r>
      <w:r w:rsidRPr="00EA1480">
        <w:t>实证分析：动态锚定的超额收益</w:t>
      </w:r>
      <w:r w:rsidRPr="00EA1480">
        <w:br/>
        <w:t xml:space="preserve">2.3.4 </w:t>
      </w:r>
      <w:r w:rsidRPr="00EA1480">
        <w:t>小结</w:t>
      </w:r>
      <w:r w:rsidRPr="00EA1480">
        <w:br/>
        <w:t xml:space="preserve">2.4 </w:t>
      </w:r>
      <w:r w:rsidRPr="00EA1480">
        <w:t>本章小结</w:t>
      </w:r>
    </w:p>
    <w:p w14:paraId="655A128D" w14:textId="77777777" w:rsidR="00EF1B9D" w:rsidRDefault="00EA1480" w:rsidP="00EF1B9D">
      <w:pPr>
        <w:ind w:left="420" w:firstLineChars="25" w:firstLine="60"/>
      </w:pPr>
      <w:r w:rsidRPr="00EA1480">
        <w:lastRenderedPageBreak/>
        <w:t>第三章</w:t>
      </w:r>
      <w:r w:rsidRPr="00EA1480">
        <w:t xml:space="preserve"> </w:t>
      </w:r>
      <w:r w:rsidRPr="00EA1480">
        <w:t>基于回归残差的价值发现模型</w:t>
      </w:r>
      <w:r w:rsidRPr="00EA1480">
        <w:br/>
        <w:t xml:space="preserve">3.1 </w:t>
      </w:r>
      <w:r w:rsidRPr="00EA1480">
        <w:t>理论升华：从因子组合到模型驱动</w:t>
      </w:r>
      <w:r w:rsidRPr="00EA1480">
        <w:br/>
        <w:t xml:space="preserve">3.2 </w:t>
      </w:r>
      <w:r w:rsidRPr="00EA1480">
        <w:t>模型构建与因子定义</w:t>
      </w:r>
      <w:r w:rsidRPr="00EA1480">
        <w:br/>
        <w:t xml:space="preserve">3.3 </w:t>
      </w:r>
      <w:r w:rsidRPr="00EA1480">
        <w:t>估值残差因子的有效性检验</w:t>
      </w:r>
      <w:r w:rsidRPr="00EA1480">
        <w:br/>
      </w:r>
      <w:r w:rsidR="00EF1B9D">
        <w:rPr>
          <w:rFonts w:hint="eastAsia"/>
        </w:rPr>
        <w:t xml:space="preserve">3.4 </w:t>
      </w:r>
      <w:r w:rsidR="00EF1B9D">
        <w:rPr>
          <w:rFonts w:hint="eastAsia"/>
        </w:rPr>
        <w:t>策略实证：分组回测与持有期分析</w:t>
      </w:r>
    </w:p>
    <w:p w14:paraId="322BC251" w14:textId="77777777" w:rsidR="00EF1B9D" w:rsidRDefault="00EF1B9D" w:rsidP="00EF1B9D">
      <w:pPr>
        <w:ind w:left="420" w:firstLineChars="0" w:firstLine="0"/>
      </w:pPr>
      <w:r>
        <w:rPr>
          <w:rFonts w:hint="eastAsia"/>
        </w:rPr>
        <w:t xml:space="preserve">3.4.1 </w:t>
      </w:r>
      <w:r>
        <w:rPr>
          <w:rFonts w:hint="eastAsia"/>
        </w:rPr>
        <w:t>分组回测：量化因子的区分能力</w:t>
      </w:r>
    </w:p>
    <w:p w14:paraId="54AECF2C" w14:textId="4DA9198E" w:rsidR="00EA1480" w:rsidRPr="00EA1480" w:rsidRDefault="00EF1B9D" w:rsidP="00EF1B9D">
      <w:pPr>
        <w:ind w:left="420" w:firstLineChars="0" w:firstLine="0"/>
      </w:pPr>
      <w:r w:rsidRPr="00EF1B9D">
        <w:rPr>
          <w:rFonts w:hint="eastAsia"/>
        </w:rPr>
        <w:t xml:space="preserve">3.4.2 </w:t>
      </w:r>
      <w:r w:rsidRPr="00EF1B9D">
        <w:rPr>
          <w:rFonts w:hint="eastAsia"/>
        </w:rPr>
        <w:t>最优持有期探究：收益、风险与换手率的权衡</w:t>
      </w:r>
      <w:r w:rsidR="00EA1480" w:rsidRPr="00EA1480">
        <w:br/>
        <w:t xml:space="preserve">3.5 </w:t>
      </w:r>
      <w:r w:rsidR="00EA1480" w:rsidRPr="00EA1480">
        <w:t>最终策略对比与评估</w:t>
      </w:r>
      <w:r w:rsidR="00EA1480" w:rsidRPr="00EA1480">
        <w:br/>
        <w:t xml:space="preserve">3.6 </w:t>
      </w:r>
      <w:r w:rsidR="00EA1480" w:rsidRPr="00EA1480">
        <w:t>本章小结</w:t>
      </w:r>
    </w:p>
    <w:p w14:paraId="0FAAB186" w14:textId="77777777" w:rsidR="00EA1480" w:rsidRDefault="00EA1480" w:rsidP="00B711F2">
      <w:pPr>
        <w:ind w:firstLine="480"/>
      </w:pPr>
    </w:p>
    <w:p w14:paraId="3236EE63" w14:textId="77777777" w:rsidR="00EF1B9D" w:rsidRDefault="00EF1B9D" w:rsidP="00EF1B9D">
      <w:pPr>
        <w:ind w:firstLine="480"/>
      </w:pPr>
      <w:r>
        <w:rPr>
          <w:rFonts w:hint="eastAsia"/>
        </w:rPr>
        <w:t>第二篇</w:t>
      </w:r>
      <w:r>
        <w:rPr>
          <w:rFonts w:hint="eastAsia"/>
        </w:rPr>
        <w:t xml:space="preserve"> </w:t>
      </w:r>
    </w:p>
    <w:p w14:paraId="4FFC49D9" w14:textId="77777777" w:rsidR="00151F46" w:rsidRDefault="00336656" w:rsidP="00336656">
      <w:pPr>
        <w:ind w:firstLine="480"/>
      </w:pPr>
      <w:r>
        <w:rPr>
          <w:rFonts w:hint="eastAsia"/>
        </w:rPr>
        <w:t>第四章</w:t>
      </w:r>
      <w:r w:rsidR="00EF1B9D">
        <w:rPr>
          <w:rFonts w:hint="eastAsia"/>
        </w:rPr>
        <w:t>：</w:t>
      </w:r>
      <w:r w:rsidR="00151F46">
        <w:rPr>
          <w:rFonts w:hint="eastAsia"/>
        </w:rPr>
        <w:t>跳出价值陷阱</w:t>
      </w:r>
    </w:p>
    <w:p w14:paraId="187320FE" w14:textId="57FFDDD6" w:rsidR="00336656" w:rsidRDefault="00EF1B9D" w:rsidP="00336656">
      <w:pPr>
        <w:ind w:firstLine="480"/>
      </w:pPr>
      <w:r>
        <w:rPr>
          <w:rFonts w:hint="eastAsia"/>
        </w:rPr>
        <w:t>PB</w:t>
      </w:r>
      <w:r>
        <w:rPr>
          <w:rFonts w:hint="eastAsia"/>
        </w:rPr>
        <w:t>分位数</w:t>
      </w:r>
    </w:p>
    <w:p w14:paraId="4D5A4C70" w14:textId="03481EE8" w:rsidR="00151F46" w:rsidRDefault="00151F46" w:rsidP="00151F46">
      <w:pPr>
        <w:ind w:firstLine="480"/>
      </w:pPr>
      <w:r>
        <w:rPr>
          <w:rFonts w:hint="eastAsia"/>
        </w:rPr>
        <w:t>根据资产质量</w:t>
      </w:r>
      <w:r>
        <w:rPr>
          <w:rFonts w:hint="eastAsia"/>
        </w:rPr>
        <w:t>调整</w:t>
      </w:r>
      <w:r>
        <w:rPr>
          <w:rFonts w:hint="eastAsia"/>
        </w:rPr>
        <w:t xml:space="preserve"> PB</w:t>
      </w:r>
      <w:r>
        <w:rPr>
          <w:rFonts w:hint="eastAsia"/>
        </w:rPr>
        <w:t>：剔除或摊薄商誉、少数股东权益</w:t>
      </w:r>
    </w:p>
    <w:p w14:paraId="609DFC0B" w14:textId="77777777" w:rsidR="00507810" w:rsidRDefault="00507810" w:rsidP="00336656">
      <w:pPr>
        <w:ind w:firstLine="480"/>
      </w:pPr>
    </w:p>
    <w:p w14:paraId="13C569D2" w14:textId="3D4A25EE" w:rsidR="00336656" w:rsidRDefault="00336656" w:rsidP="00336656">
      <w:pPr>
        <w:ind w:firstLine="480"/>
      </w:pPr>
      <w:r>
        <w:rPr>
          <w:rFonts w:hint="eastAsia"/>
        </w:rPr>
        <w:t>第五章：更好的</w:t>
      </w:r>
      <w:r>
        <w:rPr>
          <w:rFonts w:hint="eastAsia"/>
        </w:rPr>
        <w:t>ROE</w:t>
      </w:r>
      <w:r>
        <w:rPr>
          <w:rFonts w:hint="eastAsia"/>
        </w:rPr>
        <w:t>预测</w:t>
      </w:r>
    </w:p>
    <w:p w14:paraId="61A3BAF1" w14:textId="177963F3" w:rsidR="00EA1480" w:rsidRDefault="00336656" w:rsidP="00336656">
      <w:pPr>
        <w:ind w:firstLine="480"/>
      </w:pPr>
      <w:r>
        <w:rPr>
          <w:rFonts w:hint="eastAsia"/>
        </w:rPr>
        <w:t>第六章：含股息的</w:t>
      </w:r>
      <w:r>
        <w:rPr>
          <w:rFonts w:hint="eastAsia"/>
        </w:rPr>
        <w:t>PBROE</w:t>
      </w:r>
      <w:r>
        <w:rPr>
          <w:rFonts w:hint="eastAsia"/>
        </w:rPr>
        <w:t>框架</w:t>
      </w:r>
    </w:p>
    <w:p w14:paraId="688F554E" w14:textId="77777777" w:rsidR="008C7561" w:rsidRDefault="00336656" w:rsidP="00336656">
      <w:pPr>
        <w:ind w:firstLine="480"/>
      </w:pPr>
      <w:r>
        <w:rPr>
          <w:rFonts w:hint="eastAsia"/>
        </w:rPr>
        <w:t>第七章：排除问题公司（欺诈、盈利操控和高财务困境风险</w:t>
      </w:r>
      <w:r w:rsidR="00151F46">
        <w:rPr>
          <w:rFonts w:hint="eastAsia"/>
        </w:rPr>
        <w:t>，</w:t>
      </w:r>
      <w:r w:rsidR="00151F46">
        <w:rPr>
          <w:rFonts w:hint="eastAsia"/>
        </w:rPr>
        <w:t>资产质量与财务风险</w:t>
      </w:r>
      <w:r w:rsidR="00135D17">
        <w:rPr>
          <w:rFonts w:hint="eastAsia"/>
        </w:rPr>
        <w:t>，治理问题</w:t>
      </w:r>
      <w:r>
        <w:rPr>
          <w:rFonts w:hint="eastAsia"/>
        </w:rPr>
        <w:t>）</w:t>
      </w:r>
    </w:p>
    <w:p w14:paraId="3F769282" w14:textId="06E3B47A" w:rsidR="00336656" w:rsidRDefault="008C7561" w:rsidP="00336656">
      <w:pPr>
        <w:ind w:firstLine="480"/>
      </w:pPr>
      <w:r>
        <w:rPr>
          <w:rFonts w:hint="eastAsia"/>
        </w:rPr>
        <w:t>OPM</w:t>
      </w:r>
      <w:r>
        <w:rPr>
          <w:rFonts w:hint="eastAsia"/>
        </w:rPr>
        <w:t>用别人的钱经营，将负债加进资产</w:t>
      </w:r>
    </w:p>
    <w:p w14:paraId="029D20D4" w14:textId="77777777" w:rsidR="00FF1785" w:rsidRDefault="00FF1785" w:rsidP="00135D17">
      <w:pPr>
        <w:ind w:firstLine="480"/>
      </w:pPr>
    </w:p>
    <w:p w14:paraId="6FB9B373" w14:textId="75D189B7" w:rsidR="00135D17" w:rsidRDefault="00135D17" w:rsidP="00135D17">
      <w:pPr>
        <w:ind w:firstLine="480"/>
      </w:pPr>
      <w:r>
        <w:rPr>
          <w:rFonts w:hint="eastAsia"/>
        </w:rPr>
        <w:t>第</w:t>
      </w:r>
      <w:r>
        <w:rPr>
          <w:rFonts w:hint="eastAsia"/>
        </w:rPr>
        <w:t>八</w:t>
      </w:r>
      <w:r>
        <w:rPr>
          <w:rFonts w:hint="eastAsia"/>
        </w:rPr>
        <w:t>章</w:t>
      </w:r>
      <w:r>
        <w:rPr>
          <w:rFonts w:hint="eastAsia"/>
        </w:rPr>
        <w:t xml:space="preserve"> </w:t>
      </w:r>
      <w:r>
        <w:rPr>
          <w:rFonts w:hint="eastAsia"/>
        </w:rPr>
        <w:t>集中投资</w:t>
      </w:r>
    </w:p>
    <w:p w14:paraId="521CB19E" w14:textId="77777777" w:rsidR="00EF1B9D" w:rsidRDefault="00EF1B9D" w:rsidP="00336656">
      <w:pPr>
        <w:ind w:firstLine="480"/>
      </w:pPr>
    </w:p>
    <w:p w14:paraId="51515D94" w14:textId="79B741DA" w:rsidR="00070F80" w:rsidRDefault="00070F80" w:rsidP="00336656">
      <w:pPr>
        <w:ind w:firstLine="480"/>
        <w:rPr>
          <w:rFonts w:hint="eastAsia"/>
        </w:rPr>
      </w:pPr>
      <w:r>
        <w:rPr>
          <w:rFonts w:hint="eastAsia"/>
        </w:rPr>
        <w:t>残差动量</w:t>
      </w:r>
    </w:p>
    <w:p w14:paraId="42DF52ED" w14:textId="46EB3E9B" w:rsidR="00336656" w:rsidRDefault="00336656" w:rsidP="00336656">
      <w:pPr>
        <w:ind w:firstLine="480"/>
        <w:rPr>
          <w:rFonts w:hint="eastAsia"/>
        </w:rPr>
      </w:pPr>
      <w:r>
        <w:rPr>
          <w:rFonts w:hint="eastAsia"/>
        </w:rPr>
        <w:t>第章：</w:t>
      </w:r>
      <w:r w:rsidR="00104BC9">
        <w:rPr>
          <w:rFonts w:hint="eastAsia"/>
        </w:rPr>
        <w:t>PBROE</w:t>
      </w:r>
      <w:r>
        <w:rPr>
          <w:rFonts w:hint="eastAsia"/>
        </w:rPr>
        <w:t>市场择时</w:t>
      </w:r>
      <w:r w:rsidR="00104BC9">
        <w:rPr>
          <w:rFonts w:hint="eastAsia"/>
        </w:rPr>
        <w:t>（残差、</w:t>
      </w:r>
      <w:r w:rsidR="00104BC9">
        <w:rPr>
          <w:rFonts w:hint="eastAsia"/>
        </w:rPr>
        <w:t>K</w:t>
      </w:r>
      <w:r w:rsidR="00104BC9">
        <w:rPr>
          <w:rFonts w:hint="eastAsia"/>
        </w:rPr>
        <w:t>、</w:t>
      </w:r>
      <w:r w:rsidR="00104BC9">
        <w:rPr>
          <w:rFonts w:hint="eastAsia"/>
        </w:rPr>
        <w:t>T</w:t>
      </w:r>
      <w:r w:rsidR="00104BC9">
        <w:rPr>
          <w:rFonts w:hint="eastAsia"/>
        </w:rPr>
        <w:t>）</w:t>
      </w:r>
    </w:p>
    <w:p w14:paraId="45B5B80A" w14:textId="49CD914E" w:rsidR="00336656" w:rsidRPr="00336656" w:rsidRDefault="00336656" w:rsidP="00336656">
      <w:pPr>
        <w:ind w:firstLine="480"/>
      </w:pPr>
      <w:r>
        <w:rPr>
          <w:rFonts w:hint="eastAsia"/>
        </w:rPr>
        <w:t>第章：</w:t>
      </w:r>
      <w:r>
        <w:rPr>
          <w:rFonts w:hint="eastAsia"/>
        </w:rPr>
        <w:t>pbroe</w:t>
      </w:r>
      <w:r>
        <w:rPr>
          <w:rFonts w:hint="eastAsia"/>
        </w:rPr>
        <w:t>框架与净利润断层</w:t>
      </w:r>
    </w:p>
    <w:p w14:paraId="19767B63" w14:textId="6E4C44BC" w:rsidR="00EF1B9D" w:rsidRDefault="00507810" w:rsidP="00B711F2">
      <w:pPr>
        <w:ind w:firstLine="480"/>
      </w:pPr>
      <w:r>
        <w:rPr>
          <w:rFonts w:hint="eastAsia"/>
        </w:rPr>
        <w:t>第章</w:t>
      </w:r>
      <w:r>
        <w:rPr>
          <w:rFonts w:hint="eastAsia"/>
        </w:rPr>
        <w:t xml:space="preserve"> </w:t>
      </w:r>
      <w:r>
        <w:rPr>
          <w:rFonts w:hint="eastAsia"/>
        </w:rPr>
        <w:t>多空组合构建</w:t>
      </w:r>
    </w:p>
    <w:p w14:paraId="6BA6E2CB" w14:textId="37C3F67E" w:rsidR="00507810" w:rsidRDefault="00507810" w:rsidP="00B711F2">
      <w:pPr>
        <w:ind w:firstLine="480"/>
        <w:rPr>
          <w:rFonts w:hint="eastAsia"/>
        </w:rPr>
      </w:pPr>
      <w:r>
        <w:rPr>
          <w:rFonts w:hint="eastAsia"/>
        </w:rPr>
        <w:t>第章</w:t>
      </w:r>
      <w:r>
        <w:rPr>
          <w:rFonts w:hint="eastAsia"/>
        </w:rPr>
        <w:t xml:space="preserve"> </w:t>
      </w:r>
      <w:r>
        <w:rPr>
          <w:rFonts w:hint="eastAsia"/>
        </w:rPr>
        <w:t>行业及指增</w:t>
      </w:r>
    </w:p>
    <w:p w14:paraId="46552D85" w14:textId="77777777" w:rsidR="00135D17" w:rsidRDefault="00135D17" w:rsidP="00B711F2">
      <w:pPr>
        <w:ind w:firstLine="480"/>
        <w:rPr>
          <w:rFonts w:hint="eastAsia"/>
        </w:rPr>
      </w:pPr>
    </w:p>
    <w:p w14:paraId="145CA5BD" w14:textId="4CC01B63" w:rsidR="00EA1480" w:rsidRDefault="00336656" w:rsidP="00B711F2">
      <w:pPr>
        <w:ind w:firstLine="480"/>
      </w:pPr>
      <w:r w:rsidRPr="00336656">
        <w:rPr>
          <w:rFonts w:hint="eastAsia"/>
        </w:rPr>
        <w:t>第十</w:t>
      </w:r>
      <w:r w:rsidR="00135D17">
        <w:rPr>
          <w:rFonts w:hint="eastAsia"/>
        </w:rPr>
        <w:t>三</w:t>
      </w:r>
      <w:r w:rsidRPr="00336656">
        <w:rPr>
          <w:rFonts w:hint="eastAsia"/>
        </w:rPr>
        <w:t>章：机器学习（把上面的变量作为特征输入模型）</w:t>
      </w:r>
    </w:p>
    <w:p w14:paraId="37879E16" w14:textId="77777777" w:rsidR="00336656" w:rsidRDefault="00336656" w:rsidP="00B711F2">
      <w:pPr>
        <w:ind w:firstLine="480"/>
      </w:pPr>
    </w:p>
    <w:p w14:paraId="76A48363" w14:textId="7390B786" w:rsidR="00B711F2" w:rsidRDefault="00B711F2" w:rsidP="00B711F2">
      <w:pPr>
        <w:ind w:firstLine="480"/>
      </w:pPr>
      <w:r>
        <w:rPr>
          <w:rFonts w:hint="eastAsia"/>
        </w:rPr>
        <w:t>第</w:t>
      </w:r>
      <w:r w:rsidR="000A13E3">
        <w:rPr>
          <w:rFonts w:hint="eastAsia"/>
        </w:rPr>
        <w:t>3</w:t>
      </w:r>
      <w:r>
        <w:rPr>
          <w:rFonts w:hint="eastAsia"/>
        </w:rPr>
        <w:t>章</w:t>
      </w:r>
      <w:r>
        <w:rPr>
          <w:rFonts w:hint="eastAsia"/>
        </w:rPr>
        <w:t xml:space="preserve"> ROE </w:t>
      </w:r>
      <w:r>
        <w:rPr>
          <w:rFonts w:hint="eastAsia"/>
        </w:rPr>
        <w:t>指标的局限与改进</w:t>
      </w:r>
    </w:p>
    <w:p w14:paraId="20516F7E" w14:textId="77777777" w:rsidR="00B711F2" w:rsidRDefault="00B711F2" w:rsidP="00B711F2">
      <w:pPr>
        <w:ind w:firstLine="480"/>
      </w:pPr>
      <w:r>
        <w:rPr>
          <w:rFonts w:hint="eastAsia"/>
        </w:rPr>
        <w:t>•</w:t>
      </w:r>
      <w:r>
        <w:rPr>
          <w:rFonts w:hint="eastAsia"/>
        </w:rPr>
        <w:t xml:space="preserve"> ROE </w:t>
      </w:r>
      <w:r>
        <w:rPr>
          <w:rFonts w:hint="eastAsia"/>
        </w:rPr>
        <w:t>“静态”与趋势性：为何要看上升动能</w:t>
      </w:r>
    </w:p>
    <w:p w14:paraId="6F2EF86E" w14:textId="77777777" w:rsidR="00B711F2" w:rsidRDefault="00B711F2" w:rsidP="00B711F2">
      <w:pPr>
        <w:ind w:firstLine="480"/>
      </w:pPr>
      <w:r>
        <w:rPr>
          <w:rFonts w:hint="eastAsia"/>
        </w:rPr>
        <w:t>•</w:t>
      </w:r>
      <w:r>
        <w:rPr>
          <w:rFonts w:hint="eastAsia"/>
        </w:rPr>
        <w:t xml:space="preserve"> </w:t>
      </w:r>
      <w:r>
        <w:rPr>
          <w:rFonts w:hint="eastAsia"/>
        </w:rPr>
        <w:t>可持续</w:t>
      </w:r>
      <w:r>
        <w:rPr>
          <w:rFonts w:hint="eastAsia"/>
        </w:rPr>
        <w:t xml:space="preserve"> ROE</w:t>
      </w:r>
      <w:r>
        <w:rPr>
          <w:rFonts w:hint="eastAsia"/>
        </w:rPr>
        <w:t>：杠杆、商誉、一次性收益剔除</w:t>
      </w:r>
    </w:p>
    <w:p w14:paraId="77FD94FC" w14:textId="77777777" w:rsidR="00B711F2" w:rsidRDefault="00B711F2" w:rsidP="00B711F2">
      <w:pPr>
        <w:ind w:firstLine="480"/>
      </w:pPr>
      <w:r>
        <w:rPr>
          <w:rFonts w:hint="eastAsia"/>
        </w:rPr>
        <w:lastRenderedPageBreak/>
        <w:t>•</w:t>
      </w:r>
      <w:r>
        <w:rPr>
          <w:rFonts w:hint="eastAsia"/>
        </w:rPr>
        <w:t xml:space="preserve"> </w:t>
      </w:r>
      <w:r>
        <w:rPr>
          <w:rFonts w:hint="eastAsia"/>
        </w:rPr>
        <w:t>实战示例：剔除商誉减值干扰后</w:t>
      </w:r>
      <w:r>
        <w:rPr>
          <w:rFonts w:hint="eastAsia"/>
        </w:rPr>
        <w:t xml:space="preserve"> ROE </w:t>
      </w:r>
      <w:r>
        <w:rPr>
          <w:rFonts w:hint="eastAsia"/>
        </w:rPr>
        <w:t>重算</w:t>
      </w:r>
    </w:p>
    <w:p w14:paraId="5CB33076" w14:textId="00D64ACE" w:rsidR="00B711F2" w:rsidRDefault="00B711F2" w:rsidP="00B711F2">
      <w:pPr>
        <w:ind w:firstLine="480"/>
      </w:pPr>
      <w:r>
        <w:rPr>
          <w:rFonts w:hint="eastAsia"/>
        </w:rPr>
        <w:t>：</w:t>
      </w:r>
      <w:r w:rsidR="00151F46">
        <w:t xml:space="preserve"> </w:t>
      </w:r>
    </w:p>
    <w:p w14:paraId="376BD6CD" w14:textId="2F40EE9D" w:rsidR="00B711F2" w:rsidRDefault="00B711F2" w:rsidP="00B711F2">
      <w:pPr>
        <w:ind w:firstLine="480"/>
      </w:pPr>
      <w:r>
        <w:rPr>
          <w:rFonts w:hint="eastAsia"/>
        </w:rPr>
        <w:t>第</w:t>
      </w:r>
      <w:r w:rsidR="000A13E3">
        <w:rPr>
          <w:rFonts w:hint="eastAsia"/>
        </w:rPr>
        <w:t>5</w:t>
      </w:r>
      <w:r>
        <w:rPr>
          <w:rFonts w:hint="eastAsia"/>
        </w:rPr>
        <w:t>章</w:t>
      </w:r>
      <w:r>
        <w:rPr>
          <w:rFonts w:hint="eastAsia"/>
        </w:rPr>
        <w:t xml:space="preserve"> </w:t>
      </w:r>
      <w:r>
        <w:rPr>
          <w:rFonts w:hint="eastAsia"/>
        </w:rPr>
        <w:t>净利润断层与质量因子</w:t>
      </w:r>
    </w:p>
    <w:p w14:paraId="3F1C3F3A" w14:textId="77777777" w:rsidR="00B711F2" w:rsidRDefault="00B711F2" w:rsidP="00B711F2">
      <w:pPr>
        <w:ind w:firstLine="480"/>
      </w:pPr>
      <w:r>
        <w:rPr>
          <w:rFonts w:hint="eastAsia"/>
        </w:rPr>
        <w:t>•</w:t>
      </w:r>
      <w:r>
        <w:rPr>
          <w:rFonts w:hint="eastAsia"/>
        </w:rPr>
        <w:t xml:space="preserve"> </w:t>
      </w:r>
      <w:r>
        <w:rPr>
          <w:rFonts w:hint="eastAsia"/>
        </w:rPr>
        <w:t>净利润断层（盈利连续性）分析</w:t>
      </w:r>
    </w:p>
    <w:p w14:paraId="39B27C39" w14:textId="77777777" w:rsidR="00B711F2" w:rsidRDefault="00B711F2" w:rsidP="00B711F2">
      <w:pPr>
        <w:ind w:firstLine="480"/>
      </w:pPr>
      <w:r>
        <w:rPr>
          <w:rFonts w:hint="eastAsia"/>
        </w:rPr>
        <w:t>•</w:t>
      </w:r>
      <w:r>
        <w:rPr>
          <w:rFonts w:hint="eastAsia"/>
        </w:rPr>
        <w:t xml:space="preserve"> Piotroski F-Score</w:t>
      </w:r>
      <w:r>
        <w:rPr>
          <w:rFonts w:hint="eastAsia"/>
        </w:rPr>
        <w:t>、</w:t>
      </w:r>
      <w:r>
        <w:rPr>
          <w:rFonts w:hint="eastAsia"/>
        </w:rPr>
        <w:t xml:space="preserve">Altman Z-Score </w:t>
      </w:r>
      <w:r>
        <w:rPr>
          <w:rFonts w:hint="eastAsia"/>
        </w:rPr>
        <w:t>等质量因子</w:t>
      </w:r>
    </w:p>
    <w:p w14:paraId="0F545C9E" w14:textId="77777777" w:rsidR="00B711F2" w:rsidRDefault="00B711F2" w:rsidP="00B711F2">
      <w:pPr>
        <w:ind w:firstLine="480"/>
      </w:pPr>
      <w:r>
        <w:rPr>
          <w:rFonts w:hint="eastAsia"/>
        </w:rPr>
        <w:t>•</w:t>
      </w:r>
      <w:r>
        <w:rPr>
          <w:rFonts w:hint="eastAsia"/>
        </w:rPr>
        <w:t xml:space="preserve"> </w:t>
      </w:r>
      <w:r>
        <w:rPr>
          <w:rFonts w:hint="eastAsia"/>
        </w:rPr>
        <w:t>从“全部价值股”到“高质量价值股”的筛选</w:t>
      </w:r>
    </w:p>
    <w:p w14:paraId="5E852329" w14:textId="1452FCF0" w:rsidR="00B711F2" w:rsidRDefault="00A46628" w:rsidP="00B711F2">
      <w:pPr>
        <w:ind w:firstLine="480"/>
      </w:pPr>
      <w:r>
        <w:rPr>
          <w:rFonts w:hint="eastAsia"/>
        </w:rPr>
        <w:t>第</w:t>
      </w:r>
      <w:r>
        <w:rPr>
          <w:rFonts w:hint="eastAsia"/>
        </w:rPr>
        <w:t>6</w:t>
      </w:r>
      <w:r>
        <w:rPr>
          <w:rFonts w:hint="eastAsia"/>
        </w:rPr>
        <w:t>章</w:t>
      </w:r>
      <w:r>
        <w:rPr>
          <w:rFonts w:hint="eastAsia"/>
        </w:rPr>
        <w:t xml:space="preserve"> </w:t>
      </w:r>
      <w:r w:rsidR="00055944">
        <w:rPr>
          <w:rFonts w:hint="eastAsia"/>
        </w:rPr>
        <w:t>不能忽视的股息</w:t>
      </w:r>
    </w:p>
    <w:p w14:paraId="36C2C841" w14:textId="77777777" w:rsidR="00055944" w:rsidRDefault="00055944" w:rsidP="00B711F2">
      <w:pPr>
        <w:ind w:firstLine="480"/>
      </w:pPr>
    </w:p>
    <w:p w14:paraId="3271DEEF" w14:textId="61D63C17" w:rsidR="00B711F2" w:rsidRDefault="00B711F2" w:rsidP="00B711F2">
      <w:pPr>
        <w:ind w:firstLine="480"/>
      </w:pPr>
      <w:r>
        <w:rPr>
          <w:rFonts w:hint="eastAsia"/>
        </w:rPr>
        <w:t>第三篇</w:t>
      </w:r>
      <w:r>
        <w:rPr>
          <w:rFonts w:hint="eastAsia"/>
        </w:rPr>
        <w:t xml:space="preserve"> </w:t>
      </w:r>
      <w:r w:rsidR="00A64A28">
        <w:rPr>
          <w:rFonts w:hint="eastAsia"/>
        </w:rPr>
        <w:t>能否做的更好</w:t>
      </w:r>
      <w:r w:rsidR="00452598">
        <w:rPr>
          <w:rFonts w:hint="eastAsia"/>
        </w:rPr>
        <w:t>？</w:t>
      </w:r>
    </w:p>
    <w:p w14:paraId="55823FE1" w14:textId="7617666B" w:rsidR="00B711F2" w:rsidRDefault="00B711F2" w:rsidP="00B711F2">
      <w:pPr>
        <w:ind w:firstLine="480"/>
      </w:pPr>
      <w:r>
        <w:rPr>
          <w:rFonts w:hint="eastAsia"/>
        </w:rPr>
        <w:t>第</w:t>
      </w:r>
      <w:r w:rsidR="000A13E3">
        <w:rPr>
          <w:rFonts w:hint="eastAsia"/>
        </w:rPr>
        <w:t>6</w:t>
      </w:r>
      <w:r>
        <w:rPr>
          <w:rFonts w:hint="eastAsia"/>
        </w:rPr>
        <w:t>章</w:t>
      </w:r>
      <w:r>
        <w:rPr>
          <w:rFonts w:hint="eastAsia"/>
        </w:rPr>
        <w:t xml:space="preserve"> ROE </w:t>
      </w:r>
      <w:r>
        <w:rPr>
          <w:rFonts w:hint="eastAsia"/>
        </w:rPr>
        <w:t>趋势＋</w:t>
      </w:r>
      <w:r>
        <w:rPr>
          <w:rFonts w:hint="eastAsia"/>
        </w:rPr>
        <w:t xml:space="preserve">PB </w:t>
      </w:r>
      <w:r>
        <w:rPr>
          <w:rFonts w:hint="eastAsia"/>
        </w:rPr>
        <w:t>安全边际的双击策略</w:t>
      </w:r>
    </w:p>
    <w:p w14:paraId="00D97867" w14:textId="77777777" w:rsidR="00B711F2" w:rsidRDefault="00B711F2" w:rsidP="00B711F2">
      <w:pPr>
        <w:ind w:firstLine="480"/>
      </w:pPr>
      <w:r>
        <w:rPr>
          <w:rFonts w:hint="eastAsia"/>
        </w:rPr>
        <w:t>•</w:t>
      </w:r>
      <w:r>
        <w:rPr>
          <w:rFonts w:hint="eastAsia"/>
        </w:rPr>
        <w:t xml:space="preserve"> </w:t>
      </w:r>
      <w:r>
        <w:rPr>
          <w:rFonts w:hint="eastAsia"/>
        </w:rPr>
        <w:t>“戴维斯双击”原理</w:t>
      </w:r>
    </w:p>
    <w:p w14:paraId="31ECBCD8" w14:textId="77777777" w:rsidR="00B711F2" w:rsidRDefault="00B711F2" w:rsidP="00B711F2">
      <w:pPr>
        <w:ind w:firstLine="480"/>
      </w:pPr>
      <w:r>
        <w:rPr>
          <w:rFonts w:hint="eastAsia"/>
        </w:rPr>
        <w:t>•</w:t>
      </w:r>
      <w:r>
        <w:rPr>
          <w:rFonts w:hint="eastAsia"/>
        </w:rPr>
        <w:t xml:space="preserve"> ROE </w:t>
      </w:r>
      <w:r>
        <w:rPr>
          <w:rFonts w:hint="eastAsia"/>
        </w:rPr>
        <w:t>上行趋势与超额收益</w:t>
      </w:r>
    </w:p>
    <w:p w14:paraId="62157180" w14:textId="77777777" w:rsidR="00B711F2" w:rsidRDefault="00B711F2" w:rsidP="00B711F2">
      <w:pPr>
        <w:ind w:firstLine="480"/>
      </w:pPr>
      <w:r>
        <w:rPr>
          <w:rFonts w:hint="eastAsia"/>
        </w:rPr>
        <w:t>•</w:t>
      </w:r>
      <w:r>
        <w:rPr>
          <w:rFonts w:hint="eastAsia"/>
        </w:rPr>
        <w:t xml:space="preserve"> </w:t>
      </w:r>
      <w:r>
        <w:rPr>
          <w:rFonts w:hint="eastAsia"/>
        </w:rPr>
        <w:t>实盘数据检验：周期股与非周期股对比</w:t>
      </w:r>
    </w:p>
    <w:p w14:paraId="6BB02855" w14:textId="5CCFE360" w:rsidR="00B711F2" w:rsidRDefault="00B711F2" w:rsidP="00B711F2">
      <w:pPr>
        <w:ind w:firstLine="480"/>
      </w:pPr>
      <w:r>
        <w:rPr>
          <w:rFonts w:hint="eastAsia"/>
        </w:rPr>
        <w:t>第</w:t>
      </w:r>
      <w:r w:rsidR="000A13E3">
        <w:rPr>
          <w:rFonts w:hint="eastAsia"/>
        </w:rPr>
        <w:t>7</w:t>
      </w:r>
      <w:r>
        <w:rPr>
          <w:rFonts w:hint="eastAsia"/>
        </w:rPr>
        <w:t>章</w:t>
      </w:r>
      <w:r>
        <w:rPr>
          <w:rFonts w:hint="eastAsia"/>
        </w:rPr>
        <w:t xml:space="preserve"> </w:t>
      </w:r>
      <w:r>
        <w:rPr>
          <w:rFonts w:hint="eastAsia"/>
        </w:rPr>
        <w:t>多因子融合与动态再平衡</w:t>
      </w:r>
    </w:p>
    <w:p w14:paraId="60082B87" w14:textId="77777777" w:rsidR="00B711F2" w:rsidRDefault="00B711F2" w:rsidP="00B711F2">
      <w:pPr>
        <w:ind w:firstLine="480"/>
      </w:pPr>
      <w:r>
        <w:rPr>
          <w:rFonts w:hint="eastAsia"/>
        </w:rPr>
        <w:t>•</w:t>
      </w:r>
      <w:r>
        <w:rPr>
          <w:rFonts w:hint="eastAsia"/>
        </w:rPr>
        <w:t xml:space="preserve"> </w:t>
      </w:r>
      <w:r>
        <w:rPr>
          <w:rFonts w:hint="eastAsia"/>
        </w:rPr>
        <w:t>经典因子（价值、质量、动量）简介</w:t>
      </w:r>
    </w:p>
    <w:p w14:paraId="347AD48D" w14:textId="77777777" w:rsidR="00B711F2" w:rsidRDefault="00B711F2" w:rsidP="00B711F2">
      <w:pPr>
        <w:ind w:firstLine="480"/>
      </w:pPr>
      <w:r>
        <w:rPr>
          <w:rFonts w:hint="eastAsia"/>
        </w:rPr>
        <w:t>•</w:t>
      </w:r>
      <w:r>
        <w:rPr>
          <w:rFonts w:hint="eastAsia"/>
        </w:rPr>
        <w:t xml:space="preserve"> </w:t>
      </w:r>
      <w:r>
        <w:rPr>
          <w:rFonts w:hint="eastAsia"/>
        </w:rPr>
        <w:t>融合思路：从单因子到多因子模型</w:t>
      </w:r>
    </w:p>
    <w:p w14:paraId="6738FE63" w14:textId="77777777" w:rsidR="00B711F2" w:rsidRDefault="00B711F2" w:rsidP="00B711F2">
      <w:pPr>
        <w:ind w:firstLine="480"/>
      </w:pPr>
      <w:r>
        <w:rPr>
          <w:rFonts w:hint="eastAsia"/>
        </w:rPr>
        <w:t>•</w:t>
      </w:r>
      <w:r>
        <w:rPr>
          <w:rFonts w:hint="eastAsia"/>
        </w:rPr>
        <w:t xml:space="preserve"> </w:t>
      </w:r>
      <w:r>
        <w:rPr>
          <w:rFonts w:hint="eastAsia"/>
        </w:rPr>
        <w:t>再平衡频率、仓位管理与风险控制</w:t>
      </w:r>
    </w:p>
    <w:p w14:paraId="182E5E78" w14:textId="77777777" w:rsidR="00B711F2" w:rsidRDefault="00B711F2" w:rsidP="00B711F2">
      <w:pPr>
        <w:ind w:firstLine="480"/>
      </w:pPr>
      <w:r>
        <w:rPr>
          <w:rFonts w:hint="eastAsia"/>
        </w:rPr>
        <w:t>致谢与参考文献</w:t>
      </w:r>
    </w:p>
    <w:p w14:paraId="464BF999" w14:textId="77777777" w:rsidR="00D043CC" w:rsidRDefault="00D043CC" w:rsidP="00B711F2">
      <w:pPr>
        <w:ind w:firstLine="480"/>
      </w:pPr>
    </w:p>
    <w:p w14:paraId="58D68DBD" w14:textId="77777777" w:rsidR="00D043CC" w:rsidRDefault="00D043CC" w:rsidP="00B711F2">
      <w:pPr>
        <w:ind w:firstLine="480"/>
      </w:pPr>
    </w:p>
    <w:p w14:paraId="75326EDA" w14:textId="3BE17C99" w:rsidR="00242C8B" w:rsidRPr="008773EE" w:rsidRDefault="00242C8B" w:rsidP="008773EE">
      <w:pPr>
        <w:ind w:left="62" w:firstLineChars="0" w:firstLine="420"/>
        <w:outlineLvl w:val="0"/>
        <w:rPr>
          <w:b/>
          <w:bCs/>
          <w:sz w:val="36"/>
          <w:szCs w:val="36"/>
        </w:rPr>
      </w:pPr>
      <w:r w:rsidRPr="008773EE">
        <w:rPr>
          <w:rFonts w:hint="eastAsia"/>
          <w:b/>
          <w:bCs/>
          <w:sz w:val="36"/>
          <w:szCs w:val="36"/>
        </w:rPr>
        <w:t>序言</w:t>
      </w:r>
    </w:p>
    <w:p w14:paraId="2AD38A2C" w14:textId="12939679" w:rsidR="00242C8B" w:rsidRDefault="00242C8B" w:rsidP="008773EE">
      <w:pPr>
        <w:ind w:firstLine="480"/>
      </w:pPr>
      <w:r>
        <w:rPr>
          <w:rFonts w:hint="eastAsia"/>
        </w:rPr>
        <w:t>本书缘起：为什么选择</w:t>
      </w:r>
      <w:r>
        <w:rPr>
          <w:rFonts w:hint="eastAsia"/>
        </w:rPr>
        <w:t xml:space="preserve"> PB-ROE </w:t>
      </w:r>
    </w:p>
    <w:p w14:paraId="264238A7" w14:textId="5BA74E79" w:rsidR="002F22EC" w:rsidRDefault="002F22EC" w:rsidP="008773EE">
      <w:pPr>
        <w:ind w:firstLine="480"/>
      </w:pPr>
      <w:r>
        <w:rPr>
          <w:rFonts w:hint="eastAsia"/>
        </w:rPr>
        <w:t>每一位</w:t>
      </w:r>
      <w:r w:rsidR="0010418B">
        <w:rPr>
          <w:rFonts w:hint="eastAsia"/>
        </w:rPr>
        <w:t>投资者</w:t>
      </w:r>
      <w:r w:rsidR="000A2165">
        <w:rPr>
          <w:rFonts w:hint="eastAsia"/>
        </w:rPr>
        <w:t>的</w:t>
      </w:r>
      <w:r w:rsidR="0010418B">
        <w:rPr>
          <w:rFonts w:hint="eastAsia"/>
        </w:rPr>
        <w:t>梦想</w:t>
      </w:r>
      <w:r w:rsidR="000A2165">
        <w:rPr>
          <w:rFonts w:hint="eastAsia"/>
        </w:rPr>
        <w:t>是</w:t>
      </w:r>
      <w:r>
        <w:rPr>
          <w:rFonts w:hint="eastAsia"/>
        </w:rPr>
        <w:t>：如何在众说纷纭的理论和瞬息万变的价格中，找到一条清晰、可靠的路径，实现资产的稳健增值？</w:t>
      </w:r>
    </w:p>
    <w:p w14:paraId="10025505" w14:textId="067F56FF" w:rsidR="0033391D" w:rsidRDefault="002F22EC" w:rsidP="008773EE">
      <w:pPr>
        <w:ind w:firstLine="480"/>
      </w:pPr>
      <w:r>
        <w:rPr>
          <w:rFonts w:hint="eastAsia"/>
        </w:rPr>
        <w:t>价值投资的信条</w:t>
      </w:r>
      <w:r w:rsidR="00803356">
        <w:rPr>
          <w:rFonts w:hint="eastAsia"/>
        </w:rPr>
        <w:t>是</w:t>
      </w:r>
      <w:r>
        <w:rPr>
          <w:rFonts w:hint="eastAsia"/>
        </w:rPr>
        <w:t>——“用便宜的价格买入好公司”。</w:t>
      </w:r>
      <w:r w:rsidR="0049710D" w:rsidRPr="0049710D">
        <w:rPr>
          <w:rFonts w:hint="eastAsia"/>
        </w:rPr>
        <w:t>自格雷厄姆的《证券分析》问世以来，价值投资的发展已经历经</w:t>
      </w:r>
      <w:r w:rsidR="000753FB">
        <w:rPr>
          <w:rFonts w:hint="eastAsia"/>
        </w:rPr>
        <w:t>近</w:t>
      </w:r>
      <w:r w:rsidR="0049710D" w:rsidRPr="0049710D">
        <w:rPr>
          <w:rFonts w:hint="eastAsia"/>
        </w:rPr>
        <w:t>百年的风雨洗礼，</w:t>
      </w:r>
      <w:r>
        <w:rPr>
          <w:rFonts w:hint="eastAsia"/>
        </w:rPr>
        <w:t>这句朴素的智慧穿越了近一个世纪的牛熊，至今依然是投资界的北极星。</w:t>
      </w:r>
    </w:p>
    <w:p w14:paraId="461B6C5B" w14:textId="265B50EC" w:rsidR="001E30AF" w:rsidRDefault="001E30AF" w:rsidP="001E30AF">
      <w:pPr>
        <w:ind w:firstLine="480"/>
      </w:pPr>
      <w:r>
        <w:rPr>
          <w:rFonts w:hint="eastAsia"/>
        </w:rPr>
        <w:t>本书选择以</w:t>
      </w:r>
      <w:r>
        <w:rPr>
          <w:rFonts w:hint="eastAsia"/>
        </w:rPr>
        <w:t xml:space="preserve"> PB-ROE</w:t>
      </w:r>
      <w:r>
        <w:rPr>
          <w:rFonts w:hint="eastAsia"/>
        </w:rPr>
        <w:t>（市净率</w:t>
      </w:r>
      <w:r>
        <w:rPr>
          <w:rFonts w:hint="eastAsia"/>
        </w:rPr>
        <w:t>-</w:t>
      </w:r>
      <w:r>
        <w:rPr>
          <w:rFonts w:hint="eastAsia"/>
        </w:rPr>
        <w:t>净资产收益率）</w:t>
      </w:r>
      <w:r>
        <w:rPr>
          <w:rFonts w:hint="eastAsia"/>
        </w:rPr>
        <w:t xml:space="preserve"> </w:t>
      </w:r>
      <w:r>
        <w:rPr>
          <w:rFonts w:hint="eastAsia"/>
        </w:rPr>
        <w:t>框架作为起点。</w:t>
      </w:r>
    </w:p>
    <w:p w14:paraId="2518B0F5" w14:textId="77777777" w:rsidR="001E30AF" w:rsidRDefault="001E30AF" w:rsidP="001E30AF">
      <w:pPr>
        <w:ind w:firstLine="480"/>
      </w:pPr>
      <w:r>
        <w:rPr>
          <w:rFonts w:hint="eastAsia"/>
        </w:rPr>
        <w:t>PB</w:t>
      </w:r>
      <w:r>
        <w:rPr>
          <w:rFonts w:hint="eastAsia"/>
        </w:rPr>
        <w:t>（市净率），衡量的是“价格”。一个足够低的</w:t>
      </w:r>
      <w:r>
        <w:rPr>
          <w:rFonts w:hint="eastAsia"/>
        </w:rPr>
        <w:t>PB</w:t>
      </w:r>
      <w:r>
        <w:rPr>
          <w:rFonts w:hint="eastAsia"/>
        </w:rPr>
        <w:t>，为我们提供了初步的“安全边际”，它代表了我们为公司的净资产所付出的成本。</w:t>
      </w:r>
    </w:p>
    <w:p w14:paraId="7C0C6908" w14:textId="2E461399" w:rsidR="001E30AF" w:rsidRDefault="001E30AF" w:rsidP="001E30AF">
      <w:pPr>
        <w:ind w:firstLine="480"/>
      </w:pPr>
      <w:r>
        <w:rPr>
          <w:rFonts w:hint="eastAsia"/>
        </w:rPr>
        <w:t>ROE</w:t>
      </w:r>
      <w:r>
        <w:rPr>
          <w:rFonts w:hint="eastAsia"/>
        </w:rPr>
        <w:t>（净资产收益率），衡量的则是“优秀程度”。一个长期稳定且高水平的</w:t>
      </w:r>
      <w:r>
        <w:rPr>
          <w:rFonts w:hint="eastAsia"/>
        </w:rPr>
        <w:t>ROE</w:t>
      </w:r>
      <w:r>
        <w:rPr>
          <w:rFonts w:hint="eastAsia"/>
        </w:rPr>
        <w:t>，是企业盈利能力、管理效率和商业模式护城河的直接体现。</w:t>
      </w:r>
    </w:p>
    <w:p w14:paraId="1CAF1414" w14:textId="3058285F" w:rsidR="003408B1" w:rsidRDefault="001E30AF" w:rsidP="001E30AF">
      <w:pPr>
        <w:ind w:firstLine="480"/>
      </w:pPr>
      <w:r>
        <w:rPr>
          <w:rFonts w:hint="eastAsia"/>
        </w:rPr>
        <w:t>将二者结合，</w:t>
      </w:r>
      <w:r>
        <w:rPr>
          <w:rFonts w:hint="eastAsia"/>
        </w:rPr>
        <w:t>PB-ROE</w:t>
      </w:r>
      <w:r>
        <w:rPr>
          <w:rFonts w:hint="eastAsia"/>
        </w:rPr>
        <w:t>策略的内在逻辑清晰而有力：在市场上寻找那些盈利能力强（高</w:t>
      </w:r>
      <w:r>
        <w:rPr>
          <w:rFonts w:hint="eastAsia"/>
        </w:rPr>
        <w:t>ROE</w:t>
      </w:r>
      <w:r>
        <w:rPr>
          <w:rFonts w:hint="eastAsia"/>
        </w:rPr>
        <w:t>），但估值相对便宜（低</w:t>
      </w:r>
      <w:r>
        <w:rPr>
          <w:rFonts w:hint="eastAsia"/>
        </w:rPr>
        <w:t>PB</w:t>
      </w:r>
      <w:r>
        <w:rPr>
          <w:rFonts w:hint="eastAsia"/>
        </w:rPr>
        <w:t>）的公司。</w:t>
      </w:r>
    </w:p>
    <w:p w14:paraId="4CEAE6A5" w14:textId="2A52966E" w:rsidR="001C2272" w:rsidRDefault="001C2272" w:rsidP="001C2272">
      <w:pPr>
        <w:ind w:firstLine="480"/>
      </w:pPr>
      <w:r>
        <w:rPr>
          <w:rFonts w:hint="eastAsia"/>
        </w:rPr>
        <w:t>一个显而易见的问题是：如果价值投资</w:t>
      </w:r>
      <w:r w:rsidR="00065D8A">
        <w:rPr>
          <w:rFonts w:hint="eastAsia"/>
        </w:rPr>
        <w:t>如此</w:t>
      </w:r>
      <w:r w:rsidR="00ED1988">
        <w:rPr>
          <w:rFonts w:hint="eastAsia"/>
        </w:rPr>
        <w:t>简明易行</w:t>
      </w:r>
      <w:r>
        <w:rPr>
          <w:rFonts w:hint="eastAsia"/>
        </w:rPr>
        <w:t>，为何并非人人都在使用它？</w:t>
      </w:r>
    </w:p>
    <w:p w14:paraId="7308C5FD" w14:textId="1BB8A178" w:rsidR="00C97701" w:rsidRDefault="001C2272" w:rsidP="001C2272">
      <w:pPr>
        <w:ind w:firstLine="480"/>
      </w:pPr>
      <w:r>
        <w:rPr>
          <w:rFonts w:hint="eastAsia"/>
        </w:rPr>
        <w:t>答案在于，它并非</w:t>
      </w:r>
      <w:r w:rsidR="00946603">
        <w:rPr>
          <w:rFonts w:hint="eastAsia"/>
        </w:rPr>
        <w:t>总是</w:t>
      </w:r>
      <w:r>
        <w:rPr>
          <w:rFonts w:hint="eastAsia"/>
        </w:rPr>
        <w:t>有效。</w:t>
      </w:r>
      <w:r w:rsidR="00C375AC">
        <w:rPr>
          <w:rFonts w:hint="eastAsia"/>
        </w:rPr>
        <w:t>如果</w:t>
      </w:r>
      <w:r w:rsidR="00E700D3" w:rsidRPr="00E700D3">
        <w:rPr>
          <w:rFonts w:hint="eastAsia"/>
        </w:rPr>
        <w:t>每个人都会使用它；而如果每个人都用，它可能就会失去效用。如果所有人都购买</w:t>
      </w:r>
      <w:r w:rsidR="00664771">
        <w:rPr>
          <w:rFonts w:hint="eastAsia"/>
        </w:rPr>
        <w:t>价值投资</w:t>
      </w:r>
      <w:r w:rsidR="00E700D3" w:rsidRPr="00E700D3">
        <w:rPr>
          <w:rFonts w:hint="eastAsia"/>
        </w:rPr>
        <w:t>选中的低价股票，那么这些股票的价格立刻就会被抬高。</w:t>
      </w:r>
      <w:r w:rsidR="00E700D3">
        <w:rPr>
          <w:rFonts w:hint="eastAsia"/>
        </w:rPr>
        <w:t>所以，</w:t>
      </w:r>
      <w:r>
        <w:rPr>
          <w:rFonts w:hint="eastAsia"/>
        </w:rPr>
        <w:t>价值投资的道路从不是一条平坦的直线，它常常需要投资者穿越长达数年、充满挑战的“无效期”，期间其表现甚至可能大幅落后于市场平均水平。</w:t>
      </w:r>
    </w:p>
    <w:p w14:paraId="7765A04B" w14:textId="77777777" w:rsidR="00065D8A" w:rsidRDefault="00065D8A" w:rsidP="00065D8A">
      <w:pPr>
        <w:ind w:firstLine="480"/>
      </w:pPr>
      <w:r>
        <w:rPr>
          <w:rFonts w:hint="eastAsia"/>
        </w:rPr>
        <w:t>我们能否做的更好？</w:t>
      </w:r>
    </w:p>
    <w:p w14:paraId="672E1678" w14:textId="77777777" w:rsidR="00D63F71" w:rsidRDefault="00D63F71" w:rsidP="00D63F71">
      <w:pPr>
        <w:ind w:firstLine="480"/>
      </w:pPr>
      <w:r>
        <w:rPr>
          <w:rFonts w:hint="eastAsia"/>
        </w:rPr>
        <w:t>让我们即刻启程。</w:t>
      </w:r>
    </w:p>
    <w:p w14:paraId="1CB31472" w14:textId="77777777" w:rsidR="00CD010B" w:rsidRDefault="00CD010B" w:rsidP="00242C8B">
      <w:pPr>
        <w:ind w:firstLine="480"/>
      </w:pPr>
    </w:p>
    <w:p w14:paraId="2E58BD2C" w14:textId="3220503D" w:rsidR="00242C8B" w:rsidRDefault="00242C8B" w:rsidP="00C375AC">
      <w:pPr>
        <w:ind w:firstLine="480"/>
        <w:outlineLvl w:val="1"/>
      </w:pPr>
      <w:r>
        <w:rPr>
          <w:rFonts w:hint="eastAsia"/>
        </w:rPr>
        <w:t>本书内容与目标读者</w:t>
      </w:r>
    </w:p>
    <w:p w14:paraId="7A1B4822" w14:textId="3CF6E16F" w:rsidR="00C375AC" w:rsidRPr="00151F46" w:rsidRDefault="00151F46" w:rsidP="00151F46">
      <w:pPr>
        <w:ind w:left="62" w:firstLineChars="0" w:firstLine="420"/>
        <w:outlineLvl w:val="0"/>
        <w:rPr>
          <w:b/>
          <w:bCs/>
          <w:sz w:val="36"/>
          <w:szCs w:val="36"/>
        </w:rPr>
      </w:pPr>
      <w:r w:rsidRPr="00151F46">
        <w:rPr>
          <w:rFonts w:hint="eastAsia"/>
          <w:b/>
          <w:bCs/>
          <w:sz w:val="36"/>
          <w:szCs w:val="36"/>
        </w:rPr>
        <w:t>第一篇</w:t>
      </w:r>
      <w:r w:rsidRPr="00151F46">
        <w:rPr>
          <w:rFonts w:hint="eastAsia"/>
          <w:b/>
          <w:bCs/>
          <w:sz w:val="36"/>
          <w:szCs w:val="36"/>
        </w:rPr>
        <w:t xml:space="preserve"> </w:t>
      </w:r>
      <w:r w:rsidRPr="0005235D">
        <w:rPr>
          <w:rFonts w:hint="eastAsia"/>
          <w:b/>
          <w:bCs/>
          <w:sz w:val="36"/>
          <w:szCs w:val="36"/>
        </w:rPr>
        <w:t>从</w:t>
      </w:r>
      <w:r w:rsidRPr="0005235D">
        <w:rPr>
          <w:rFonts w:hint="eastAsia"/>
          <w:b/>
          <w:bCs/>
          <w:sz w:val="36"/>
          <w:szCs w:val="36"/>
        </w:rPr>
        <w:t>PB-ROE</w:t>
      </w:r>
      <w:r w:rsidRPr="0005235D">
        <w:rPr>
          <w:rFonts w:hint="eastAsia"/>
          <w:b/>
          <w:bCs/>
          <w:sz w:val="36"/>
          <w:szCs w:val="36"/>
        </w:rPr>
        <w:t>出发</w:t>
      </w:r>
    </w:p>
    <w:p w14:paraId="5C9330DA" w14:textId="542808D2" w:rsidR="00C375AC" w:rsidRPr="0005235D" w:rsidRDefault="001170B2" w:rsidP="008773EE">
      <w:pPr>
        <w:ind w:left="62" w:firstLineChars="0" w:firstLine="420"/>
        <w:outlineLvl w:val="0"/>
        <w:rPr>
          <w:b/>
          <w:bCs/>
          <w:sz w:val="36"/>
          <w:szCs w:val="36"/>
        </w:rPr>
      </w:pPr>
      <w:r w:rsidRPr="0005235D">
        <w:rPr>
          <w:rFonts w:hint="eastAsia"/>
          <w:b/>
          <w:bCs/>
          <w:sz w:val="36"/>
          <w:szCs w:val="36"/>
        </w:rPr>
        <w:t>第一章</w:t>
      </w:r>
      <w:r w:rsidR="00151F46">
        <w:rPr>
          <w:rFonts w:hint="eastAsia"/>
          <w:b/>
          <w:bCs/>
          <w:sz w:val="36"/>
          <w:szCs w:val="36"/>
        </w:rPr>
        <w:t xml:space="preserve"> </w:t>
      </w:r>
      <w:r w:rsidR="00790634" w:rsidRPr="00790634">
        <w:rPr>
          <w:b/>
          <w:bCs/>
          <w:sz w:val="36"/>
          <w:szCs w:val="36"/>
        </w:rPr>
        <w:t>估值理论与基础策略构建</w:t>
      </w:r>
    </w:p>
    <w:p w14:paraId="48F430CB" w14:textId="65A64C56" w:rsidR="001D3CE1" w:rsidRPr="001D3CE1" w:rsidRDefault="001D3CE1" w:rsidP="001170B2">
      <w:pPr>
        <w:ind w:firstLine="482"/>
        <w:rPr>
          <w:b/>
          <w:bCs/>
        </w:rPr>
      </w:pPr>
      <w:r w:rsidRPr="001D3CE1">
        <w:rPr>
          <w:b/>
          <w:bCs/>
        </w:rPr>
        <w:t xml:space="preserve">1.1 </w:t>
      </w:r>
      <w:r w:rsidRPr="001D3CE1">
        <w:rPr>
          <w:b/>
          <w:bCs/>
        </w:rPr>
        <w:t>引言：连接价值与价格的桥梁</w:t>
      </w:r>
    </w:p>
    <w:p w14:paraId="2445D6FE" w14:textId="462307EF" w:rsidR="00790634" w:rsidRDefault="00790634" w:rsidP="001170B2">
      <w:pPr>
        <w:ind w:firstLine="480"/>
      </w:pPr>
      <w:r w:rsidRPr="00790634">
        <w:t>在现代投资分析中，构建连接公司市场价格与内在价值的桥梁，是所有估值方法的核心目标。市净率（</w:t>
      </w:r>
      <w:r w:rsidRPr="00790634">
        <w:t>P/B</w:t>
      </w:r>
      <w:r w:rsidRPr="00790634">
        <w:t>）作为市场价格的直接体现，反映了投资者愿意为每一单位股东权益所支付的成本；而净资产收益率（</w:t>
      </w:r>
      <w:r w:rsidRPr="00790634">
        <w:t>ROE</w:t>
      </w:r>
      <w:r w:rsidRPr="00790634">
        <w:t>）则是衡量公司利用自有资本创造利润效率的核心指标，是公司内在价值创造能力的直接体现。如何将这两者系统性地结合，一直是金融领域探索的核心问题。</w:t>
      </w:r>
    </w:p>
    <w:p w14:paraId="4A52B12F" w14:textId="52F8C9E8" w:rsidR="00A81D56" w:rsidRDefault="00790634" w:rsidP="001170B2">
      <w:pPr>
        <w:ind w:firstLine="480"/>
        <w:rPr>
          <w:b/>
          <w:bCs/>
        </w:rPr>
      </w:pPr>
      <w:r w:rsidRPr="00790634">
        <w:t>1984</w:t>
      </w:r>
      <w:r w:rsidRPr="00790634">
        <w:t>年，贾罗德</w:t>
      </w:r>
      <w:r w:rsidRPr="00790634">
        <w:t>·W·</w:t>
      </w:r>
      <w:r w:rsidRPr="00790634">
        <w:t>威尔科克斯（</w:t>
      </w:r>
      <w:r w:rsidRPr="00790634">
        <w:t>Jarrod W. Wilcox</w:t>
      </w:r>
      <w:r w:rsidRPr="00790634">
        <w:t>）在《金融分析师杂志》上发表了题为《</w:t>
      </w:r>
      <w:r w:rsidRPr="00790634">
        <w:t>The P/B-ROE Valuation Model</w:t>
      </w:r>
      <w:r w:rsidRPr="00790634">
        <w:t>》的开创性论文。该文首次系统性地构建了市净率（</w:t>
      </w:r>
      <w:r w:rsidRPr="00790634">
        <w:t>P/B</w:t>
      </w:r>
      <w:r w:rsidRPr="00790634">
        <w:t>）与净资产收益率（</w:t>
      </w:r>
      <w:r w:rsidRPr="00790634">
        <w:t>ROE</w:t>
      </w:r>
      <w:r w:rsidRPr="00790634">
        <w:t>）之间的数学关系，为后续基于这两个核心指标的价值评估与量化投资策略，奠定了坚实的理论基石。本章将以此理论为起点，构建并检验一个基础的</w:t>
      </w:r>
      <w:r w:rsidRPr="00790634">
        <w:t>PB-ROE</w:t>
      </w:r>
      <w:r w:rsidRPr="00790634">
        <w:t>投资策略。</w:t>
      </w:r>
    </w:p>
    <w:p w14:paraId="791F7426" w14:textId="77777777" w:rsidR="00790634" w:rsidRDefault="00790634" w:rsidP="00F307E6">
      <w:pPr>
        <w:ind w:firstLine="482"/>
        <w:rPr>
          <w:b/>
          <w:bCs/>
        </w:rPr>
      </w:pPr>
      <w:r w:rsidRPr="00790634">
        <w:rPr>
          <w:b/>
          <w:bCs/>
        </w:rPr>
        <w:t xml:space="preserve">1.2 </w:t>
      </w:r>
      <w:r w:rsidRPr="00790634">
        <w:rPr>
          <w:b/>
          <w:bCs/>
        </w:rPr>
        <w:t>理论框架：从股东回报到估值方程</w:t>
      </w:r>
    </w:p>
    <w:p w14:paraId="68BBE3A9" w14:textId="77777777" w:rsidR="00790634" w:rsidRPr="00790634" w:rsidRDefault="00790634" w:rsidP="00790634">
      <w:pPr>
        <w:ind w:firstLine="482"/>
        <w:rPr>
          <w:b/>
          <w:bCs/>
        </w:rPr>
      </w:pPr>
      <w:r w:rsidRPr="00790634">
        <w:rPr>
          <w:b/>
          <w:bCs/>
        </w:rPr>
        <w:t xml:space="preserve">1.2.1 </w:t>
      </w:r>
      <w:r w:rsidRPr="00790634">
        <w:rPr>
          <w:b/>
          <w:bCs/>
        </w:rPr>
        <w:t>核心逻辑推导</w:t>
      </w:r>
    </w:p>
    <w:p w14:paraId="16AAF044" w14:textId="1DEB9140" w:rsidR="00790634" w:rsidRDefault="00790634" w:rsidP="00F307E6">
      <w:pPr>
        <w:ind w:firstLine="480"/>
      </w:pPr>
      <w:r w:rsidRPr="00790634">
        <w:t>股东回报来源于股息收益与资本利得之和：</w:t>
      </w:r>
    </w:p>
    <w:p w14:paraId="17B30B95" w14:textId="4E3C559D" w:rsidR="00790634" w:rsidRPr="00790634" w:rsidRDefault="00790634" w:rsidP="00F307E6">
      <w:pPr>
        <w:ind w:firstLine="480"/>
      </w:pPr>
      <m:oMathPara>
        <m:oMath>
          <m:r>
            <w:rPr>
              <w:rFonts w:ascii="Cambria Math" w:hAnsi="Cambria Math"/>
            </w:rPr>
            <m:t>k=</m:t>
          </m:r>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P</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P</m:t>
              </m:r>
              <m:ctrlPr>
                <w:rPr>
                  <w:rFonts w:ascii="Cambria Math" w:hAnsi="Cambria Math"/>
                  <w:i/>
                </w:rPr>
              </m:ctrlPr>
            </m:num>
            <m:den>
              <m:r>
                <w:rPr>
                  <w:rFonts w:ascii="Cambria Math" w:hAnsi="Cambria Math"/>
                </w:rPr>
                <m:t>P</m:t>
              </m:r>
              <m:ctrlPr>
                <w:rPr>
                  <w:rFonts w:ascii="Cambria Math" w:hAnsi="Cambria Math"/>
                  <w:i/>
                </w:rPr>
              </m:ctrlPr>
            </m:den>
          </m:f>
        </m:oMath>
      </m:oMathPara>
    </w:p>
    <w:p w14:paraId="43F95DE5" w14:textId="3C790CE4" w:rsidR="002E2879" w:rsidRPr="002E2879" w:rsidRDefault="00790634" w:rsidP="002E2879">
      <w:pPr>
        <w:ind w:firstLine="480"/>
        <w:rPr>
          <w:rFonts w:ascii="Cambria Math" w:hAnsi="Cambria Math"/>
          <w:oMath/>
        </w:rPr>
      </w:pPr>
      <w:r w:rsidRPr="00790634">
        <w:t>其中，</w:t>
      </w:r>
      <w:r w:rsidRPr="00790634">
        <w:t xml:space="preserve">D </w:t>
      </w:r>
      <w:r w:rsidRPr="00790634">
        <w:t>为每股股息，</w:t>
      </w:r>
      <w:r w:rsidRPr="00790634">
        <w:t xml:space="preserve">P </w:t>
      </w:r>
      <w:r w:rsidRPr="00790634">
        <w:t>为股价。将股价</w:t>
      </w:r>
      <w:r w:rsidRPr="00790634">
        <w:t xml:space="preserve"> P </w:t>
      </w:r>
      <w:r w:rsidRPr="00790634">
        <w:t>分解为每股净资产</w:t>
      </w:r>
      <w:r w:rsidRPr="00790634">
        <w:t xml:space="preserve"> B </w:t>
      </w:r>
      <w:r w:rsidRPr="00790634">
        <w:t>与市净率</w:t>
      </w:r>
      <w:r w:rsidRPr="00790634">
        <w:t xml:space="preserve"> P/B </w:t>
      </w:r>
      <w:r w:rsidRPr="00790634">
        <w:t>的乘积，即</w:t>
      </w:r>
      <w:r>
        <w:rPr>
          <w:rFonts w:hint="eastAsia"/>
        </w:rPr>
        <w:t>：</w:t>
      </w:r>
      <m:oMath>
        <m:r>
          <w:rPr>
            <w:rFonts w:ascii="Cambria Math" w:hAnsi="Cambria Math"/>
          </w:rPr>
          <m:t>P = B × (P/B)</m:t>
        </m:r>
      </m:oMath>
      <w:r>
        <w:rPr>
          <w:rFonts w:hint="eastAsia"/>
        </w:rPr>
        <w:t>。</w:t>
      </w:r>
    </w:p>
    <w:p w14:paraId="6262CCCF" w14:textId="795636FE" w:rsidR="00790634" w:rsidRDefault="00790634" w:rsidP="002E2879">
      <w:pPr>
        <w:ind w:firstLine="480"/>
      </w:pPr>
      <m:oMath>
        <m:r>
          <w:rPr>
            <w:rFonts w:ascii="Cambria Math" w:hAnsi="Cambria Math" w:hint="eastAsia"/>
          </w:rPr>
          <m:t>ΔP</m:t>
        </m:r>
        <m:r>
          <w:rPr>
            <w:rFonts w:ascii="Cambria Math" w:hAnsi="Cambria Math"/>
          </w:rPr>
          <m:t xml:space="preserve"> </m:t>
        </m:r>
      </m:oMath>
      <w:r w:rsidRPr="00790634">
        <w:t>可近似拆解为净资产的增长与估值倍数的变化之和：</w:t>
      </w:r>
    </w:p>
    <w:p w14:paraId="3F5AF897" w14:textId="23554DC9" w:rsidR="00790634" w:rsidRPr="002E2879" w:rsidRDefault="00000000" w:rsidP="002E2879">
      <w:pPr>
        <w:ind w:firstLine="480"/>
        <w:rPr>
          <w:rFonts w:ascii="Cambria Math" w:hAnsi="Cambria Math"/>
          <w:oMath/>
        </w:rPr>
      </w:pPr>
      <m:oMathPara>
        <m:oMath>
          <m:f>
            <m:fPr>
              <m:ctrlPr>
                <w:rPr>
                  <w:rFonts w:ascii="Cambria Math" w:hAnsi="Cambria Math"/>
                </w:rPr>
              </m:ctrlPr>
            </m:fPr>
            <m:num>
              <m:r>
                <m:rPr>
                  <m:sty m:val="p"/>
                </m:rPr>
                <w:rPr>
                  <w:rFonts w:ascii="Cambria Math" w:hAnsi="Cambria Math" w:hint="eastAsia"/>
                </w:rPr>
                <m:t>Δ</m:t>
              </m:r>
              <m:r>
                <w:rPr>
                  <w:rFonts w:ascii="Cambria Math" w:hAnsi="Cambria Math"/>
                </w:rPr>
                <m:t>P</m:t>
              </m:r>
              <m:ctrlPr>
                <w:rPr>
                  <w:rFonts w:ascii="Cambria Math" w:hAnsi="Cambria Math"/>
                  <w:i/>
                </w:rPr>
              </m:ctrlPr>
            </m:num>
            <m:den>
              <m:r>
                <w:rPr>
                  <w:rFonts w:ascii="Cambria Math" w:hAnsi="Cambria Math"/>
                </w:rPr>
                <m:t>P</m:t>
              </m:r>
              <m:ctrlPr>
                <w:rPr>
                  <w:rFonts w:ascii="Cambria Math" w:hAnsi="Cambria Math"/>
                  <w:i/>
                </w:rPr>
              </m:ctrlPr>
            </m:den>
          </m:f>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Δ</m:t>
              </m:r>
              <m:r>
                <w:rPr>
                  <w:rFonts w:ascii="Cambria Math" w:hAnsi="Cambria Math"/>
                </w:rPr>
                <m:t>B</m:t>
              </m:r>
              <m:ctrlPr>
                <w:rPr>
                  <w:rFonts w:ascii="Cambria Math" w:hAnsi="Cambria Math"/>
                  <w:i/>
                </w:rPr>
              </m:ctrlPr>
            </m:num>
            <m:den>
              <m:r>
                <w:rPr>
                  <w:rFonts w:ascii="Cambria Math" w:hAnsi="Cambria Math"/>
                </w:rPr>
                <m:t>B</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hint="eastAsia"/>
                </w:rPr>
                <m:t>Δ</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ctrlPr>
                <w:rPr>
                  <w:rFonts w:ascii="Cambria Math" w:hAnsi="Cambria Math"/>
                  <w:i/>
                </w:rPr>
              </m:ctrlPr>
            </m:num>
            <m:den>
              <m:r>
                <w:rPr>
                  <w:rFonts w:ascii="Cambria Math" w:hAnsi="Cambria Math"/>
                </w:rPr>
                <m:t>P</m:t>
              </m:r>
              <m:r>
                <m:rPr>
                  <m:lit/>
                </m:rPr>
                <w:rPr>
                  <w:rFonts w:ascii="Cambria Math" w:hAnsi="Cambria Math"/>
                </w:rPr>
                <m:t>/</m:t>
              </m:r>
              <m:r>
                <w:rPr>
                  <w:rFonts w:ascii="Cambria Math" w:hAnsi="Cambria Math"/>
                </w:rPr>
                <m:t>B</m:t>
              </m:r>
              <m:ctrlPr>
                <w:rPr>
                  <w:rFonts w:ascii="Cambria Math" w:hAnsi="Cambria Math"/>
                  <w:i/>
                </w:rPr>
              </m:ctrlPr>
            </m:den>
          </m:f>
        </m:oMath>
      </m:oMathPara>
    </w:p>
    <w:p w14:paraId="06B282DF" w14:textId="78F35BC6" w:rsidR="002E2879" w:rsidRDefault="002E2879" w:rsidP="002E2879">
      <w:pPr>
        <w:ind w:firstLine="480"/>
      </w:pPr>
      <w:r w:rsidRPr="00F307E6">
        <w:t>将该表达式代回总回报率公式，得到：</w:t>
      </w:r>
    </w:p>
    <w:p w14:paraId="12BB8060" w14:textId="3F4D3EE2" w:rsidR="00790634" w:rsidRPr="002E2879" w:rsidRDefault="00790634" w:rsidP="002E2879">
      <w:pPr>
        <w:ind w:firstLine="480"/>
        <w:rPr>
          <w:rFonts w:ascii="Cambria Math" w:hAnsi="Cambria Math"/>
          <w:oMath/>
        </w:rPr>
      </w:pPr>
      <m:oMathPara>
        <m:oMath>
          <m:r>
            <w:rPr>
              <w:rFonts w:ascii="Cambria Math" w:hAnsi="Cambria Math"/>
            </w:rPr>
            <m:t>k</m:t>
          </m:r>
          <m:r>
            <m:rPr>
              <m:sty m:val="p"/>
            </m:rPr>
            <w:rPr>
              <w:rFonts w:ascii="Cambria Math" w:hAnsi="Cambria Math" w:hint="eastAsia"/>
            </w:rPr>
            <m:t>≈</m:t>
          </m:r>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P</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hint="eastAsia"/>
                </w:rPr>
                <m:t>Δ</m:t>
              </m:r>
              <m:r>
                <w:rPr>
                  <w:rFonts w:ascii="Cambria Math" w:hAnsi="Cambria Math"/>
                </w:rPr>
                <m:t>B</m:t>
              </m:r>
              <m:ctrlPr>
                <w:rPr>
                  <w:rFonts w:ascii="Cambria Math" w:hAnsi="Cambria Math"/>
                  <w:i/>
                </w:rPr>
              </m:ctrlPr>
            </m:num>
            <m:den>
              <m:r>
                <w:rPr>
                  <w:rFonts w:ascii="Cambria Math" w:hAnsi="Cambria Math"/>
                </w:rPr>
                <m:t>B</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hint="eastAsia"/>
                </w:rPr>
                <m:t>Δ</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ctrlPr>
                <w:rPr>
                  <w:rFonts w:ascii="Cambria Math" w:hAnsi="Cambria Math"/>
                  <w:i/>
                </w:rPr>
              </m:ctrlPr>
            </m:num>
            <m:den>
              <m:r>
                <w:rPr>
                  <w:rFonts w:ascii="Cambria Math" w:hAnsi="Cambria Math"/>
                </w:rPr>
                <m:t>P</m:t>
              </m:r>
              <m:r>
                <m:rPr>
                  <m:lit/>
                </m:rPr>
                <w:rPr>
                  <w:rFonts w:ascii="Cambria Math" w:hAnsi="Cambria Math"/>
                </w:rPr>
                <m:t>/</m:t>
              </m:r>
              <m:r>
                <w:rPr>
                  <w:rFonts w:ascii="Cambria Math" w:hAnsi="Cambria Math"/>
                </w:rPr>
                <m:t>B</m:t>
              </m:r>
              <m:ctrlPr>
                <w:rPr>
                  <w:rFonts w:ascii="Cambria Math" w:hAnsi="Cambria Math"/>
                  <w:i/>
                </w:rPr>
              </m:ctrlPr>
            </m:den>
          </m:f>
        </m:oMath>
      </m:oMathPara>
    </w:p>
    <w:p w14:paraId="1345D443" w14:textId="77777777" w:rsidR="00790634" w:rsidRDefault="00790634" w:rsidP="00A81D56">
      <w:pPr>
        <w:ind w:firstLine="480"/>
      </w:pPr>
      <w:r w:rsidRPr="00790634">
        <w:t>公司的净资产增长，主要来源于将未分红的利润进行再投资。这部分留存收益的增长率可以用</w:t>
      </w:r>
      <w:r w:rsidRPr="00790634">
        <w:t>ROE</w:t>
      </w:r>
      <w:r w:rsidRPr="00790634">
        <w:t>与留存率</w:t>
      </w:r>
      <w:r w:rsidRPr="00790634">
        <w:t xml:space="preserve"> (1−d) </w:t>
      </w:r>
      <w:r w:rsidRPr="00790634">
        <w:t>的乘积来表示，即</w:t>
      </w:r>
      <w:r>
        <w:rPr>
          <w:rFonts w:hint="eastAsia"/>
        </w:rPr>
        <w:t>：</w:t>
      </w:r>
    </w:p>
    <w:p w14:paraId="6D5F2A09" w14:textId="4977C823" w:rsidR="00790634" w:rsidRPr="00790634" w:rsidRDefault="00000000" w:rsidP="00A81D56">
      <w:pPr>
        <w:ind w:firstLine="480"/>
      </w:pPr>
      <m:oMathPara>
        <m:oMath>
          <m:f>
            <m:fPr>
              <m:ctrlPr>
                <w:rPr>
                  <w:rFonts w:ascii="Cambria Math" w:hAnsi="Cambria Math"/>
                </w:rPr>
              </m:ctrlPr>
            </m:fPr>
            <m:num>
              <m:r>
                <m:rPr>
                  <m:sty m:val="p"/>
                </m:rPr>
                <w:rPr>
                  <w:rFonts w:ascii="Cambria Math" w:hAnsi="Cambria Math" w:hint="eastAsia"/>
                </w:rPr>
                <m:t>Δ</m:t>
              </m:r>
              <m:r>
                <w:rPr>
                  <w:rFonts w:ascii="Cambria Math" w:hAnsi="Cambria Math"/>
                </w:rPr>
                <m:t>B</m:t>
              </m:r>
              <m:ctrlPr>
                <w:rPr>
                  <w:rFonts w:ascii="Cambria Math" w:hAnsi="Cambria Math"/>
                  <w:i/>
                </w:rPr>
              </m:ctrlPr>
            </m:num>
            <m:den>
              <m:r>
                <w:rPr>
                  <w:rFonts w:ascii="Cambria Math" w:hAnsi="Cambria Math"/>
                </w:rPr>
                <m:t>B</m:t>
              </m:r>
              <m:ctrlPr>
                <w:rPr>
                  <w:rFonts w:ascii="Cambria Math" w:hAnsi="Cambria Math"/>
                  <w:i/>
                </w:rPr>
              </m:ctrlPr>
            </m:den>
          </m:f>
          <m:r>
            <w:rPr>
              <w:rFonts w:ascii="Cambria Math" w:hAnsi="Cambria Math"/>
            </w:rPr>
            <m:t>=ROE</m:t>
          </m:r>
          <m:r>
            <m:rPr>
              <m:sty m:val="p"/>
            </m:rPr>
            <w:rPr>
              <w:rFonts w:ascii="Cambria Math" w:hAnsi="Cambria Math"/>
            </w:rPr>
            <m:t>⋅</m:t>
          </m:r>
          <m:d>
            <m:dPr>
              <m:ctrlPr>
                <w:rPr>
                  <w:rFonts w:ascii="Cambria Math" w:hAnsi="Cambria Math"/>
                  <w:i/>
                </w:rPr>
              </m:ctrlPr>
            </m:dPr>
            <m:e>
              <m:r>
                <w:rPr>
                  <w:rFonts w:ascii="Cambria Math" w:hAnsi="Cambria Math"/>
                </w:rPr>
                <m:t>1-d</m:t>
              </m:r>
            </m:e>
          </m:d>
        </m:oMath>
      </m:oMathPara>
    </w:p>
    <w:p w14:paraId="6E571C9F" w14:textId="339DD68C" w:rsidR="00790634" w:rsidRDefault="00790634" w:rsidP="00A81D56">
      <w:pPr>
        <w:ind w:firstLine="480"/>
      </w:pPr>
      <w:r w:rsidRPr="00790634">
        <w:t>同时，股息</w:t>
      </w:r>
      <w:r w:rsidRPr="00790634">
        <w:t xml:space="preserve"> D </w:t>
      </w:r>
      <w:r w:rsidRPr="00790634">
        <w:t>等于净利润乘以分红率</w:t>
      </w:r>
      <w:r w:rsidRPr="00790634">
        <w:t xml:space="preserve"> d</w:t>
      </w:r>
      <w:r w:rsidRPr="00790634">
        <w:t>，而净利润又等于</w:t>
      </w:r>
      <w:r w:rsidRPr="00790634">
        <w:t xml:space="preserve"> </w:t>
      </w:r>
      <m:oMath>
        <m:r>
          <w:rPr>
            <w:rFonts w:ascii="Cambria Math" w:hAnsi="Cambria Math"/>
          </w:rPr>
          <m:t>ROE⋅B</m:t>
        </m:r>
      </m:oMath>
      <w:r w:rsidR="002557F3">
        <w:rPr>
          <w:rFonts w:hint="eastAsia"/>
        </w:rPr>
        <w:t>,</w:t>
      </w:r>
      <w:r w:rsidR="002557F3" w:rsidRPr="002557F3">
        <w:t xml:space="preserve"> </w:t>
      </w:r>
      <w:r w:rsidR="002557F3" w:rsidRPr="002557F3">
        <w:t>故</w:t>
      </w:r>
      <w:r w:rsidR="002557F3">
        <w:rPr>
          <w:rFonts w:hint="eastAsia"/>
        </w:rPr>
        <w:t>:</w:t>
      </w:r>
    </w:p>
    <w:p w14:paraId="3F482052" w14:textId="01CC8444" w:rsidR="002557F3" w:rsidRPr="002557F3" w:rsidRDefault="002557F3" w:rsidP="00A81D56">
      <w:pPr>
        <w:ind w:firstLine="480"/>
      </w:pPr>
      <m:oMathPara>
        <m:oMath>
          <m:r>
            <w:rPr>
              <w:rFonts w:ascii="Cambria Math" w:hAnsi="Cambria Math"/>
            </w:rPr>
            <m:t xml:space="preserve">D = B </m:t>
          </m:r>
          <m:r>
            <m:rPr>
              <m:sty m:val="p"/>
            </m:rPr>
            <w:rPr>
              <w:rFonts w:ascii="Cambria Math" w:hAnsi="Cambria Math"/>
            </w:rPr>
            <m:t>⋅</m:t>
          </m:r>
          <m:r>
            <w:rPr>
              <w:rFonts w:ascii="Cambria Math" w:hAnsi="Cambria Math"/>
            </w:rPr>
            <m:t xml:space="preserve">ROE </m:t>
          </m:r>
          <m:r>
            <m:rPr>
              <m:sty m:val="p"/>
            </m:rPr>
            <w:rPr>
              <w:rFonts w:ascii="Cambria Math" w:hAnsi="Cambria Math"/>
            </w:rPr>
            <m:t>⋅</m:t>
          </m:r>
          <m:r>
            <w:rPr>
              <w:rFonts w:ascii="Cambria Math" w:hAnsi="Cambria Math"/>
            </w:rPr>
            <m:t>d</m:t>
          </m:r>
        </m:oMath>
      </m:oMathPara>
    </w:p>
    <w:p w14:paraId="4E10A8E0" w14:textId="0AD19752" w:rsidR="002557F3" w:rsidRDefault="002557F3" w:rsidP="00A81D56">
      <w:pPr>
        <w:ind w:firstLine="480"/>
      </w:pPr>
      <w:r w:rsidRPr="002557F3">
        <w:t>代入上式并整理，可得市净率的变化率：</w:t>
      </w:r>
    </w:p>
    <w:p w14:paraId="368F0978" w14:textId="1414E583" w:rsidR="002557F3" w:rsidRDefault="00000000" w:rsidP="002557F3">
      <w:pPr>
        <w:ind w:firstLine="480"/>
        <w:jc w:val="center"/>
      </w:pPr>
      <m:oMathPara>
        <m:oMath>
          <m:f>
            <m:fPr>
              <m:ctrlPr>
                <w:rPr>
                  <w:rFonts w:ascii="Cambria Math" w:hAnsi="Cambria Math"/>
                </w:rPr>
              </m:ctrlPr>
            </m:fPr>
            <m:num>
              <m:r>
                <m:rPr>
                  <m:sty m:val="p"/>
                </m:rPr>
                <w:rPr>
                  <w:rFonts w:ascii="Cambria Math" w:hAnsi="Cambria Math" w:hint="eastAsia"/>
                </w:rPr>
                <m:t>Δ</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ctrlPr>
                <w:rPr>
                  <w:rFonts w:ascii="Cambria Math" w:hAnsi="Cambria Math"/>
                  <w:i/>
                </w:rPr>
              </m:ctrlPr>
            </m:num>
            <m:den>
              <m:r>
                <w:rPr>
                  <w:rFonts w:ascii="Cambria Math" w:hAnsi="Cambria Math"/>
                </w:rPr>
                <m:t>P</m:t>
              </m:r>
              <m:r>
                <m:rPr>
                  <m:lit/>
                </m:rPr>
                <w:rPr>
                  <w:rFonts w:ascii="Cambria Math" w:hAnsi="Cambria Math"/>
                </w:rPr>
                <m:t>/</m:t>
              </m:r>
              <m:r>
                <w:rPr>
                  <w:rFonts w:ascii="Cambria Math" w:hAnsi="Cambria Math"/>
                </w:rPr>
                <m:t>B</m:t>
              </m:r>
              <m:ctrlPr>
                <w:rPr>
                  <w:rFonts w:ascii="Cambria Math" w:hAnsi="Cambria Math"/>
                  <w:i/>
                </w:rPr>
              </m:ctrlPr>
            </m:den>
          </m:f>
          <m:r>
            <m:rPr>
              <m:sty m:val="p"/>
            </m:rPr>
            <w:rPr>
              <w:rFonts w:ascii="Cambria Math" w:hAnsi="Cambria Math" w:hint="eastAsia"/>
            </w:rPr>
            <m:t>≈</m:t>
          </m:r>
          <m:r>
            <w:rPr>
              <w:rFonts w:ascii="Cambria Math" w:hAnsi="Cambria Math"/>
            </w:rPr>
            <m:t>k-</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ROE</m:t>
              </m:r>
              <m:r>
                <m:rPr>
                  <m:sty m:val="p"/>
                </m:rPr>
                <w:rPr>
                  <w:rFonts w:ascii="Cambria Math" w:hAnsi="Cambria Math"/>
                </w:rPr>
                <m:t>⋅</m:t>
              </m:r>
              <m:r>
                <w:rPr>
                  <w:rFonts w:ascii="Cambria Math" w:hAnsi="Cambria Math"/>
                </w:rPr>
                <m:t>d</m:t>
              </m:r>
              <m:ctrlPr>
                <w:rPr>
                  <w:rFonts w:ascii="Cambria Math" w:hAnsi="Cambria Math"/>
                  <w:i/>
                </w:rPr>
              </m:ctrlPr>
            </m:num>
            <m:den>
              <m:r>
                <w:rPr>
                  <w:rFonts w:ascii="Cambria Math" w:hAnsi="Cambria Math"/>
                </w:rPr>
                <m:t>P</m:t>
              </m:r>
              <m:ctrlPr>
                <w:rPr>
                  <w:rFonts w:ascii="Cambria Math" w:hAnsi="Cambria Math"/>
                  <w:i/>
                </w:rPr>
              </m:ctrlPr>
            </m:den>
          </m:f>
          <m:r>
            <w:rPr>
              <w:rFonts w:ascii="Cambria Math" w:hAnsi="Cambria Math"/>
            </w:rPr>
            <m:t>-ROE</m:t>
          </m:r>
          <m:r>
            <m:rPr>
              <m:sty m:val="p"/>
            </m:rP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=k-ROE</m:t>
          </m:r>
        </m:oMath>
      </m:oMathPara>
    </w:p>
    <w:p w14:paraId="54043E9C" w14:textId="77777777" w:rsidR="002557F3" w:rsidRPr="002557F3" w:rsidRDefault="002557F3" w:rsidP="002557F3">
      <w:pPr>
        <w:ind w:firstLine="480"/>
      </w:pPr>
      <w:r w:rsidRPr="002557F3">
        <w:t>将差分形式转换为连续复利的微分形式，并令</w:t>
      </w:r>
      <w:r w:rsidRPr="002557F3">
        <w:t xml:space="preserve"> x(t)=P/B</w:t>
      </w:r>
      <w:r w:rsidRPr="002557F3">
        <w:t>，上式变为关于</w:t>
      </w:r>
      <w:r w:rsidRPr="002557F3">
        <w:t xml:space="preserve"> x(t) </w:t>
      </w:r>
      <w:r w:rsidRPr="002557F3">
        <w:t>的微分方程。在引入两个核心假设后，即可求解：</w:t>
      </w:r>
    </w:p>
    <w:p w14:paraId="41E2BF76" w14:textId="77777777" w:rsidR="002557F3" w:rsidRPr="002557F3" w:rsidRDefault="002557F3" w:rsidP="002557F3">
      <w:pPr>
        <w:ind w:firstLine="482"/>
      </w:pPr>
      <w:r w:rsidRPr="002557F3">
        <w:rPr>
          <w:b/>
          <w:bCs/>
        </w:rPr>
        <w:t>投资期限（</w:t>
      </w:r>
      <w:r w:rsidRPr="002557F3">
        <w:rPr>
          <w:b/>
          <w:bCs/>
        </w:rPr>
        <w:t>T</w:t>
      </w:r>
      <w:r w:rsidRPr="002557F3">
        <w:rPr>
          <w:b/>
          <w:bCs/>
        </w:rPr>
        <w:t>）</w:t>
      </w:r>
      <w:r w:rsidRPr="002557F3">
        <w:t>：市场参与者对一个公司的估值判断，存在一个隐含的投资期限</w:t>
      </w:r>
      <w:r w:rsidRPr="002557F3">
        <w:t xml:space="preserve"> T</w:t>
      </w:r>
      <w:r w:rsidRPr="002557F3">
        <w:t>。</w:t>
      </w:r>
    </w:p>
    <w:p w14:paraId="32D7F513" w14:textId="77777777" w:rsidR="002557F3" w:rsidRPr="002557F3" w:rsidRDefault="002557F3" w:rsidP="002557F3">
      <w:pPr>
        <w:ind w:firstLine="482"/>
      </w:pPr>
      <w:r w:rsidRPr="002557F3">
        <w:rPr>
          <w:b/>
          <w:bCs/>
        </w:rPr>
        <w:t>均值回归</w:t>
      </w:r>
      <w:r w:rsidRPr="002557F3">
        <w:t>：市场预期在</w:t>
      </w:r>
      <w:r w:rsidRPr="002557F3">
        <w:t xml:space="preserve"> T </w:t>
      </w:r>
      <w:r w:rsidRPr="002557F3">
        <w:t>年结束时，公司的估值水平将回归其基本面，即市净率</w:t>
      </w:r>
      <w:r w:rsidRPr="002557F3">
        <w:t xml:space="preserve"> P/B </w:t>
      </w:r>
      <w:r w:rsidRPr="002557F3">
        <w:t>回归至</w:t>
      </w:r>
      <w:r w:rsidRPr="002557F3">
        <w:t>1</w:t>
      </w:r>
      <w:r w:rsidRPr="002557F3">
        <w:t>。</w:t>
      </w:r>
    </w:p>
    <w:p w14:paraId="21E1A043" w14:textId="77777777" w:rsidR="002557F3" w:rsidRPr="002557F3" w:rsidRDefault="002557F3" w:rsidP="002557F3">
      <w:pPr>
        <w:ind w:firstLine="480"/>
      </w:pPr>
      <w:r w:rsidRPr="002557F3">
        <w:t>在上述假设下，对该微分方程进行积分求解，最终可以得出一个静态的估值方程，它清晰地揭示了在连续复利与均值回归的前提下，市净率与</w:t>
      </w:r>
      <w:r w:rsidRPr="002557F3">
        <w:t>ROE</w:t>
      </w:r>
      <w:r w:rsidRPr="002557F3">
        <w:t>、股东要求回报率</w:t>
      </w:r>
      <w:r w:rsidRPr="002557F3">
        <w:t xml:space="preserve"> k</w:t>
      </w:r>
      <w:r w:rsidRPr="002557F3">
        <w:t>、估值期</w:t>
      </w:r>
      <w:r w:rsidRPr="002557F3">
        <w:t xml:space="preserve"> T </w:t>
      </w:r>
      <w:r w:rsidRPr="002557F3">
        <w:t>之间的关系：</w:t>
      </w:r>
    </w:p>
    <w:p w14:paraId="0876633A" w14:textId="4C3CE868" w:rsidR="00A11957" w:rsidRDefault="00A11957" w:rsidP="00A11957">
      <w:pPr>
        <w:ind w:firstLine="480"/>
      </w:pPr>
      <m:oMathPara>
        <m:oMath>
          <m:r>
            <w:rPr>
              <w:rFonts w:ascii="Cambria Math" w:hAnsi="Cambria Math"/>
            </w:rPr>
            <m:t>l</m:t>
          </m:r>
          <m:r>
            <w:rPr>
              <w:rFonts w:ascii="Cambria Math" w:hAnsi="Cambria Math" w:hint="eastAsia"/>
            </w:rPr>
            <m:t>n</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hint="eastAsia"/>
                </w:rPr>
                <m:t>ROE</m:t>
              </m:r>
              <m:r>
                <w:rPr>
                  <w:rFonts w:ascii="Cambria Math" w:hAnsi="Cambria Math"/>
                </w:rPr>
                <m:t>-k</m:t>
              </m:r>
            </m:e>
          </m:d>
          <m:r>
            <w:rPr>
              <w:rFonts w:ascii="Cambria Math" w:hAnsi="Cambria Math"/>
            </w:rPr>
            <m:t>×T</m:t>
          </m:r>
        </m:oMath>
      </m:oMathPara>
    </w:p>
    <w:p w14:paraId="489224AE" w14:textId="4C52A4B6" w:rsidR="00A461D7" w:rsidRDefault="002557F3" w:rsidP="00A461D7">
      <w:pPr>
        <w:ind w:firstLine="480"/>
      </w:pPr>
      <w:r w:rsidRPr="002557F3">
        <w:t>此方程是整个</w:t>
      </w:r>
      <w:r w:rsidRPr="002557F3">
        <w:t>PB-ROE</w:t>
      </w:r>
      <w:r w:rsidRPr="002557F3">
        <w:t>策略框架的理论核心。</w:t>
      </w:r>
    </w:p>
    <w:p w14:paraId="38794FBB" w14:textId="77777777" w:rsidR="002557F3" w:rsidRPr="002557F3" w:rsidRDefault="002557F3" w:rsidP="002557F3">
      <w:pPr>
        <w:ind w:firstLine="480"/>
      </w:pPr>
      <w:r w:rsidRPr="002557F3">
        <w:t>根据上述理论推导出的公式，我们有了评估股票价值的第一条基本准则：</w:t>
      </w:r>
      <w:r w:rsidRPr="002557F3">
        <w:t xml:space="preserve"> </w:t>
      </w:r>
    </w:p>
    <w:p w14:paraId="147946F2" w14:textId="350C6B33" w:rsidR="002557F3" w:rsidRDefault="002557F3" w:rsidP="002557F3">
      <w:pPr>
        <w:ind w:firstLine="482"/>
        <w:rPr>
          <w:b/>
          <w:bCs/>
        </w:rPr>
      </w:pPr>
      <w:r w:rsidRPr="002557F3">
        <w:rPr>
          <w:b/>
          <w:bCs/>
        </w:rPr>
        <w:t>规则一：在其他条件（</w:t>
      </w:r>
      <w:r w:rsidRPr="002557F3">
        <w:rPr>
          <w:b/>
          <w:bCs/>
        </w:rPr>
        <w:t>k, T</w:t>
      </w:r>
      <w:r w:rsidRPr="002557F3">
        <w:rPr>
          <w:b/>
          <w:bCs/>
        </w:rPr>
        <w:t>）相同的情况下，更高的盈利能力（</w:t>
      </w:r>
      <w:r w:rsidRPr="002557F3">
        <w:rPr>
          <w:b/>
          <w:bCs/>
        </w:rPr>
        <w:t>ROE</w:t>
      </w:r>
      <w:r w:rsidRPr="002557F3">
        <w:rPr>
          <w:b/>
          <w:bCs/>
        </w:rPr>
        <w:t>）理应获得更高的估值（</w:t>
      </w:r>
      <w:r w:rsidRPr="002557F3">
        <w:rPr>
          <w:b/>
          <w:bCs/>
        </w:rPr>
        <w:t>P/B</w:t>
      </w:r>
      <w:r w:rsidRPr="002557F3">
        <w:rPr>
          <w:b/>
          <w:bCs/>
        </w:rPr>
        <w:t>）。</w:t>
      </w:r>
    </w:p>
    <w:p w14:paraId="5B950369" w14:textId="77E80D6A" w:rsidR="002557F3" w:rsidRPr="002557F3" w:rsidRDefault="002557F3" w:rsidP="002557F3">
      <w:pPr>
        <w:ind w:firstLine="482"/>
        <w:rPr>
          <w:b/>
          <w:bCs/>
        </w:rPr>
      </w:pPr>
      <w:r w:rsidRPr="002557F3">
        <w:rPr>
          <w:b/>
          <w:bCs/>
        </w:rPr>
        <w:t>1.</w:t>
      </w:r>
      <w:r>
        <w:rPr>
          <w:rFonts w:hint="eastAsia"/>
          <w:b/>
          <w:bCs/>
        </w:rPr>
        <w:t>3</w:t>
      </w:r>
      <w:r w:rsidRPr="002557F3">
        <w:rPr>
          <w:b/>
          <w:bCs/>
        </w:rPr>
        <w:t xml:space="preserve"> A</w:t>
      </w:r>
      <w:r w:rsidRPr="002557F3">
        <w:rPr>
          <w:b/>
          <w:bCs/>
        </w:rPr>
        <w:t>股市场的实证检验</w:t>
      </w:r>
    </w:p>
    <w:p w14:paraId="7EB0AFAD" w14:textId="645A10C3" w:rsidR="002557F3" w:rsidRPr="002557F3" w:rsidRDefault="002557F3" w:rsidP="002557F3">
      <w:pPr>
        <w:ind w:firstLine="482"/>
        <w:rPr>
          <w:b/>
          <w:bCs/>
        </w:rPr>
      </w:pPr>
      <w:r w:rsidRPr="002557F3">
        <w:rPr>
          <w:b/>
          <w:bCs/>
        </w:rPr>
        <w:t>1.</w:t>
      </w:r>
      <w:r>
        <w:rPr>
          <w:rFonts w:hint="eastAsia"/>
          <w:b/>
          <w:bCs/>
        </w:rPr>
        <w:t>3</w:t>
      </w:r>
      <w:r w:rsidRPr="002557F3">
        <w:rPr>
          <w:b/>
          <w:bCs/>
        </w:rPr>
        <w:t xml:space="preserve">.1 </w:t>
      </w:r>
      <w:r w:rsidRPr="002557F3">
        <w:rPr>
          <w:b/>
          <w:bCs/>
        </w:rPr>
        <w:t>盈利能力与估值的横截面证据</w:t>
      </w:r>
    </w:p>
    <w:p w14:paraId="377C7BAD" w14:textId="601D611E" w:rsidR="002557F3" w:rsidRDefault="002557F3" w:rsidP="002557F3">
      <w:pPr>
        <w:ind w:firstLine="480"/>
        <w:jc w:val="left"/>
      </w:pPr>
      <w:r w:rsidRPr="002557F3">
        <w:t>为了检验上述理论关系在真实市场中的表现，我们对沪深</w:t>
      </w:r>
      <w:r w:rsidRPr="002557F3">
        <w:t>A</w:t>
      </w:r>
      <w:r w:rsidRPr="002557F3">
        <w:t>股市场的横截面数据进行了实证分析。下图展示了在两个不同时间点，</w:t>
      </w:r>
      <w:r w:rsidRPr="002557F3">
        <w:t>A</w:t>
      </w:r>
      <w:r w:rsidRPr="002557F3">
        <w:t>股市场的估值状况快照。</w:t>
      </w:r>
    </w:p>
    <w:p w14:paraId="6AB7A8E6" w14:textId="68C57866" w:rsidR="00A20106" w:rsidRDefault="00A20106" w:rsidP="002557F3">
      <w:pPr>
        <w:ind w:firstLine="480"/>
        <w:jc w:val="left"/>
      </w:pPr>
      <w:r>
        <w:rPr>
          <w:noProof/>
        </w:rPr>
        <w:drawing>
          <wp:inline distT="0" distB="0" distL="0" distR="0" wp14:anchorId="665A1305" wp14:editId="2D81D497">
            <wp:extent cx="5267325" cy="6925945"/>
            <wp:effectExtent l="0" t="0" r="9525" b="8255"/>
            <wp:docPr id="17904231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6925945"/>
                    </a:xfrm>
                    <a:prstGeom prst="rect">
                      <a:avLst/>
                    </a:prstGeom>
                    <a:noFill/>
                  </pic:spPr>
                </pic:pic>
              </a:graphicData>
            </a:graphic>
          </wp:inline>
        </w:drawing>
      </w:r>
    </w:p>
    <w:p w14:paraId="35A242DF" w14:textId="66477803" w:rsidR="009B302A" w:rsidRDefault="00A20106" w:rsidP="002557F3">
      <w:pPr>
        <w:ind w:firstLine="480"/>
        <w:jc w:val="center"/>
      </w:pPr>
      <w:r w:rsidRPr="00A20106">
        <w:t>图</w:t>
      </w:r>
      <w:r w:rsidRPr="00A20106">
        <w:t>1.1</w:t>
      </w:r>
      <w:r w:rsidRPr="00A20106">
        <w:t>：</w:t>
      </w:r>
      <w:r w:rsidRPr="00A20106">
        <w:t>ln(P/B)-ROE</w:t>
      </w:r>
      <w:r w:rsidRPr="00A20106">
        <w:t>关系在</w:t>
      </w:r>
      <w:r w:rsidRPr="00A20106">
        <w:t>2024</w:t>
      </w:r>
      <w:r w:rsidRPr="00A20106">
        <w:t>年（</w:t>
      </w:r>
      <w:r>
        <w:rPr>
          <w:rFonts w:hint="eastAsia"/>
        </w:rPr>
        <w:t>上</w:t>
      </w:r>
      <w:r w:rsidRPr="00A20106">
        <w:t>）与</w:t>
      </w:r>
      <w:r w:rsidRPr="00A20106">
        <w:t>2017</w:t>
      </w:r>
      <w:r w:rsidRPr="00A20106">
        <w:t>年（</w:t>
      </w:r>
      <w:r>
        <w:rPr>
          <w:rFonts w:hint="eastAsia"/>
        </w:rPr>
        <w:t>下</w:t>
      </w:r>
      <w:r w:rsidRPr="00A20106">
        <w:t>）的截面对比</w:t>
      </w:r>
    </w:p>
    <w:p w14:paraId="3609CAC4" w14:textId="77777777" w:rsidR="00A20106" w:rsidRDefault="00A20106" w:rsidP="00A20106">
      <w:pPr>
        <w:ind w:firstLine="480"/>
      </w:pPr>
      <w:r>
        <w:rPr>
          <w:rFonts w:hint="eastAsia"/>
        </w:rPr>
        <w:t>图</w:t>
      </w:r>
      <w:r>
        <w:rPr>
          <w:rFonts w:hint="eastAsia"/>
        </w:rPr>
        <w:t>1.1</w:t>
      </w:r>
      <w:r>
        <w:rPr>
          <w:rFonts w:hint="eastAsia"/>
        </w:rPr>
        <w:t>清晰地展示了，无论是在</w:t>
      </w:r>
      <w:r>
        <w:rPr>
          <w:rFonts w:hint="eastAsia"/>
        </w:rPr>
        <w:t>2024</w:t>
      </w:r>
      <w:r>
        <w:rPr>
          <w:rFonts w:hint="eastAsia"/>
        </w:rPr>
        <w:t>年底还是</w:t>
      </w:r>
      <w:r>
        <w:rPr>
          <w:rFonts w:hint="eastAsia"/>
        </w:rPr>
        <w:t>2017</w:t>
      </w:r>
      <w:r>
        <w:rPr>
          <w:rFonts w:hint="eastAsia"/>
        </w:rPr>
        <w:t>年底，</w:t>
      </w:r>
      <w:r>
        <w:rPr>
          <w:rFonts w:hint="eastAsia"/>
        </w:rPr>
        <w:t>A</w:t>
      </w:r>
      <w:r>
        <w:rPr>
          <w:rFonts w:hint="eastAsia"/>
        </w:rPr>
        <w:t>股市场的</w:t>
      </w:r>
      <w:r>
        <w:rPr>
          <w:rFonts w:hint="eastAsia"/>
        </w:rPr>
        <w:t>ln(P/B)</w:t>
      </w:r>
      <w:r>
        <w:rPr>
          <w:rFonts w:hint="eastAsia"/>
        </w:rPr>
        <w:t>与</w:t>
      </w:r>
      <w:r>
        <w:rPr>
          <w:rFonts w:hint="eastAsia"/>
        </w:rPr>
        <w:t>ROE</w:t>
      </w:r>
      <w:r>
        <w:rPr>
          <w:rFonts w:hint="eastAsia"/>
        </w:rPr>
        <w:t>之间均存在显著的正相关关系，这与我们的理论预期完全吻合。图中向上倾斜的趋势线，直观地验证了“规则一”的有效性。</w:t>
      </w:r>
    </w:p>
    <w:p w14:paraId="17FDF117" w14:textId="77777777" w:rsidR="00A20106" w:rsidRDefault="00A20106" w:rsidP="00A20106">
      <w:pPr>
        <w:ind w:firstLine="480"/>
      </w:pPr>
      <w:r>
        <w:rPr>
          <w:rFonts w:hint="eastAsia"/>
        </w:rPr>
        <w:t>在假设股东要求回报率</w:t>
      </w:r>
      <w:r>
        <w:rPr>
          <w:rFonts w:hint="eastAsia"/>
        </w:rPr>
        <w:t xml:space="preserve"> k </w:t>
      </w:r>
      <w:r>
        <w:rPr>
          <w:rFonts w:hint="eastAsia"/>
        </w:rPr>
        <w:t>在样本中大体一致的前提下，回归线的斜率在数值上可以近似理解为市场投资者隐含的投资期限</w:t>
      </w:r>
      <w:r>
        <w:rPr>
          <w:rFonts w:hint="eastAsia"/>
        </w:rPr>
        <w:t xml:space="preserve"> T</w:t>
      </w:r>
      <w:r>
        <w:rPr>
          <w:rFonts w:hint="eastAsia"/>
        </w:rPr>
        <w:t>。</w:t>
      </w:r>
    </w:p>
    <w:p w14:paraId="771F184E" w14:textId="77777777" w:rsidR="00A20106" w:rsidRDefault="00A20106" w:rsidP="00A20106">
      <w:pPr>
        <w:ind w:firstLine="480"/>
      </w:pPr>
      <w:r>
        <w:rPr>
          <w:rFonts w:hint="eastAsia"/>
        </w:rPr>
        <w:t>2024</w:t>
      </w:r>
      <w:r>
        <w:rPr>
          <w:rFonts w:hint="eastAsia"/>
        </w:rPr>
        <w:t>年底的斜率为</w:t>
      </w:r>
      <w:r>
        <w:rPr>
          <w:rFonts w:hint="eastAsia"/>
        </w:rPr>
        <w:t>1.93</w:t>
      </w:r>
      <w:r>
        <w:rPr>
          <w:rFonts w:hint="eastAsia"/>
        </w:rPr>
        <w:t>，意味着当时市场对公司价值评估的平均隐含期限约为</w:t>
      </w:r>
      <w:r>
        <w:rPr>
          <w:rFonts w:hint="eastAsia"/>
        </w:rPr>
        <w:t>1.93</w:t>
      </w:r>
      <w:r>
        <w:rPr>
          <w:rFonts w:hint="eastAsia"/>
        </w:rPr>
        <w:t>年。</w:t>
      </w:r>
    </w:p>
    <w:p w14:paraId="68D3BA9E" w14:textId="77777777" w:rsidR="00A20106" w:rsidRDefault="00A20106" w:rsidP="00A20106">
      <w:pPr>
        <w:ind w:firstLine="480"/>
      </w:pPr>
      <w:r>
        <w:rPr>
          <w:rFonts w:hint="eastAsia"/>
        </w:rPr>
        <w:t>2017</w:t>
      </w:r>
      <w:r>
        <w:rPr>
          <w:rFonts w:hint="eastAsia"/>
        </w:rPr>
        <w:t>年底的斜率为</w:t>
      </w:r>
      <w:r>
        <w:rPr>
          <w:rFonts w:hint="eastAsia"/>
        </w:rPr>
        <w:t>2.29</w:t>
      </w:r>
      <w:r>
        <w:rPr>
          <w:rFonts w:hint="eastAsia"/>
        </w:rPr>
        <w:t>，高于</w:t>
      </w:r>
      <w:r>
        <w:rPr>
          <w:rFonts w:hint="eastAsia"/>
        </w:rPr>
        <w:t>2024</w:t>
      </w:r>
      <w:r>
        <w:rPr>
          <w:rFonts w:hint="eastAsia"/>
        </w:rPr>
        <w:t>年。这意味着在</w:t>
      </w:r>
      <w:r>
        <w:rPr>
          <w:rFonts w:hint="eastAsia"/>
        </w:rPr>
        <w:t>2017</w:t>
      </w:r>
      <w:r>
        <w:rPr>
          <w:rFonts w:hint="eastAsia"/>
        </w:rPr>
        <w:t>年，市场投资者对公司价值评估的平均隐含期限更长，约为</w:t>
      </w:r>
      <w:r>
        <w:rPr>
          <w:rFonts w:hint="eastAsia"/>
        </w:rPr>
        <w:t>2.29</w:t>
      </w:r>
      <w:r>
        <w:rPr>
          <w:rFonts w:hint="eastAsia"/>
        </w:rPr>
        <w:t>年。这一变化可能反映了两个时期在市场风险偏好、流动性环境或宏观经济预期上的不同。</w:t>
      </w:r>
    </w:p>
    <w:p w14:paraId="7036E989" w14:textId="77777777" w:rsidR="00A20106" w:rsidRPr="00A20106" w:rsidRDefault="00A20106" w:rsidP="00A20106">
      <w:pPr>
        <w:ind w:firstLine="482"/>
        <w:rPr>
          <w:b/>
          <w:bCs/>
        </w:rPr>
      </w:pPr>
      <w:r w:rsidRPr="00A20106">
        <w:rPr>
          <w:b/>
          <w:bCs/>
        </w:rPr>
        <w:t xml:space="preserve">1.3.2 </w:t>
      </w:r>
      <w:r w:rsidRPr="00A20106">
        <w:rPr>
          <w:b/>
          <w:bCs/>
        </w:rPr>
        <w:t>历史</w:t>
      </w:r>
      <w:r w:rsidRPr="00A20106">
        <w:rPr>
          <w:b/>
          <w:bCs/>
        </w:rPr>
        <w:t>ROE</w:t>
      </w:r>
      <w:r w:rsidRPr="00A20106">
        <w:rPr>
          <w:b/>
          <w:bCs/>
        </w:rPr>
        <w:t>作为预期</w:t>
      </w:r>
      <w:r w:rsidRPr="00A20106">
        <w:rPr>
          <w:b/>
          <w:bCs/>
        </w:rPr>
        <w:t>ROE</w:t>
      </w:r>
      <w:r w:rsidRPr="00A20106">
        <w:rPr>
          <w:b/>
          <w:bCs/>
        </w:rPr>
        <w:t>代理变量的有效性</w:t>
      </w:r>
    </w:p>
    <w:p w14:paraId="05AA2F73" w14:textId="77777777" w:rsidR="00A20106" w:rsidRPr="00A20106" w:rsidRDefault="00A20106" w:rsidP="00A20106">
      <w:pPr>
        <w:ind w:firstLine="480"/>
      </w:pPr>
      <w:r w:rsidRPr="00A20106">
        <w:t>一个严谨的投资者可能会提出质疑：理论模型要求的是预期</w:t>
      </w:r>
      <w:r w:rsidRPr="00A20106">
        <w:t>ROE</w:t>
      </w:r>
      <w:r w:rsidRPr="00A20106">
        <w:t>，而我们的实证检验使用的是历史</w:t>
      </w:r>
      <w:r w:rsidRPr="00A20106">
        <w:t>ROE TTM</w:t>
      </w:r>
      <w:r w:rsidRPr="00A20106">
        <w:t>。为了验证使用历史数据作为未来预期代理变量的合理性，我们对</w:t>
      </w:r>
      <w:r w:rsidRPr="00A20106">
        <w:t>A</w:t>
      </w:r>
      <w:r w:rsidRPr="00A20106">
        <w:t>股上市公司连续两年间</w:t>
      </w:r>
      <w:r w:rsidRPr="00A20106">
        <w:t>ROE</w:t>
      </w:r>
      <w:r w:rsidRPr="00A20106">
        <w:t>的持续性进行了检验。</w:t>
      </w:r>
    </w:p>
    <w:p w14:paraId="7F53F7D5" w14:textId="1F4D055E" w:rsidR="004A7116" w:rsidRDefault="004A7116" w:rsidP="00A20106">
      <w:pPr>
        <w:ind w:firstLineChars="0" w:firstLine="0"/>
      </w:pPr>
      <w:r>
        <w:rPr>
          <w:noProof/>
        </w:rPr>
        <w:drawing>
          <wp:inline distT="0" distB="0" distL="0" distR="0" wp14:anchorId="5B875C72" wp14:editId="39D3ED20">
            <wp:extent cx="6188710" cy="5246370"/>
            <wp:effectExtent l="0" t="0" r="2540" b="0"/>
            <wp:docPr id="1574171827" name="图片 4"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71827" name="图片 4" descr="图表, 散点图&#10;&#10;AI 生成的内容可能不正确。"/>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5246370"/>
                    </a:xfrm>
                    <a:prstGeom prst="rect">
                      <a:avLst/>
                    </a:prstGeom>
                  </pic:spPr>
                </pic:pic>
              </a:graphicData>
            </a:graphic>
          </wp:inline>
        </w:drawing>
      </w:r>
    </w:p>
    <w:p w14:paraId="536B4C11" w14:textId="77777777" w:rsidR="00A20106" w:rsidRDefault="00A20106" w:rsidP="00E7672D">
      <w:pPr>
        <w:ind w:firstLine="480"/>
      </w:pPr>
      <w:r w:rsidRPr="00A20106">
        <w:t>图</w:t>
      </w:r>
      <w:r w:rsidRPr="00A20106">
        <w:t>1.2</w:t>
      </w:r>
      <w:r w:rsidRPr="00A20106">
        <w:t>：</w:t>
      </w:r>
      <w:r w:rsidRPr="00A20106">
        <w:t>2020-2024</w:t>
      </w:r>
      <w:r w:rsidRPr="00A20106">
        <w:t>年四个年度区间内，期初</w:t>
      </w:r>
      <w:r w:rsidRPr="00A20106">
        <w:t>ROETTM</w:t>
      </w:r>
      <w:r w:rsidRPr="00A20106">
        <w:t>与一年后</w:t>
      </w:r>
      <w:r w:rsidRPr="00A20106">
        <w:t>ROETTM</w:t>
      </w:r>
      <w:r w:rsidRPr="00A20106">
        <w:t>的散点图</w:t>
      </w:r>
    </w:p>
    <w:p w14:paraId="4E30ADF8" w14:textId="68FC2B48" w:rsidR="00B2756A" w:rsidRDefault="00A20106" w:rsidP="00E7672D">
      <w:pPr>
        <w:ind w:firstLine="480"/>
      </w:pPr>
      <w:r w:rsidRPr="00A20106">
        <w:t>图</w:t>
      </w:r>
      <w:r w:rsidRPr="00A20106">
        <w:t>1.2</w:t>
      </w:r>
      <w:r w:rsidRPr="00A20106">
        <w:t>的结果表明，</w:t>
      </w:r>
      <w:r w:rsidRPr="00A20106">
        <w:t>A</w:t>
      </w:r>
      <w:r w:rsidRPr="00A20106">
        <w:t>股上市公司的盈利能力具有显著的持续性。连续四年的数据显示，期初的</w:t>
      </w:r>
      <w:r w:rsidRPr="00A20106">
        <w:t>ROETTM</w:t>
      </w:r>
      <w:r w:rsidRPr="00A20106">
        <w:t>与一年后的</w:t>
      </w:r>
      <w:r w:rsidRPr="00A20106">
        <w:t>ROETTM</w:t>
      </w:r>
      <w:r w:rsidRPr="00A20106">
        <w:t>之间始终存在高度的正相关关系。虽然历史表现不完全等同于未来预期，但这一强自相关性为我们使用历史</w:t>
      </w:r>
      <w:r w:rsidRPr="00A20106">
        <w:t>ROE TTM</w:t>
      </w:r>
      <w:r w:rsidRPr="00A20106">
        <w:t>来近似代表预期</w:t>
      </w:r>
      <w:r w:rsidRPr="00A20106">
        <w:t>ROE</w:t>
      </w:r>
      <w:r w:rsidRPr="00A20106">
        <w:t>，提供了坚实的实证支持。</w:t>
      </w:r>
    </w:p>
    <w:p w14:paraId="0CA2899B" w14:textId="77777777" w:rsidR="00A20106" w:rsidRPr="00A20106" w:rsidRDefault="00A20106" w:rsidP="00A20106">
      <w:pPr>
        <w:ind w:firstLine="482"/>
        <w:rPr>
          <w:b/>
          <w:bCs/>
        </w:rPr>
      </w:pPr>
      <w:r w:rsidRPr="00A20106">
        <w:rPr>
          <w:b/>
          <w:bCs/>
        </w:rPr>
        <w:t xml:space="preserve">1.4.1 </w:t>
      </w:r>
      <w:r w:rsidRPr="00A20106">
        <w:rPr>
          <w:b/>
          <w:bCs/>
        </w:rPr>
        <w:t>策略的内在逻辑</w:t>
      </w:r>
    </w:p>
    <w:p w14:paraId="5285C3F1" w14:textId="77777777" w:rsidR="00A20106" w:rsidRPr="00A20106" w:rsidRDefault="00A20106" w:rsidP="00A20106">
      <w:pPr>
        <w:ind w:firstLine="480"/>
      </w:pPr>
      <w:r w:rsidRPr="00A20106">
        <w:t>基于上述理论与实证，我们将构建一个基础的</w:t>
      </w:r>
      <w:r w:rsidRPr="00A20106">
        <w:t>PB-ROE</w:t>
      </w:r>
      <w:r w:rsidRPr="00A20106">
        <w:t>策略。其目标非常明确：在</w:t>
      </w:r>
      <w:r w:rsidRPr="00A20106">
        <w:t>A</w:t>
      </w:r>
      <w:r w:rsidRPr="00A20106">
        <w:t>股市场中，系统性地筛选出那些盈利能力强（高</w:t>
      </w:r>
      <w:r w:rsidRPr="00A20106">
        <w:t>ROE</w:t>
      </w:r>
      <w:r w:rsidRPr="00A20106">
        <w:t>）但市场估值又相对较低（低</w:t>
      </w:r>
      <w:r w:rsidRPr="00A20106">
        <w:t>P/B</w:t>
      </w:r>
      <w:r w:rsidRPr="00A20106">
        <w:t>）的公司组合。这本质上是一种兼顾了</w:t>
      </w:r>
      <w:r w:rsidRPr="00A20106">
        <w:t>“</w:t>
      </w:r>
      <w:r w:rsidRPr="00A20106">
        <w:t>品质</w:t>
      </w:r>
      <w:r w:rsidRPr="00A20106">
        <w:t>”</w:t>
      </w:r>
      <w:r w:rsidRPr="00A20106">
        <w:t>与</w:t>
      </w:r>
      <w:r w:rsidRPr="00A20106">
        <w:t>“</w:t>
      </w:r>
      <w:r w:rsidRPr="00A20106">
        <w:t>价值</w:t>
      </w:r>
      <w:r w:rsidRPr="00A20106">
        <w:t>”</w:t>
      </w:r>
      <w:r w:rsidRPr="00A20106">
        <w:t>的投资实践，旨在捕获因市场短期失灵而被错误定价的优质企业，从而实现长期的超额收益。</w:t>
      </w:r>
    </w:p>
    <w:p w14:paraId="5EB8243C" w14:textId="77777777" w:rsidR="00A20106" w:rsidRPr="00A20106" w:rsidRDefault="00A20106" w:rsidP="00A20106">
      <w:pPr>
        <w:ind w:firstLine="482"/>
        <w:rPr>
          <w:b/>
          <w:bCs/>
        </w:rPr>
      </w:pPr>
      <w:r w:rsidRPr="00A20106">
        <w:rPr>
          <w:b/>
          <w:bCs/>
        </w:rPr>
        <w:t xml:space="preserve">1.4.2 </w:t>
      </w:r>
      <w:r w:rsidRPr="00A20106">
        <w:rPr>
          <w:b/>
          <w:bCs/>
        </w:rPr>
        <w:t>策略构建与回测方法论</w:t>
      </w:r>
    </w:p>
    <w:tbl>
      <w:tblPr>
        <w:tblStyle w:val="11"/>
        <w:tblW w:w="9781" w:type="dxa"/>
        <w:tblLook w:val="04A0" w:firstRow="1" w:lastRow="0" w:firstColumn="1" w:lastColumn="0" w:noHBand="0" w:noVBand="1"/>
      </w:tblPr>
      <w:tblGrid>
        <w:gridCol w:w="1940"/>
        <w:gridCol w:w="2663"/>
        <w:gridCol w:w="5178"/>
      </w:tblGrid>
      <w:tr w:rsidR="00A20106" w:rsidRPr="00A20106" w14:paraId="24BC1326" w14:textId="77777777" w:rsidTr="00A20106">
        <w:tc>
          <w:tcPr>
            <w:tcW w:w="1940" w:type="dxa"/>
            <w:hideMark/>
          </w:tcPr>
          <w:p w14:paraId="59530B2E" w14:textId="77777777" w:rsidR="00A20106" w:rsidRPr="00A20106" w:rsidRDefault="00A20106" w:rsidP="00A20106">
            <w:pPr>
              <w:spacing w:line="300" w:lineRule="auto"/>
              <w:ind w:firstLineChars="200" w:firstLine="422"/>
              <w:jc w:val="both"/>
              <w:rPr>
                <w:b/>
                <w:bCs/>
                <w:sz w:val="21"/>
                <w:szCs w:val="21"/>
              </w:rPr>
            </w:pPr>
            <w:r w:rsidRPr="00A20106">
              <w:rPr>
                <w:b/>
                <w:bCs/>
                <w:sz w:val="21"/>
                <w:szCs w:val="21"/>
              </w:rPr>
              <w:t>参数</w:t>
            </w:r>
          </w:p>
        </w:tc>
        <w:tc>
          <w:tcPr>
            <w:tcW w:w="2663" w:type="dxa"/>
            <w:hideMark/>
          </w:tcPr>
          <w:p w14:paraId="61E0C770" w14:textId="77777777" w:rsidR="00A20106" w:rsidRPr="00A20106" w:rsidRDefault="00A20106" w:rsidP="00A20106">
            <w:pPr>
              <w:spacing w:line="300" w:lineRule="auto"/>
              <w:ind w:firstLineChars="200" w:firstLine="422"/>
              <w:jc w:val="both"/>
              <w:rPr>
                <w:b/>
                <w:bCs/>
                <w:sz w:val="21"/>
                <w:szCs w:val="21"/>
              </w:rPr>
            </w:pPr>
            <w:r w:rsidRPr="00A20106">
              <w:rPr>
                <w:b/>
                <w:bCs/>
                <w:sz w:val="21"/>
                <w:szCs w:val="21"/>
              </w:rPr>
              <w:t>设置</w:t>
            </w:r>
          </w:p>
        </w:tc>
        <w:tc>
          <w:tcPr>
            <w:tcW w:w="5178" w:type="dxa"/>
            <w:hideMark/>
          </w:tcPr>
          <w:p w14:paraId="07500AD4" w14:textId="77777777" w:rsidR="00A20106" w:rsidRPr="00A20106" w:rsidRDefault="00A20106" w:rsidP="00A20106">
            <w:pPr>
              <w:spacing w:line="300" w:lineRule="auto"/>
              <w:ind w:firstLineChars="200" w:firstLine="422"/>
              <w:jc w:val="both"/>
              <w:rPr>
                <w:b/>
                <w:bCs/>
                <w:sz w:val="21"/>
                <w:szCs w:val="21"/>
              </w:rPr>
            </w:pPr>
            <w:r w:rsidRPr="00A20106">
              <w:rPr>
                <w:b/>
                <w:bCs/>
                <w:sz w:val="21"/>
                <w:szCs w:val="21"/>
              </w:rPr>
              <w:t>说明</w:t>
            </w:r>
          </w:p>
        </w:tc>
      </w:tr>
      <w:tr w:rsidR="00A20106" w:rsidRPr="00A20106" w14:paraId="21BC2F68" w14:textId="77777777" w:rsidTr="00A20106">
        <w:tc>
          <w:tcPr>
            <w:tcW w:w="1940" w:type="dxa"/>
            <w:hideMark/>
          </w:tcPr>
          <w:p w14:paraId="5E37721E" w14:textId="77777777" w:rsidR="00A20106" w:rsidRPr="00A20106" w:rsidRDefault="00A20106" w:rsidP="00A20106">
            <w:pPr>
              <w:spacing w:line="300" w:lineRule="auto"/>
              <w:ind w:firstLineChars="200" w:firstLine="422"/>
              <w:jc w:val="both"/>
              <w:rPr>
                <w:sz w:val="21"/>
                <w:szCs w:val="21"/>
              </w:rPr>
            </w:pPr>
            <w:r w:rsidRPr="00A20106">
              <w:rPr>
                <w:b/>
                <w:bCs/>
                <w:sz w:val="21"/>
                <w:szCs w:val="21"/>
              </w:rPr>
              <w:t>回测区间</w:t>
            </w:r>
          </w:p>
        </w:tc>
        <w:tc>
          <w:tcPr>
            <w:tcW w:w="2663" w:type="dxa"/>
            <w:hideMark/>
          </w:tcPr>
          <w:p w14:paraId="1021D686" w14:textId="757F4A96" w:rsidR="00A20106" w:rsidRPr="00A20106" w:rsidRDefault="00A20106" w:rsidP="00A20106">
            <w:pPr>
              <w:spacing w:line="300" w:lineRule="auto"/>
              <w:ind w:firstLineChars="200" w:firstLine="420"/>
              <w:jc w:val="both"/>
              <w:rPr>
                <w:sz w:val="21"/>
                <w:szCs w:val="21"/>
              </w:rPr>
            </w:pPr>
            <w:r w:rsidRPr="00A20106">
              <w:rPr>
                <w:sz w:val="21"/>
                <w:szCs w:val="21"/>
              </w:rPr>
              <w:t>2010</w:t>
            </w:r>
            <w:r>
              <w:rPr>
                <w:rFonts w:hint="eastAsia"/>
                <w:sz w:val="21"/>
                <w:szCs w:val="21"/>
              </w:rPr>
              <w:t>-</w:t>
            </w:r>
            <w:r w:rsidRPr="00A20106">
              <w:rPr>
                <w:sz w:val="21"/>
                <w:szCs w:val="21"/>
              </w:rPr>
              <w:t>5</w:t>
            </w:r>
            <w:r>
              <w:rPr>
                <w:rFonts w:hint="eastAsia"/>
                <w:sz w:val="21"/>
                <w:szCs w:val="21"/>
              </w:rPr>
              <w:t>-</w:t>
            </w:r>
            <w:r w:rsidRPr="00A20106">
              <w:rPr>
                <w:sz w:val="21"/>
                <w:szCs w:val="21"/>
              </w:rPr>
              <w:t>1</w:t>
            </w:r>
            <w:r w:rsidRPr="00A20106">
              <w:rPr>
                <w:sz w:val="21"/>
                <w:szCs w:val="21"/>
              </w:rPr>
              <w:t>至</w:t>
            </w:r>
            <w:r w:rsidRPr="00A20106">
              <w:rPr>
                <w:sz w:val="21"/>
                <w:szCs w:val="21"/>
              </w:rPr>
              <w:t>2025</w:t>
            </w:r>
            <w:r>
              <w:rPr>
                <w:rFonts w:hint="eastAsia"/>
                <w:sz w:val="21"/>
                <w:szCs w:val="21"/>
              </w:rPr>
              <w:t>-</w:t>
            </w:r>
            <w:r w:rsidRPr="00A20106">
              <w:rPr>
                <w:sz w:val="21"/>
                <w:szCs w:val="21"/>
              </w:rPr>
              <w:t>4</w:t>
            </w:r>
            <w:r>
              <w:rPr>
                <w:rFonts w:hint="eastAsia"/>
                <w:sz w:val="21"/>
                <w:szCs w:val="21"/>
              </w:rPr>
              <w:t>-</w:t>
            </w:r>
            <w:r w:rsidRPr="00A20106">
              <w:rPr>
                <w:sz w:val="21"/>
                <w:szCs w:val="21"/>
              </w:rPr>
              <w:t xml:space="preserve">30 </w:t>
            </w:r>
          </w:p>
        </w:tc>
        <w:tc>
          <w:tcPr>
            <w:tcW w:w="5178" w:type="dxa"/>
            <w:hideMark/>
          </w:tcPr>
          <w:p w14:paraId="7D2F7C30" w14:textId="77777777" w:rsidR="00A20106" w:rsidRPr="00A20106" w:rsidRDefault="00A20106" w:rsidP="00A20106">
            <w:pPr>
              <w:spacing w:line="300" w:lineRule="auto"/>
              <w:ind w:firstLineChars="200" w:firstLine="420"/>
              <w:jc w:val="both"/>
              <w:rPr>
                <w:sz w:val="21"/>
                <w:szCs w:val="21"/>
              </w:rPr>
            </w:pPr>
            <w:r w:rsidRPr="00A20106">
              <w:rPr>
                <w:sz w:val="21"/>
                <w:szCs w:val="21"/>
              </w:rPr>
              <w:t>覆盖多个牛熊周期，共</w:t>
            </w:r>
            <w:r w:rsidRPr="00A20106">
              <w:rPr>
                <w:sz w:val="21"/>
                <w:szCs w:val="21"/>
              </w:rPr>
              <w:t>15</w:t>
            </w:r>
            <w:r w:rsidRPr="00A20106">
              <w:rPr>
                <w:sz w:val="21"/>
                <w:szCs w:val="21"/>
              </w:rPr>
              <w:t>年。</w:t>
            </w:r>
          </w:p>
        </w:tc>
      </w:tr>
      <w:tr w:rsidR="00A20106" w:rsidRPr="00A20106" w14:paraId="663C15AE" w14:textId="77777777" w:rsidTr="00A20106">
        <w:tc>
          <w:tcPr>
            <w:tcW w:w="1940" w:type="dxa"/>
            <w:hideMark/>
          </w:tcPr>
          <w:p w14:paraId="4B7366E5" w14:textId="77777777" w:rsidR="00A20106" w:rsidRPr="00A20106" w:rsidRDefault="00A20106" w:rsidP="00A20106">
            <w:pPr>
              <w:spacing w:line="300" w:lineRule="auto"/>
              <w:ind w:firstLineChars="200" w:firstLine="422"/>
              <w:jc w:val="both"/>
              <w:rPr>
                <w:sz w:val="21"/>
                <w:szCs w:val="21"/>
              </w:rPr>
            </w:pPr>
            <w:r w:rsidRPr="00A20106">
              <w:rPr>
                <w:b/>
                <w:bCs/>
                <w:sz w:val="21"/>
                <w:szCs w:val="21"/>
              </w:rPr>
              <w:t>调仓周期</w:t>
            </w:r>
          </w:p>
        </w:tc>
        <w:tc>
          <w:tcPr>
            <w:tcW w:w="2663" w:type="dxa"/>
            <w:hideMark/>
          </w:tcPr>
          <w:p w14:paraId="253F4F49" w14:textId="77777777" w:rsidR="00A20106" w:rsidRPr="00A20106" w:rsidRDefault="00A20106" w:rsidP="00A20106">
            <w:pPr>
              <w:spacing w:line="300" w:lineRule="auto"/>
              <w:ind w:firstLineChars="200" w:firstLine="420"/>
              <w:jc w:val="both"/>
              <w:rPr>
                <w:sz w:val="21"/>
                <w:szCs w:val="21"/>
              </w:rPr>
            </w:pPr>
            <w:r w:rsidRPr="00A20106">
              <w:rPr>
                <w:sz w:val="21"/>
                <w:szCs w:val="21"/>
              </w:rPr>
              <w:t>每年一次</w:t>
            </w:r>
          </w:p>
        </w:tc>
        <w:tc>
          <w:tcPr>
            <w:tcW w:w="5178" w:type="dxa"/>
            <w:hideMark/>
          </w:tcPr>
          <w:p w14:paraId="08D1732C" w14:textId="2947469B" w:rsidR="00A20106" w:rsidRPr="00A20106" w:rsidRDefault="00A20106" w:rsidP="00A20106">
            <w:pPr>
              <w:spacing w:line="300" w:lineRule="auto"/>
              <w:ind w:firstLineChars="200" w:firstLine="420"/>
              <w:jc w:val="both"/>
              <w:rPr>
                <w:sz w:val="21"/>
                <w:szCs w:val="21"/>
              </w:rPr>
            </w:pPr>
            <w:r w:rsidRPr="00A20106">
              <w:rPr>
                <w:sz w:val="21"/>
                <w:szCs w:val="21"/>
              </w:rPr>
              <w:t>在每年</w:t>
            </w:r>
            <w:r w:rsidRPr="00A20106">
              <w:rPr>
                <w:sz w:val="21"/>
                <w:szCs w:val="21"/>
              </w:rPr>
              <w:t>5</w:t>
            </w:r>
            <w:r w:rsidRPr="00A20106">
              <w:rPr>
                <w:sz w:val="21"/>
                <w:szCs w:val="21"/>
              </w:rPr>
              <w:t>月</w:t>
            </w:r>
            <w:r w:rsidRPr="00A20106">
              <w:rPr>
                <w:sz w:val="21"/>
                <w:szCs w:val="21"/>
              </w:rPr>
              <w:t>1</w:t>
            </w:r>
            <w:r w:rsidRPr="00A20106">
              <w:rPr>
                <w:sz w:val="21"/>
                <w:szCs w:val="21"/>
              </w:rPr>
              <w:t>日进行，确保获取完整的年报数据。</w:t>
            </w:r>
          </w:p>
        </w:tc>
      </w:tr>
      <w:tr w:rsidR="00A20106" w:rsidRPr="00A20106" w14:paraId="799107E6" w14:textId="77777777" w:rsidTr="00A20106">
        <w:tc>
          <w:tcPr>
            <w:tcW w:w="1940" w:type="dxa"/>
            <w:hideMark/>
          </w:tcPr>
          <w:p w14:paraId="2A18A4FB" w14:textId="77777777" w:rsidR="00A20106" w:rsidRPr="00A20106" w:rsidRDefault="00A20106" w:rsidP="00A20106">
            <w:pPr>
              <w:spacing w:line="300" w:lineRule="auto"/>
              <w:ind w:firstLineChars="200" w:firstLine="422"/>
              <w:jc w:val="both"/>
              <w:rPr>
                <w:sz w:val="21"/>
                <w:szCs w:val="21"/>
              </w:rPr>
            </w:pPr>
            <w:r w:rsidRPr="00A20106">
              <w:rPr>
                <w:b/>
                <w:bCs/>
                <w:sz w:val="21"/>
                <w:szCs w:val="21"/>
              </w:rPr>
              <w:t>选股池</w:t>
            </w:r>
          </w:p>
        </w:tc>
        <w:tc>
          <w:tcPr>
            <w:tcW w:w="2663" w:type="dxa"/>
            <w:hideMark/>
          </w:tcPr>
          <w:p w14:paraId="0E7DF2D3" w14:textId="77777777" w:rsidR="00A20106" w:rsidRPr="00A20106" w:rsidRDefault="00A20106" w:rsidP="00A20106">
            <w:pPr>
              <w:spacing w:line="300" w:lineRule="auto"/>
              <w:ind w:firstLineChars="200" w:firstLine="420"/>
              <w:jc w:val="both"/>
              <w:rPr>
                <w:sz w:val="21"/>
                <w:szCs w:val="21"/>
              </w:rPr>
            </w:pPr>
            <w:r w:rsidRPr="00A20106">
              <w:rPr>
                <w:sz w:val="21"/>
                <w:szCs w:val="21"/>
              </w:rPr>
              <w:t>全市场</w:t>
            </w:r>
            <w:r w:rsidRPr="00A20106">
              <w:rPr>
                <w:sz w:val="21"/>
                <w:szCs w:val="21"/>
              </w:rPr>
              <w:t>A</w:t>
            </w:r>
            <w:r w:rsidRPr="00A20106">
              <w:rPr>
                <w:sz w:val="21"/>
                <w:szCs w:val="21"/>
              </w:rPr>
              <w:t>股</w:t>
            </w:r>
          </w:p>
        </w:tc>
        <w:tc>
          <w:tcPr>
            <w:tcW w:w="5178" w:type="dxa"/>
            <w:hideMark/>
          </w:tcPr>
          <w:p w14:paraId="10D940A1" w14:textId="77777777" w:rsidR="00A20106" w:rsidRPr="00A20106" w:rsidRDefault="00A20106" w:rsidP="00A20106">
            <w:pPr>
              <w:spacing w:line="300" w:lineRule="auto"/>
              <w:ind w:firstLineChars="200" w:firstLine="420"/>
              <w:jc w:val="both"/>
              <w:rPr>
                <w:sz w:val="21"/>
                <w:szCs w:val="21"/>
              </w:rPr>
            </w:pPr>
            <w:r w:rsidRPr="00A20106">
              <w:rPr>
                <w:sz w:val="21"/>
                <w:szCs w:val="21"/>
              </w:rPr>
              <w:t>剔除</w:t>
            </w:r>
            <w:r w:rsidRPr="00A20106">
              <w:rPr>
                <w:sz w:val="21"/>
                <w:szCs w:val="21"/>
              </w:rPr>
              <w:t>ST</w:t>
            </w:r>
            <w:r w:rsidRPr="00A20106">
              <w:rPr>
                <w:sz w:val="21"/>
                <w:szCs w:val="21"/>
              </w:rPr>
              <w:t>及</w:t>
            </w:r>
            <w:r w:rsidRPr="00A20106">
              <w:rPr>
                <w:sz w:val="21"/>
                <w:szCs w:val="21"/>
              </w:rPr>
              <w:t>*ST</w:t>
            </w:r>
            <w:r w:rsidRPr="00A20106">
              <w:rPr>
                <w:sz w:val="21"/>
                <w:szCs w:val="21"/>
              </w:rPr>
              <w:t>股票。</w:t>
            </w:r>
          </w:p>
        </w:tc>
      </w:tr>
      <w:tr w:rsidR="00A20106" w:rsidRPr="00A20106" w14:paraId="244CF3D6" w14:textId="77777777" w:rsidTr="00A20106">
        <w:tc>
          <w:tcPr>
            <w:tcW w:w="1940" w:type="dxa"/>
            <w:hideMark/>
          </w:tcPr>
          <w:p w14:paraId="4BE8F139" w14:textId="77777777" w:rsidR="00A20106" w:rsidRPr="00A20106" w:rsidRDefault="00A20106" w:rsidP="00A20106">
            <w:pPr>
              <w:spacing w:line="300" w:lineRule="auto"/>
              <w:ind w:firstLineChars="200" w:firstLine="422"/>
              <w:jc w:val="both"/>
              <w:rPr>
                <w:sz w:val="21"/>
                <w:szCs w:val="21"/>
              </w:rPr>
            </w:pPr>
            <w:r w:rsidRPr="00A20106">
              <w:rPr>
                <w:b/>
                <w:bCs/>
                <w:sz w:val="21"/>
                <w:szCs w:val="21"/>
              </w:rPr>
              <w:t>高质量筛选</w:t>
            </w:r>
          </w:p>
        </w:tc>
        <w:tc>
          <w:tcPr>
            <w:tcW w:w="2663" w:type="dxa"/>
            <w:hideMark/>
          </w:tcPr>
          <w:p w14:paraId="427AFC7C" w14:textId="77777777" w:rsidR="00A20106" w:rsidRPr="00A20106" w:rsidRDefault="00A20106" w:rsidP="00A20106">
            <w:pPr>
              <w:spacing w:line="300" w:lineRule="auto"/>
              <w:ind w:firstLineChars="200" w:firstLine="420"/>
              <w:jc w:val="both"/>
              <w:rPr>
                <w:sz w:val="21"/>
                <w:szCs w:val="21"/>
              </w:rPr>
            </w:pPr>
            <w:r w:rsidRPr="00A20106">
              <w:rPr>
                <w:sz w:val="21"/>
                <w:szCs w:val="21"/>
              </w:rPr>
              <w:t>ROE</w:t>
            </w:r>
            <w:r w:rsidRPr="00A20106">
              <w:rPr>
                <w:sz w:val="21"/>
                <w:szCs w:val="21"/>
              </w:rPr>
              <w:t>排名前</w:t>
            </w:r>
            <w:r w:rsidRPr="00A20106">
              <w:rPr>
                <w:sz w:val="21"/>
                <w:szCs w:val="21"/>
              </w:rPr>
              <w:t>33%</w:t>
            </w:r>
          </w:p>
        </w:tc>
        <w:tc>
          <w:tcPr>
            <w:tcW w:w="5178" w:type="dxa"/>
            <w:hideMark/>
          </w:tcPr>
          <w:p w14:paraId="033506A7" w14:textId="77777777" w:rsidR="00A20106" w:rsidRPr="00A20106" w:rsidRDefault="00A20106" w:rsidP="00A20106">
            <w:pPr>
              <w:spacing w:line="300" w:lineRule="auto"/>
              <w:ind w:firstLineChars="200" w:firstLine="420"/>
              <w:jc w:val="both"/>
              <w:rPr>
                <w:sz w:val="21"/>
                <w:szCs w:val="21"/>
              </w:rPr>
            </w:pPr>
            <w:r w:rsidRPr="00A20106">
              <w:rPr>
                <w:sz w:val="21"/>
                <w:szCs w:val="21"/>
              </w:rPr>
              <w:t>剔除</w:t>
            </w:r>
            <w:r w:rsidRPr="00A20106">
              <w:rPr>
                <w:sz w:val="21"/>
                <w:szCs w:val="21"/>
              </w:rPr>
              <w:t>ROE&gt;50%</w:t>
            </w:r>
            <w:r w:rsidRPr="00A20106">
              <w:rPr>
                <w:sz w:val="21"/>
                <w:szCs w:val="21"/>
              </w:rPr>
              <w:t>的极端异常值。</w:t>
            </w:r>
          </w:p>
        </w:tc>
      </w:tr>
      <w:tr w:rsidR="00A20106" w:rsidRPr="00A20106" w14:paraId="0C18F1E8" w14:textId="77777777" w:rsidTr="00A20106">
        <w:tc>
          <w:tcPr>
            <w:tcW w:w="1940" w:type="dxa"/>
            <w:hideMark/>
          </w:tcPr>
          <w:p w14:paraId="373310F1" w14:textId="77777777" w:rsidR="00A20106" w:rsidRPr="00A20106" w:rsidRDefault="00A20106" w:rsidP="00A20106">
            <w:pPr>
              <w:spacing w:line="300" w:lineRule="auto"/>
              <w:ind w:firstLineChars="200" w:firstLine="422"/>
              <w:jc w:val="both"/>
              <w:rPr>
                <w:sz w:val="21"/>
                <w:szCs w:val="21"/>
              </w:rPr>
            </w:pPr>
            <w:r w:rsidRPr="00A20106">
              <w:rPr>
                <w:b/>
                <w:bCs/>
                <w:sz w:val="21"/>
                <w:szCs w:val="21"/>
              </w:rPr>
              <w:t>低估值筛选</w:t>
            </w:r>
          </w:p>
        </w:tc>
        <w:tc>
          <w:tcPr>
            <w:tcW w:w="2663" w:type="dxa"/>
            <w:hideMark/>
          </w:tcPr>
          <w:p w14:paraId="3D1DC0DF" w14:textId="77777777" w:rsidR="00A20106" w:rsidRPr="00A20106" w:rsidRDefault="00A20106" w:rsidP="00A20106">
            <w:pPr>
              <w:spacing w:line="300" w:lineRule="auto"/>
              <w:ind w:firstLineChars="200" w:firstLine="420"/>
              <w:jc w:val="both"/>
              <w:rPr>
                <w:sz w:val="21"/>
                <w:szCs w:val="21"/>
              </w:rPr>
            </w:pPr>
            <w:r w:rsidRPr="00A20106">
              <w:rPr>
                <w:sz w:val="21"/>
                <w:szCs w:val="21"/>
              </w:rPr>
              <w:t>P/B</w:t>
            </w:r>
            <w:r w:rsidRPr="00A20106">
              <w:rPr>
                <w:sz w:val="21"/>
                <w:szCs w:val="21"/>
              </w:rPr>
              <w:t>排名后</w:t>
            </w:r>
            <w:r w:rsidRPr="00A20106">
              <w:rPr>
                <w:sz w:val="21"/>
                <w:szCs w:val="21"/>
              </w:rPr>
              <w:t>33%</w:t>
            </w:r>
          </w:p>
        </w:tc>
        <w:tc>
          <w:tcPr>
            <w:tcW w:w="5178" w:type="dxa"/>
            <w:hideMark/>
          </w:tcPr>
          <w:p w14:paraId="397D0441" w14:textId="77777777" w:rsidR="00A20106" w:rsidRPr="00A20106" w:rsidRDefault="00A20106" w:rsidP="00A20106">
            <w:pPr>
              <w:spacing w:line="300" w:lineRule="auto"/>
              <w:ind w:firstLineChars="200" w:firstLine="420"/>
              <w:jc w:val="both"/>
              <w:rPr>
                <w:sz w:val="21"/>
                <w:szCs w:val="21"/>
              </w:rPr>
            </w:pPr>
            <w:r w:rsidRPr="00A20106">
              <w:rPr>
                <w:sz w:val="21"/>
                <w:szCs w:val="21"/>
              </w:rPr>
              <w:t>剔除</w:t>
            </w:r>
            <w:r w:rsidRPr="00A20106">
              <w:rPr>
                <w:sz w:val="21"/>
                <w:szCs w:val="21"/>
              </w:rPr>
              <w:t>P/B&lt;0</w:t>
            </w:r>
            <w:r w:rsidRPr="00A20106">
              <w:rPr>
                <w:sz w:val="21"/>
                <w:szCs w:val="21"/>
              </w:rPr>
              <w:t>的极端情况。</w:t>
            </w:r>
          </w:p>
        </w:tc>
      </w:tr>
      <w:tr w:rsidR="00A20106" w:rsidRPr="00A20106" w14:paraId="48A37393" w14:textId="77777777" w:rsidTr="00A20106">
        <w:tc>
          <w:tcPr>
            <w:tcW w:w="1940" w:type="dxa"/>
            <w:hideMark/>
          </w:tcPr>
          <w:p w14:paraId="3404FEEA" w14:textId="77777777" w:rsidR="00A20106" w:rsidRPr="00A20106" w:rsidRDefault="00A20106" w:rsidP="00A20106">
            <w:pPr>
              <w:spacing w:line="300" w:lineRule="auto"/>
              <w:ind w:firstLineChars="200" w:firstLine="422"/>
              <w:jc w:val="both"/>
              <w:rPr>
                <w:sz w:val="21"/>
                <w:szCs w:val="21"/>
              </w:rPr>
            </w:pPr>
            <w:r w:rsidRPr="00A20106">
              <w:rPr>
                <w:b/>
                <w:bCs/>
                <w:sz w:val="21"/>
                <w:szCs w:val="21"/>
              </w:rPr>
              <w:t>最终持仓</w:t>
            </w:r>
          </w:p>
        </w:tc>
        <w:tc>
          <w:tcPr>
            <w:tcW w:w="2663" w:type="dxa"/>
            <w:hideMark/>
          </w:tcPr>
          <w:p w14:paraId="3EB4223C" w14:textId="7A1902A6" w:rsidR="00A20106" w:rsidRPr="00A20106" w:rsidRDefault="00A20106" w:rsidP="00A20106">
            <w:pPr>
              <w:spacing w:line="300" w:lineRule="auto"/>
              <w:ind w:firstLineChars="200" w:firstLine="420"/>
              <w:jc w:val="both"/>
              <w:rPr>
                <w:sz w:val="21"/>
                <w:szCs w:val="21"/>
              </w:rPr>
            </w:pPr>
            <w:r w:rsidRPr="00A20106">
              <w:rPr>
                <w:sz w:val="21"/>
                <w:szCs w:val="21"/>
              </w:rPr>
              <w:t>股票池的交集</w:t>
            </w:r>
          </w:p>
        </w:tc>
        <w:tc>
          <w:tcPr>
            <w:tcW w:w="5178" w:type="dxa"/>
            <w:hideMark/>
          </w:tcPr>
          <w:p w14:paraId="1F923FBA" w14:textId="77777777" w:rsidR="00A20106" w:rsidRPr="00A20106" w:rsidRDefault="00A20106" w:rsidP="00A20106">
            <w:pPr>
              <w:spacing w:line="300" w:lineRule="auto"/>
              <w:ind w:firstLineChars="200" w:firstLine="420"/>
              <w:jc w:val="both"/>
              <w:rPr>
                <w:sz w:val="21"/>
                <w:szCs w:val="21"/>
              </w:rPr>
            </w:pPr>
            <w:r w:rsidRPr="00A20106">
              <w:rPr>
                <w:sz w:val="21"/>
                <w:szCs w:val="21"/>
              </w:rPr>
              <w:t>等权重持有。</w:t>
            </w:r>
          </w:p>
        </w:tc>
      </w:tr>
      <w:tr w:rsidR="00A20106" w:rsidRPr="00A20106" w14:paraId="3F0ABF51" w14:textId="77777777" w:rsidTr="00A20106">
        <w:tc>
          <w:tcPr>
            <w:tcW w:w="1940" w:type="dxa"/>
            <w:hideMark/>
          </w:tcPr>
          <w:p w14:paraId="4195A04D" w14:textId="77777777" w:rsidR="00A20106" w:rsidRPr="00A20106" w:rsidRDefault="00A20106" w:rsidP="00A20106">
            <w:pPr>
              <w:spacing w:line="300" w:lineRule="auto"/>
              <w:ind w:firstLineChars="200" w:firstLine="422"/>
              <w:jc w:val="both"/>
              <w:rPr>
                <w:sz w:val="21"/>
                <w:szCs w:val="21"/>
              </w:rPr>
            </w:pPr>
            <w:r w:rsidRPr="00A20106">
              <w:rPr>
                <w:b/>
                <w:bCs/>
                <w:sz w:val="21"/>
                <w:szCs w:val="21"/>
              </w:rPr>
              <w:t>业绩基准</w:t>
            </w:r>
          </w:p>
        </w:tc>
        <w:tc>
          <w:tcPr>
            <w:tcW w:w="2663" w:type="dxa"/>
            <w:hideMark/>
          </w:tcPr>
          <w:p w14:paraId="243371E8" w14:textId="77777777" w:rsidR="00A20106" w:rsidRPr="00A20106" w:rsidRDefault="00A20106" w:rsidP="00A20106">
            <w:pPr>
              <w:spacing w:line="300" w:lineRule="auto"/>
              <w:ind w:firstLineChars="200" w:firstLine="420"/>
              <w:jc w:val="both"/>
              <w:rPr>
                <w:sz w:val="21"/>
                <w:szCs w:val="21"/>
              </w:rPr>
            </w:pPr>
            <w:r w:rsidRPr="00A20106">
              <w:rPr>
                <w:sz w:val="21"/>
                <w:szCs w:val="21"/>
              </w:rPr>
              <w:t>沪深</w:t>
            </w:r>
            <w:r w:rsidRPr="00A20106">
              <w:rPr>
                <w:sz w:val="21"/>
                <w:szCs w:val="21"/>
              </w:rPr>
              <w:t>300</w:t>
            </w:r>
            <w:r w:rsidRPr="00A20106">
              <w:rPr>
                <w:sz w:val="21"/>
                <w:szCs w:val="21"/>
              </w:rPr>
              <w:t>指数</w:t>
            </w:r>
          </w:p>
        </w:tc>
        <w:tc>
          <w:tcPr>
            <w:tcW w:w="5178" w:type="dxa"/>
            <w:hideMark/>
          </w:tcPr>
          <w:p w14:paraId="64A59324" w14:textId="77777777" w:rsidR="00A20106" w:rsidRPr="00A20106" w:rsidRDefault="00A20106" w:rsidP="00A20106">
            <w:pPr>
              <w:spacing w:line="300" w:lineRule="auto"/>
              <w:ind w:firstLineChars="200" w:firstLine="420"/>
              <w:jc w:val="both"/>
              <w:rPr>
                <w:sz w:val="21"/>
                <w:szCs w:val="21"/>
              </w:rPr>
            </w:pPr>
          </w:p>
        </w:tc>
      </w:tr>
      <w:tr w:rsidR="00A20106" w:rsidRPr="00A20106" w14:paraId="62A482A4" w14:textId="77777777" w:rsidTr="00A20106">
        <w:tc>
          <w:tcPr>
            <w:tcW w:w="1940" w:type="dxa"/>
            <w:hideMark/>
          </w:tcPr>
          <w:p w14:paraId="1A5A6E34" w14:textId="77777777" w:rsidR="00A20106" w:rsidRPr="00A20106" w:rsidRDefault="00A20106" w:rsidP="00A20106">
            <w:pPr>
              <w:spacing w:line="300" w:lineRule="auto"/>
              <w:ind w:firstLineChars="200" w:firstLine="422"/>
              <w:jc w:val="both"/>
              <w:rPr>
                <w:sz w:val="21"/>
                <w:szCs w:val="21"/>
              </w:rPr>
            </w:pPr>
            <w:r w:rsidRPr="00A20106">
              <w:rPr>
                <w:b/>
                <w:bCs/>
                <w:sz w:val="21"/>
                <w:szCs w:val="21"/>
              </w:rPr>
              <w:t>交易成本</w:t>
            </w:r>
          </w:p>
        </w:tc>
        <w:tc>
          <w:tcPr>
            <w:tcW w:w="2663" w:type="dxa"/>
            <w:hideMark/>
          </w:tcPr>
          <w:p w14:paraId="1A428A53" w14:textId="6AF42B50" w:rsidR="00A20106" w:rsidRPr="00A20106" w:rsidRDefault="00A20106" w:rsidP="00A20106">
            <w:pPr>
              <w:spacing w:line="300" w:lineRule="auto"/>
              <w:ind w:firstLineChars="200" w:firstLine="420"/>
              <w:jc w:val="both"/>
              <w:rPr>
                <w:sz w:val="21"/>
                <w:szCs w:val="21"/>
              </w:rPr>
            </w:pPr>
            <w:r w:rsidRPr="00A20106">
              <w:rPr>
                <w:sz w:val="21"/>
                <w:szCs w:val="21"/>
              </w:rPr>
              <w:t>不考虑</w:t>
            </w:r>
          </w:p>
        </w:tc>
        <w:tc>
          <w:tcPr>
            <w:tcW w:w="5178" w:type="dxa"/>
            <w:hideMark/>
          </w:tcPr>
          <w:p w14:paraId="05C145EF" w14:textId="77777777" w:rsidR="00A20106" w:rsidRPr="00A20106" w:rsidRDefault="00A20106" w:rsidP="00A20106">
            <w:pPr>
              <w:spacing w:line="300" w:lineRule="auto"/>
              <w:ind w:firstLineChars="200" w:firstLine="420"/>
              <w:jc w:val="both"/>
              <w:rPr>
                <w:sz w:val="21"/>
                <w:szCs w:val="21"/>
              </w:rPr>
            </w:pPr>
            <w:r w:rsidRPr="00A20106">
              <w:rPr>
                <w:sz w:val="21"/>
                <w:szCs w:val="21"/>
              </w:rPr>
              <w:t>本章旨在验证策略逻辑的有效性。</w:t>
            </w:r>
          </w:p>
        </w:tc>
      </w:tr>
    </w:tbl>
    <w:p w14:paraId="33640DA8" w14:textId="72BA1842" w:rsidR="00A20106" w:rsidRDefault="00A20106" w:rsidP="00A20106">
      <w:pPr>
        <w:ind w:firstLineChars="0" w:firstLine="0"/>
        <w:jc w:val="center"/>
      </w:pPr>
      <w:r>
        <w:rPr>
          <w:noProof/>
        </w:rPr>
        <w:drawing>
          <wp:inline distT="0" distB="0" distL="0" distR="0" wp14:anchorId="68418A6B" wp14:editId="4E53C991">
            <wp:extent cx="6188710" cy="3465830"/>
            <wp:effectExtent l="0" t="0" r="2540" b="1270"/>
            <wp:docPr id="20055688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68823" name="图片 20055688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465830"/>
                    </a:xfrm>
                    <a:prstGeom prst="rect">
                      <a:avLst/>
                    </a:prstGeom>
                  </pic:spPr>
                </pic:pic>
              </a:graphicData>
            </a:graphic>
          </wp:inline>
        </w:drawing>
      </w:r>
    </w:p>
    <w:p w14:paraId="10F7C36E" w14:textId="4FE2304E" w:rsidR="00A20106" w:rsidRPr="00A20106" w:rsidRDefault="00A20106" w:rsidP="00A20106">
      <w:pPr>
        <w:ind w:firstLineChars="0" w:firstLine="0"/>
        <w:jc w:val="center"/>
        <w:rPr>
          <w:b/>
          <w:bCs/>
        </w:rPr>
      </w:pPr>
      <w:r w:rsidRPr="00A20106">
        <w:rPr>
          <w:b/>
          <w:bCs/>
        </w:rPr>
        <w:t>图</w:t>
      </w:r>
      <w:r w:rsidRPr="00A20106">
        <w:rPr>
          <w:b/>
          <w:bCs/>
        </w:rPr>
        <w:t>1.3</w:t>
      </w:r>
      <w:r w:rsidRPr="00A20106">
        <w:rPr>
          <w:b/>
          <w:bCs/>
        </w:rPr>
        <w:t>：基础</w:t>
      </w:r>
      <w:r w:rsidRPr="00A20106">
        <w:rPr>
          <w:b/>
          <w:bCs/>
        </w:rPr>
        <w:t>PB-ROE</w:t>
      </w:r>
      <w:r w:rsidRPr="00A20106">
        <w:rPr>
          <w:b/>
          <w:bCs/>
        </w:rPr>
        <w:t>策略每期入选的成分股数量（</w:t>
      </w:r>
      <w:r w:rsidRPr="00A20106">
        <w:rPr>
          <w:b/>
          <w:bCs/>
        </w:rPr>
        <w:t>2010-2024</w:t>
      </w:r>
      <w:r w:rsidRPr="00A20106">
        <w:rPr>
          <w:b/>
          <w:bCs/>
        </w:rPr>
        <w:t>）</w:t>
      </w:r>
    </w:p>
    <w:p w14:paraId="32C7DE37" w14:textId="4B15735E" w:rsidR="00A20106" w:rsidRPr="00A20106" w:rsidRDefault="00A20106" w:rsidP="00A20106">
      <w:pPr>
        <w:ind w:firstLine="480"/>
      </w:pPr>
      <w:r w:rsidRPr="00A20106">
        <w:t>上图展示了在每个调仓日，基础</w:t>
      </w:r>
      <w:r w:rsidRPr="00A20106">
        <w:t>PB-ROE</w:t>
      </w:r>
      <w:r w:rsidRPr="00A20106">
        <w:t>策略最终选出的成分股数量。我们可以观察到，组合内的股票数量并非固定不变，而是在</w:t>
      </w:r>
      <w:r w:rsidRPr="00A20106">
        <w:t>74</w:t>
      </w:r>
      <w:r w:rsidRPr="00A20106">
        <w:t>只（</w:t>
      </w:r>
      <w:r w:rsidRPr="00A20106">
        <w:t>2010</w:t>
      </w:r>
      <w:r w:rsidRPr="00A20106">
        <w:t>年）到</w:t>
      </w:r>
      <w:r w:rsidRPr="00A20106">
        <w:t>353</w:t>
      </w:r>
      <w:r w:rsidRPr="00A20106">
        <w:t>只（</w:t>
      </w:r>
      <w:r w:rsidRPr="00A20106">
        <w:t>2024</w:t>
      </w:r>
      <w:r w:rsidRPr="00A20106">
        <w:t>年）之间动态变化。这种数量上的波动，是市场环境变化的直接反映。例如，在某些市场阶段，可能同时满足</w:t>
      </w:r>
      <w:r w:rsidRPr="00A20106">
        <w:t>“</w:t>
      </w:r>
      <w:r w:rsidRPr="00A20106">
        <w:t>高</w:t>
      </w:r>
      <w:r w:rsidRPr="00A20106">
        <w:t>ROE”</w:t>
      </w:r>
      <w:r w:rsidRPr="00A20106">
        <w:t>和</w:t>
      </w:r>
      <w:r w:rsidRPr="00A20106">
        <w:t>“</w:t>
      </w:r>
      <w:r w:rsidRPr="00A20106">
        <w:t>低</w:t>
      </w:r>
      <w:r w:rsidRPr="00A20106">
        <w:t>P/B”</w:t>
      </w:r>
      <w:r w:rsidRPr="00A20106">
        <w:t>这两个严苛标准的公司数量本身就较少；而在另一些阶段，符合条件的公司则相对较多。此外，成分股数量的整体上升趋势，也在一定程度上反映了</w:t>
      </w:r>
      <w:r w:rsidRPr="00A20106">
        <w:t>A</w:t>
      </w:r>
      <w:r w:rsidRPr="00A20106">
        <w:t>股市场自身的扩容。这种持仓数量的动态性，是该策略应对不同市场环境时的一个内在特征。</w:t>
      </w:r>
    </w:p>
    <w:p w14:paraId="5C34BCD8" w14:textId="00AE1E2A" w:rsidR="00A20106" w:rsidRPr="00A20106" w:rsidRDefault="00A20106" w:rsidP="00A20106">
      <w:pPr>
        <w:ind w:firstLine="482"/>
        <w:rPr>
          <w:b/>
          <w:bCs/>
        </w:rPr>
      </w:pPr>
      <w:r w:rsidRPr="00A20106">
        <w:rPr>
          <w:b/>
          <w:bCs/>
        </w:rPr>
        <w:t xml:space="preserve">1.4.3 </w:t>
      </w:r>
      <w:r w:rsidRPr="00A20106">
        <w:rPr>
          <w:b/>
          <w:bCs/>
        </w:rPr>
        <w:t>业绩表现与深度分析</w:t>
      </w:r>
    </w:p>
    <w:p w14:paraId="40BC945B" w14:textId="77777777" w:rsidR="00A20106" w:rsidRPr="00A20106" w:rsidRDefault="00A20106" w:rsidP="00A20106">
      <w:pPr>
        <w:ind w:firstLine="480"/>
      </w:pPr>
      <w:r w:rsidRPr="00A20106">
        <w:t>我们对该策略在长达</w:t>
      </w:r>
      <w:r w:rsidRPr="00A20106">
        <w:t>15</w:t>
      </w:r>
      <w:r w:rsidRPr="00A20106">
        <w:t>年的回测区间内的表现进行了量化分析。</w:t>
      </w:r>
    </w:p>
    <w:p w14:paraId="68AD3952" w14:textId="56D76740" w:rsidR="00A20106" w:rsidRDefault="00A20106" w:rsidP="00A20106">
      <w:pPr>
        <w:ind w:firstLineChars="0" w:firstLine="0"/>
        <w:jc w:val="center"/>
        <w:rPr>
          <w:i/>
          <w:iCs/>
        </w:rPr>
      </w:pPr>
      <w:r>
        <w:rPr>
          <w:rFonts w:hint="eastAsia"/>
          <w:noProof/>
        </w:rPr>
        <w:drawing>
          <wp:inline distT="0" distB="0" distL="0" distR="0" wp14:anchorId="20A0DDD1" wp14:editId="566A4D0D">
            <wp:extent cx="5837025" cy="3203595"/>
            <wp:effectExtent l="0" t="0" r="0" b="0"/>
            <wp:docPr id="1915244264" name="图片 1" descr="图形用户界面, 图表, 折线图,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4264" name="图片 1" descr="图形用户界面, 图表, 折线图, 直方图&#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6348" cy="3219688"/>
                    </a:xfrm>
                    <a:prstGeom prst="rect">
                      <a:avLst/>
                    </a:prstGeom>
                  </pic:spPr>
                </pic:pic>
              </a:graphicData>
            </a:graphic>
          </wp:inline>
        </w:drawing>
      </w:r>
    </w:p>
    <w:p w14:paraId="1D9430DE" w14:textId="43AD4141" w:rsidR="00A20106" w:rsidRPr="00A20106" w:rsidRDefault="00A20106" w:rsidP="00A20106">
      <w:pPr>
        <w:ind w:firstLine="482"/>
        <w:jc w:val="center"/>
        <w:rPr>
          <w:b/>
          <w:bCs/>
        </w:rPr>
      </w:pPr>
      <w:r w:rsidRPr="00A20106">
        <w:rPr>
          <w:b/>
          <w:bCs/>
        </w:rPr>
        <w:t>图</w:t>
      </w:r>
      <w:r w:rsidRPr="00A20106">
        <w:rPr>
          <w:b/>
          <w:bCs/>
        </w:rPr>
        <w:t>1.4</w:t>
      </w:r>
      <w:r w:rsidRPr="00A20106">
        <w:rPr>
          <w:b/>
          <w:bCs/>
        </w:rPr>
        <w:t>：基础</w:t>
      </w:r>
      <w:r w:rsidRPr="00A20106">
        <w:rPr>
          <w:b/>
          <w:bCs/>
        </w:rPr>
        <w:t>PB-ROE</w:t>
      </w:r>
      <w:r w:rsidRPr="00A20106">
        <w:rPr>
          <w:b/>
          <w:bCs/>
        </w:rPr>
        <w:t>策略</w:t>
      </w:r>
      <w:r w:rsidRPr="00A20106">
        <w:rPr>
          <w:b/>
          <w:bCs/>
        </w:rPr>
        <w:t xml:space="preserve"> vs. </w:t>
      </w:r>
      <w:r w:rsidRPr="00A20106">
        <w:rPr>
          <w:b/>
          <w:bCs/>
        </w:rPr>
        <w:t>沪深</w:t>
      </w:r>
      <w:r w:rsidRPr="00A20106">
        <w:rPr>
          <w:b/>
          <w:bCs/>
        </w:rPr>
        <w:t xml:space="preserve">300 </w:t>
      </w:r>
      <w:r w:rsidRPr="00A20106">
        <w:rPr>
          <w:b/>
          <w:bCs/>
        </w:rPr>
        <w:t>累计收益率</w:t>
      </w:r>
      <w:r w:rsidRPr="00A20106">
        <w:rPr>
          <w:b/>
          <w:bCs/>
        </w:rPr>
        <w:t xml:space="preserve"> (2010-2025)</w:t>
      </w:r>
    </w:p>
    <w:tbl>
      <w:tblPr>
        <w:tblStyle w:val="11"/>
        <w:tblW w:w="0" w:type="auto"/>
        <w:jc w:val="center"/>
        <w:tblLook w:val="04A0" w:firstRow="1" w:lastRow="0" w:firstColumn="1" w:lastColumn="0" w:noHBand="0" w:noVBand="1"/>
      </w:tblPr>
      <w:tblGrid>
        <w:gridCol w:w="2385"/>
        <w:gridCol w:w="2689"/>
        <w:gridCol w:w="2143"/>
      </w:tblGrid>
      <w:tr w:rsidR="00A20106" w:rsidRPr="00A20106" w14:paraId="152BB68B" w14:textId="77777777" w:rsidTr="00A20106">
        <w:trPr>
          <w:jc w:val="center"/>
        </w:trPr>
        <w:tc>
          <w:tcPr>
            <w:tcW w:w="0" w:type="auto"/>
            <w:tcBorders>
              <w:bottom w:val="single" w:sz="12" w:space="0" w:color="auto"/>
            </w:tcBorders>
            <w:hideMark/>
          </w:tcPr>
          <w:p w14:paraId="58706204" w14:textId="77777777" w:rsidR="00A20106" w:rsidRPr="00A20106" w:rsidRDefault="00A20106" w:rsidP="00A20106">
            <w:pPr>
              <w:spacing w:line="300" w:lineRule="auto"/>
              <w:ind w:firstLineChars="200" w:firstLine="482"/>
              <w:jc w:val="both"/>
              <w:rPr>
                <w:b/>
                <w:bCs/>
              </w:rPr>
            </w:pPr>
            <w:r w:rsidRPr="00A20106">
              <w:rPr>
                <w:b/>
                <w:bCs/>
              </w:rPr>
              <w:t>绩效指标</w:t>
            </w:r>
          </w:p>
        </w:tc>
        <w:tc>
          <w:tcPr>
            <w:tcW w:w="0" w:type="auto"/>
            <w:tcBorders>
              <w:bottom w:val="single" w:sz="12" w:space="0" w:color="auto"/>
            </w:tcBorders>
            <w:hideMark/>
          </w:tcPr>
          <w:p w14:paraId="6A6D08A5" w14:textId="6EF1EEAB" w:rsidR="00A20106" w:rsidRPr="00A20106" w:rsidRDefault="00A20106" w:rsidP="00A20106">
            <w:pPr>
              <w:spacing w:line="300" w:lineRule="auto"/>
              <w:ind w:firstLineChars="200" w:firstLine="482"/>
              <w:jc w:val="both"/>
              <w:rPr>
                <w:b/>
                <w:bCs/>
              </w:rPr>
            </w:pPr>
            <w:r w:rsidRPr="00A20106">
              <w:rPr>
                <w:b/>
                <w:bCs/>
              </w:rPr>
              <w:t>基础</w:t>
            </w:r>
            <w:r w:rsidRPr="00A20106">
              <w:rPr>
                <w:b/>
                <w:bCs/>
              </w:rPr>
              <w:t>PB-ROE</w:t>
            </w:r>
            <w:r w:rsidRPr="00A20106">
              <w:rPr>
                <w:b/>
                <w:bCs/>
              </w:rPr>
              <w:t>策略</w:t>
            </w:r>
            <w:r w:rsidRPr="00A20106">
              <w:rPr>
                <w:b/>
                <w:bCs/>
              </w:rPr>
              <w:t xml:space="preserve"> </w:t>
            </w:r>
          </w:p>
        </w:tc>
        <w:tc>
          <w:tcPr>
            <w:tcW w:w="0" w:type="auto"/>
            <w:tcBorders>
              <w:bottom w:val="single" w:sz="12" w:space="0" w:color="auto"/>
            </w:tcBorders>
            <w:hideMark/>
          </w:tcPr>
          <w:p w14:paraId="73F18FEF" w14:textId="77777777" w:rsidR="00A20106" w:rsidRPr="00A20106" w:rsidRDefault="00A20106" w:rsidP="00A20106">
            <w:pPr>
              <w:spacing w:line="300" w:lineRule="auto"/>
              <w:ind w:firstLineChars="200" w:firstLine="482"/>
              <w:jc w:val="both"/>
              <w:rPr>
                <w:b/>
                <w:bCs/>
              </w:rPr>
            </w:pPr>
            <w:r w:rsidRPr="00A20106">
              <w:rPr>
                <w:b/>
                <w:bCs/>
              </w:rPr>
              <w:t>沪深</w:t>
            </w:r>
            <w:r w:rsidRPr="00A20106">
              <w:rPr>
                <w:b/>
                <w:bCs/>
              </w:rPr>
              <w:t>300</w:t>
            </w:r>
            <w:r w:rsidRPr="00A20106">
              <w:rPr>
                <w:b/>
                <w:bCs/>
              </w:rPr>
              <w:t>指数</w:t>
            </w:r>
          </w:p>
        </w:tc>
      </w:tr>
      <w:tr w:rsidR="00A20106" w:rsidRPr="00A20106" w14:paraId="0B830B33" w14:textId="77777777" w:rsidTr="00A20106">
        <w:trPr>
          <w:jc w:val="center"/>
        </w:trPr>
        <w:tc>
          <w:tcPr>
            <w:tcW w:w="0" w:type="auto"/>
            <w:tcBorders>
              <w:top w:val="single" w:sz="12" w:space="0" w:color="auto"/>
            </w:tcBorders>
            <w:hideMark/>
          </w:tcPr>
          <w:p w14:paraId="4906A991" w14:textId="77777777" w:rsidR="00A20106" w:rsidRPr="00A20106" w:rsidRDefault="00A20106" w:rsidP="00A20106">
            <w:pPr>
              <w:spacing w:line="300" w:lineRule="auto"/>
              <w:ind w:firstLineChars="200" w:firstLine="482"/>
              <w:jc w:val="both"/>
            </w:pPr>
            <w:r w:rsidRPr="00A20106">
              <w:rPr>
                <w:b/>
                <w:bCs/>
              </w:rPr>
              <w:t>年化收益率</w:t>
            </w:r>
          </w:p>
        </w:tc>
        <w:tc>
          <w:tcPr>
            <w:tcW w:w="0" w:type="auto"/>
            <w:tcBorders>
              <w:top w:val="single" w:sz="12" w:space="0" w:color="auto"/>
            </w:tcBorders>
            <w:hideMark/>
          </w:tcPr>
          <w:p w14:paraId="1FA40CEC" w14:textId="77777777" w:rsidR="00A20106" w:rsidRPr="00A20106" w:rsidRDefault="00A20106" w:rsidP="00A20106">
            <w:pPr>
              <w:spacing w:line="300" w:lineRule="auto"/>
              <w:ind w:firstLineChars="200" w:firstLine="480"/>
              <w:jc w:val="both"/>
            </w:pPr>
            <w:r w:rsidRPr="00A20106">
              <w:t>7.33%</w:t>
            </w:r>
          </w:p>
        </w:tc>
        <w:tc>
          <w:tcPr>
            <w:tcW w:w="0" w:type="auto"/>
            <w:tcBorders>
              <w:top w:val="single" w:sz="12" w:space="0" w:color="auto"/>
            </w:tcBorders>
            <w:hideMark/>
          </w:tcPr>
          <w:p w14:paraId="73908D20" w14:textId="77777777" w:rsidR="00A20106" w:rsidRPr="00A20106" w:rsidRDefault="00A20106" w:rsidP="00A20106">
            <w:pPr>
              <w:spacing w:line="300" w:lineRule="auto"/>
              <w:ind w:firstLineChars="200" w:firstLine="480"/>
              <w:jc w:val="both"/>
            </w:pPr>
            <w:r w:rsidRPr="00A20106">
              <w:t>1.39%</w:t>
            </w:r>
          </w:p>
        </w:tc>
      </w:tr>
      <w:tr w:rsidR="00A20106" w:rsidRPr="00A20106" w14:paraId="55240E37" w14:textId="77777777" w:rsidTr="00A20106">
        <w:trPr>
          <w:jc w:val="center"/>
        </w:trPr>
        <w:tc>
          <w:tcPr>
            <w:tcW w:w="0" w:type="auto"/>
            <w:hideMark/>
          </w:tcPr>
          <w:p w14:paraId="3D515FB2" w14:textId="77777777" w:rsidR="00A20106" w:rsidRPr="00A20106" w:rsidRDefault="00A20106" w:rsidP="00A20106">
            <w:pPr>
              <w:spacing w:line="300" w:lineRule="auto"/>
              <w:ind w:firstLineChars="200" w:firstLine="482"/>
              <w:jc w:val="both"/>
            </w:pPr>
            <w:r w:rsidRPr="00A20106">
              <w:rPr>
                <w:b/>
                <w:bCs/>
              </w:rPr>
              <w:t>年化波动率</w:t>
            </w:r>
          </w:p>
        </w:tc>
        <w:tc>
          <w:tcPr>
            <w:tcW w:w="0" w:type="auto"/>
            <w:hideMark/>
          </w:tcPr>
          <w:p w14:paraId="75D10408" w14:textId="77777777" w:rsidR="00A20106" w:rsidRPr="00A20106" w:rsidRDefault="00A20106" w:rsidP="00A20106">
            <w:pPr>
              <w:spacing w:line="300" w:lineRule="auto"/>
              <w:ind w:firstLineChars="200" w:firstLine="480"/>
              <w:jc w:val="both"/>
            </w:pPr>
            <w:r w:rsidRPr="00A20106">
              <w:t>23.76%</w:t>
            </w:r>
          </w:p>
        </w:tc>
        <w:tc>
          <w:tcPr>
            <w:tcW w:w="0" w:type="auto"/>
            <w:hideMark/>
          </w:tcPr>
          <w:p w14:paraId="6E9494F9" w14:textId="77777777" w:rsidR="00A20106" w:rsidRPr="00A20106" w:rsidRDefault="00A20106" w:rsidP="00A20106">
            <w:pPr>
              <w:spacing w:line="300" w:lineRule="auto"/>
              <w:ind w:firstLineChars="200" w:firstLine="480"/>
              <w:jc w:val="both"/>
            </w:pPr>
            <w:r w:rsidRPr="00A20106">
              <w:t>-</w:t>
            </w:r>
          </w:p>
        </w:tc>
      </w:tr>
      <w:tr w:rsidR="00A20106" w:rsidRPr="00A20106" w14:paraId="31FD2237" w14:textId="77777777" w:rsidTr="00A20106">
        <w:trPr>
          <w:jc w:val="center"/>
        </w:trPr>
        <w:tc>
          <w:tcPr>
            <w:tcW w:w="0" w:type="auto"/>
            <w:hideMark/>
          </w:tcPr>
          <w:p w14:paraId="63423443" w14:textId="77777777" w:rsidR="00A20106" w:rsidRPr="00A20106" w:rsidRDefault="00A20106" w:rsidP="00A20106">
            <w:pPr>
              <w:spacing w:line="300" w:lineRule="auto"/>
              <w:ind w:firstLineChars="200" w:firstLine="482"/>
              <w:jc w:val="both"/>
            </w:pPr>
            <w:r w:rsidRPr="00A20106">
              <w:rPr>
                <w:b/>
                <w:bCs/>
              </w:rPr>
              <w:t>夏普比率</w:t>
            </w:r>
          </w:p>
        </w:tc>
        <w:tc>
          <w:tcPr>
            <w:tcW w:w="0" w:type="auto"/>
            <w:hideMark/>
          </w:tcPr>
          <w:p w14:paraId="7DDBD7D6" w14:textId="77777777" w:rsidR="00A20106" w:rsidRPr="00A20106" w:rsidRDefault="00A20106" w:rsidP="00A20106">
            <w:pPr>
              <w:spacing w:line="300" w:lineRule="auto"/>
              <w:ind w:firstLineChars="200" w:firstLine="480"/>
              <w:jc w:val="both"/>
            </w:pPr>
            <w:r w:rsidRPr="00A20106">
              <w:t>0.182</w:t>
            </w:r>
          </w:p>
        </w:tc>
        <w:tc>
          <w:tcPr>
            <w:tcW w:w="0" w:type="auto"/>
            <w:hideMark/>
          </w:tcPr>
          <w:p w14:paraId="75F4235A" w14:textId="77777777" w:rsidR="00A20106" w:rsidRPr="00A20106" w:rsidRDefault="00A20106" w:rsidP="00A20106">
            <w:pPr>
              <w:spacing w:line="300" w:lineRule="auto"/>
              <w:ind w:firstLineChars="200" w:firstLine="480"/>
              <w:jc w:val="both"/>
            </w:pPr>
            <w:r w:rsidRPr="00A20106">
              <w:t>-</w:t>
            </w:r>
          </w:p>
        </w:tc>
      </w:tr>
      <w:tr w:rsidR="00A20106" w:rsidRPr="00A20106" w14:paraId="36B2FC98" w14:textId="77777777" w:rsidTr="00A20106">
        <w:trPr>
          <w:jc w:val="center"/>
        </w:trPr>
        <w:tc>
          <w:tcPr>
            <w:tcW w:w="0" w:type="auto"/>
            <w:hideMark/>
          </w:tcPr>
          <w:p w14:paraId="57166ED2" w14:textId="77777777" w:rsidR="00A20106" w:rsidRPr="00A20106" w:rsidRDefault="00A20106" w:rsidP="00A20106">
            <w:pPr>
              <w:spacing w:line="300" w:lineRule="auto"/>
              <w:ind w:firstLineChars="200" w:firstLine="482"/>
              <w:jc w:val="both"/>
            </w:pPr>
            <w:r w:rsidRPr="00A20106">
              <w:rPr>
                <w:b/>
                <w:bCs/>
              </w:rPr>
              <w:t>最大回撤</w:t>
            </w:r>
          </w:p>
        </w:tc>
        <w:tc>
          <w:tcPr>
            <w:tcW w:w="0" w:type="auto"/>
            <w:hideMark/>
          </w:tcPr>
          <w:p w14:paraId="12A65C23" w14:textId="77777777" w:rsidR="00A20106" w:rsidRPr="00A20106" w:rsidRDefault="00A20106" w:rsidP="00A20106">
            <w:pPr>
              <w:spacing w:line="300" w:lineRule="auto"/>
              <w:ind w:firstLineChars="200" w:firstLine="480"/>
              <w:jc w:val="both"/>
            </w:pPr>
            <w:r w:rsidRPr="00A20106">
              <w:t>-39.43%</w:t>
            </w:r>
          </w:p>
        </w:tc>
        <w:tc>
          <w:tcPr>
            <w:tcW w:w="0" w:type="auto"/>
            <w:hideMark/>
          </w:tcPr>
          <w:p w14:paraId="13296922" w14:textId="77777777" w:rsidR="00A20106" w:rsidRPr="00A20106" w:rsidRDefault="00A20106" w:rsidP="00A20106">
            <w:pPr>
              <w:spacing w:line="300" w:lineRule="auto"/>
              <w:ind w:firstLineChars="200" w:firstLine="480"/>
              <w:jc w:val="both"/>
            </w:pPr>
            <w:r w:rsidRPr="00A20106">
              <w:t>-</w:t>
            </w:r>
          </w:p>
        </w:tc>
      </w:tr>
      <w:tr w:rsidR="00A20106" w:rsidRPr="00A20106" w14:paraId="3C744CB5" w14:textId="77777777" w:rsidTr="00A20106">
        <w:trPr>
          <w:jc w:val="center"/>
        </w:trPr>
        <w:tc>
          <w:tcPr>
            <w:tcW w:w="0" w:type="auto"/>
            <w:hideMark/>
          </w:tcPr>
          <w:p w14:paraId="0B911263" w14:textId="77777777" w:rsidR="00A20106" w:rsidRPr="00A20106" w:rsidRDefault="00A20106" w:rsidP="00A20106">
            <w:pPr>
              <w:spacing w:line="300" w:lineRule="auto"/>
              <w:ind w:firstLineChars="200" w:firstLine="482"/>
              <w:jc w:val="both"/>
            </w:pPr>
            <w:r w:rsidRPr="00A20106">
              <w:rPr>
                <w:b/>
                <w:bCs/>
              </w:rPr>
              <w:t>年化超额收益率</w:t>
            </w:r>
          </w:p>
        </w:tc>
        <w:tc>
          <w:tcPr>
            <w:tcW w:w="0" w:type="auto"/>
            <w:hideMark/>
          </w:tcPr>
          <w:p w14:paraId="577B1829" w14:textId="77777777" w:rsidR="00A20106" w:rsidRPr="00A20106" w:rsidRDefault="00A20106" w:rsidP="00A20106">
            <w:pPr>
              <w:spacing w:line="300" w:lineRule="auto"/>
              <w:ind w:firstLineChars="200" w:firstLine="480"/>
              <w:jc w:val="both"/>
            </w:pPr>
            <w:r w:rsidRPr="00A20106">
              <w:t>5.95%</w:t>
            </w:r>
          </w:p>
        </w:tc>
        <w:tc>
          <w:tcPr>
            <w:tcW w:w="0" w:type="auto"/>
            <w:hideMark/>
          </w:tcPr>
          <w:p w14:paraId="285ABF94" w14:textId="77777777" w:rsidR="00A20106" w:rsidRPr="00A20106" w:rsidRDefault="00A20106" w:rsidP="00A20106">
            <w:pPr>
              <w:spacing w:line="300" w:lineRule="auto"/>
              <w:ind w:firstLineChars="200" w:firstLine="480"/>
              <w:jc w:val="both"/>
            </w:pPr>
            <w:r w:rsidRPr="00A20106">
              <w:t>-</w:t>
            </w:r>
          </w:p>
        </w:tc>
      </w:tr>
      <w:tr w:rsidR="00A20106" w:rsidRPr="00A20106" w14:paraId="26740817" w14:textId="77777777" w:rsidTr="00A20106">
        <w:trPr>
          <w:jc w:val="center"/>
        </w:trPr>
        <w:tc>
          <w:tcPr>
            <w:tcW w:w="0" w:type="auto"/>
            <w:hideMark/>
          </w:tcPr>
          <w:p w14:paraId="54AFA195" w14:textId="77777777" w:rsidR="00A20106" w:rsidRPr="00A20106" w:rsidRDefault="00A20106" w:rsidP="00A20106">
            <w:pPr>
              <w:spacing w:line="300" w:lineRule="auto"/>
              <w:ind w:firstLineChars="200" w:firstLine="482"/>
              <w:jc w:val="both"/>
            </w:pPr>
            <w:r w:rsidRPr="00A20106">
              <w:rPr>
                <w:b/>
                <w:bCs/>
              </w:rPr>
              <w:t>信息比率</w:t>
            </w:r>
          </w:p>
        </w:tc>
        <w:tc>
          <w:tcPr>
            <w:tcW w:w="0" w:type="auto"/>
            <w:hideMark/>
          </w:tcPr>
          <w:p w14:paraId="70D6A532" w14:textId="77777777" w:rsidR="00A20106" w:rsidRPr="00A20106" w:rsidRDefault="00A20106" w:rsidP="00A20106">
            <w:pPr>
              <w:spacing w:line="300" w:lineRule="auto"/>
              <w:ind w:firstLineChars="200" w:firstLine="480"/>
              <w:jc w:val="both"/>
            </w:pPr>
            <w:r w:rsidRPr="00A20106">
              <w:t>0.559</w:t>
            </w:r>
          </w:p>
        </w:tc>
        <w:tc>
          <w:tcPr>
            <w:tcW w:w="0" w:type="auto"/>
            <w:hideMark/>
          </w:tcPr>
          <w:p w14:paraId="758C67B9" w14:textId="77777777" w:rsidR="00A20106" w:rsidRPr="00A20106" w:rsidRDefault="00A20106" w:rsidP="00A20106">
            <w:pPr>
              <w:spacing w:line="300" w:lineRule="auto"/>
              <w:ind w:firstLineChars="200" w:firstLine="480"/>
              <w:jc w:val="both"/>
            </w:pPr>
            <w:r w:rsidRPr="00A20106">
              <w:t>-</w:t>
            </w:r>
          </w:p>
        </w:tc>
      </w:tr>
    </w:tbl>
    <w:p w14:paraId="4C6712C7" w14:textId="77777777" w:rsidR="00A20106" w:rsidRPr="00A20106" w:rsidRDefault="00A20106" w:rsidP="00A20106">
      <w:pPr>
        <w:ind w:firstLine="482"/>
      </w:pPr>
      <w:r w:rsidRPr="00A20106">
        <w:rPr>
          <w:b/>
          <w:bCs/>
        </w:rPr>
        <w:t>长期绩效评估</w:t>
      </w:r>
      <w:r w:rsidRPr="00A20106">
        <w:t>：</w:t>
      </w:r>
    </w:p>
    <w:p w14:paraId="629804FF" w14:textId="77777777" w:rsidR="001D3CE1" w:rsidRPr="001D3CE1" w:rsidRDefault="001D3CE1" w:rsidP="001D3CE1">
      <w:pPr>
        <w:ind w:firstLine="480"/>
      </w:pPr>
      <w:r w:rsidRPr="001D3CE1">
        <w:t>从累计收益曲线（图</w:t>
      </w:r>
      <w:r w:rsidRPr="001D3CE1">
        <w:t>1.4</w:t>
      </w:r>
      <w:r w:rsidRPr="001D3CE1">
        <w:t>）和上表数据来看，基础</w:t>
      </w:r>
      <w:r w:rsidRPr="001D3CE1">
        <w:t>PB-ROE</w:t>
      </w:r>
      <w:r w:rsidRPr="001D3CE1">
        <w:t>策略的长期表现显著优于市场基准。在整个回测区间内，策略实现了</w:t>
      </w:r>
      <w:r w:rsidRPr="001D3CE1">
        <w:t>189.1%</w:t>
      </w:r>
      <w:r w:rsidRPr="001D3CE1">
        <w:t>的累计收益，折合年化收益率高达</w:t>
      </w:r>
      <w:r w:rsidRPr="001D3CE1">
        <w:t>7.33%</w:t>
      </w:r>
      <w:r w:rsidRPr="001D3CE1">
        <w:t>，相较于同期沪深</w:t>
      </w:r>
      <w:r w:rsidRPr="001D3CE1">
        <w:t>300</w:t>
      </w:r>
      <w:r w:rsidRPr="001D3CE1">
        <w:t>指数，创造了</w:t>
      </w:r>
      <w:r w:rsidRPr="001D3CE1">
        <w:t>5.95%</w:t>
      </w:r>
      <w:r w:rsidRPr="001D3CE1">
        <w:t>的年化超额收益。</w:t>
      </w:r>
    </w:p>
    <w:p w14:paraId="7D049BDA" w14:textId="77777777" w:rsidR="001D3CE1" w:rsidRPr="001D3CE1" w:rsidRDefault="001D3CE1" w:rsidP="001D3CE1">
      <w:pPr>
        <w:ind w:firstLine="482"/>
      </w:pPr>
      <w:r w:rsidRPr="001D3CE1">
        <w:rPr>
          <w:b/>
          <w:bCs/>
        </w:rPr>
        <w:t>风险与效率分析</w:t>
      </w:r>
      <w:r w:rsidRPr="001D3CE1">
        <w:t>：</w:t>
      </w:r>
      <w:r w:rsidRPr="001D3CE1">
        <w:t xml:space="preserve"> </w:t>
      </w:r>
      <w:r w:rsidRPr="001D3CE1">
        <w:t>在风险指标方面，策略的年化波动率为</w:t>
      </w:r>
      <w:r w:rsidRPr="001D3CE1">
        <w:t>23.76%</w:t>
      </w:r>
      <w:r w:rsidRPr="001D3CE1">
        <w:t>，最大回撤为</w:t>
      </w:r>
      <w:r w:rsidRPr="001D3CE1">
        <w:t>-39.43%</w:t>
      </w:r>
      <w:r w:rsidRPr="001D3CE1">
        <w:t>。这组数据显示，尽管策略的长期收益较高，但其净值波动与价值回撤的幅度也相对显著。从风险调整后收益来看，策略的夏普比率为</w:t>
      </w:r>
      <w:r w:rsidRPr="001D3CE1">
        <w:t>0.182</w:t>
      </w:r>
      <w:r w:rsidRPr="001D3CE1">
        <w:t>，信息比率为</w:t>
      </w:r>
      <w:r w:rsidRPr="001D3CE1">
        <w:t>0.559</w:t>
      </w:r>
      <w:r w:rsidRPr="001D3CE1">
        <w:t>，表明策略在承担主动风险的同时，能够获取一定水平的超额回报。</w:t>
      </w:r>
    </w:p>
    <w:p w14:paraId="61F56806" w14:textId="30485136" w:rsidR="00A20106" w:rsidRDefault="001D3CE1" w:rsidP="00CD5184">
      <w:pPr>
        <w:ind w:firstLine="480"/>
      </w:pPr>
      <w:r>
        <w:rPr>
          <w:rFonts w:hint="eastAsia"/>
          <w:noProof/>
        </w:rPr>
        <w:drawing>
          <wp:inline distT="0" distB="0" distL="0" distR="0" wp14:anchorId="61605BD5" wp14:editId="48AFE4B4">
            <wp:extent cx="5632755" cy="2973003"/>
            <wp:effectExtent l="0" t="0" r="6350" b="0"/>
            <wp:docPr id="169484963" name="图片 3"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963" name="图片 3" descr="图表, 条形图&#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8237" cy="2975897"/>
                    </a:xfrm>
                    <a:prstGeom prst="rect">
                      <a:avLst/>
                    </a:prstGeom>
                  </pic:spPr>
                </pic:pic>
              </a:graphicData>
            </a:graphic>
          </wp:inline>
        </w:drawing>
      </w:r>
    </w:p>
    <w:p w14:paraId="41B49E47" w14:textId="79167C84" w:rsidR="001D3CE1" w:rsidRPr="001D3CE1" w:rsidRDefault="001D3CE1" w:rsidP="001D3CE1">
      <w:pPr>
        <w:ind w:firstLineChars="0" w:firstLine="0"/>
        <w:jc w:val="center"/>
      </w:pPr>
      <w:r w:rsidRPr="001D3CE1">
        <w:t>图</w:t>
      </w:r>
      <w:r w:rsidRPr="001D3CE1">
        <w:t>1.5</w:t>
      </w:r>
      <w:r w:rsidRPr="001D3CE1">
        <w:t>：基础</w:t>
      </w:r>
      <w:r w:rsidRPr="001D3CE1">
        <w:t>PB-ROE</w:t>
      </w:r>
      <w:r w:rsidRPr="001D3CE1">
        <w:t>策略</w:t>
      </w:r>
      <w:r w:rsidRPr="001D3CE1">
        <w:t xml:space="preserve"> vs. </w:t>
      </w:r>
      <w:r w:rsidRPr="001D3CE1">
        <w:t>沪深</w:t>
      </w:r>
      <w:r w:rsidRPr="001D3CE1">
        <w:t xml:space="preserve">300 </w:t>
      </w:r>
      <w:r w:rsidRPr="001D3CE1">
        <w:t>年度收益率对比</w:t>
      </w:r>
    </w:p>
    <w:p w14:paraId="7DD0F1E1" w14:textId="1867D224" w:rsidR="00CD5184" w:rsidRPr="00CD5184" w:rsidRDefault="00CD5184" w:rsidP="00CD5184">
      <w:pPr>
        <w:ind w:firstLine="480"/>
      </w:pPr>
      <w:r w:rsidRPr="00CD5184">
        <w:t>首先，从累计收益曲线来看，</w:t>
      </w:r>
      <w:r w:rsidRPr="00CD5184">
        <w:t>PB-ROE</w:t>
      </w:r>
      <w:r w:rsidRPr="00CD5184">
        <w:t>策略的长期表现令人印象深刻。在整个回测区间内，策略实现了</w:t>
      </w:r>
      <w:r w:rsidRPr="00CD5184">
        <w:rPr>
          <w:b/>
          <w:bCs/>
        </w:rPr>
        <w:t>189.12%</w:t>
      </w:r>
      <w:r w:rsidRPr="00CD5184">
        <w:rPr>
          <w:b/>
          <w:bCs/>
        </w:rPr>
        <w:t>的累计收益，折合年化收益率高达</w:t>
      </w:r>
      <w:r w:rsidRPr="00CD5184">
        <w:rPr>
          <w:b/>
          <w:bCs/>
        </w:rPr>
        <w:t>7.33%</w:t>
      </w:r>
      <w:r w:rsidRPr="00CD5184">
        <w:t>。相比之下，同期沪深</w:t>
      </w:r>
      <w:r w:rsidRPr="00CD5184">
        <w:t>300</w:t>
      </w:r>
      <w:r w:rsidRPr="00CD5184">
        <w:t>指数的年化收益率仅为</w:t>
      </w:r>
      <w:r w:rsidRPr="00CD5184">
        <w:t>1.39%</w:t>
      </w:r>
      <w:r w:rsidRPr="00CD5184">
        <w:t>。这意味着，该策略创造了</w:t>
      </w:r>
      <w:r w:rsidRPr="00CD5184">
        <w:rPr>
          <w:b/>
          <w:bCs/>
        </w:rPr>
        <w:t>5.95%</w:t>
      </w:r>
      <w:r w:rsidRPr="00CD5184">
        <w:rPr>
          <w:b/>
          <w:bCs/>
        </w:rPr>
        <w:t>的年化超额收益</w:t>
      </w:r>
      <w:r w:rsidRPr="00CD5184">
        <w:t>。</w:t>
      </w:r>
    </w:p>
    <w:p w14:paraId="75C5DD9E" w14:textId="77777777" w:rsidR="001D3CE1" w:rsidRPr="001D3CE1" w:rsidRDefault="001D3CE1" w:rsidP="001D3CE1">
      <w:pPr>
        <w:ind w:firstLine="480"/>
      </w:pPr>
      <w:r w:rsidRPr="001D3CE1">
        <w:t>年度表现剖析：</w:t>
      </w:r>
      <w:r w:rsidRPr="001D3CE1">
        <w:t xml:space="preserve"> </w:t>
      </w:r>
      <w:r w:rsidRPr="001D3CE1">
        <w:t>图</w:t>
      </w:r>
      <w:r w:rsidRPr="001D3CE1">
        <w:t>1.5</w:t>
      </w:r>
      <w:r w:rsidRPr="001D3CE1">
        <w:t>的年度收益对比，揭示了策略在不同市场环境下的表现特征：</w:t>
      </w:r>
    </w:p>
    <w:p w14:paraId="42D3FDB8" w14:textId="77777777" w:rsidR="001D3CE1" w:rsidRPr="001D3CE1" w:rsidRDefault="001D3CE1" w:rsidP="001D3CE1">
      <w:pPr>
        <w:ind w:firstLine="480"/>
      </w:pPr>
      <w:r w:rsidRPr="001D3CE1">
        <w:t>在上行市场中的表现：在市场整体上涨的年份，例如</w:t>
      </w:r>
      <w:r w:rsidRPr="001D3CE1">
        <w:t>2014</w:t>
      </w:r>
      <w:r w:rsidRPr="001D3CE1">
        <w:t>年，策略获得了</w:t>
      </w:r>
      <w:r w:rsidRPr="001D3CE1">
        <w:t>167.8%</w:t>
      </w:r>
      <w:r w:rsidRPr="001D3CE1">
        <w:t>的年度收益，显著高于基准</w:t>
      </w:r>
      <w:r w:rsidRPr="001D3CE1">
        <w:t>50.04%</w:t>
      </w:r>
      <w:r w:rsidRPr="001D3CE1">
        <w:t>的涨幅，反映了策略所选股票在市场情绪乐观时具备较强的估值修复潜力。</w:t>
      </w:r>
    </w:p>
    <w:p w14:paraId="59B9577B" w14:textId="77777777" w:rsidR="001D3CE1" w:rsidRPr="001D3CE1" w:rsidRDefault="001D3CE1" w:rsidP="001D3CE1">
      <w:pPr>
        <w:ind w:firstLine="480"/>
      </w:pPr>
      <w:r w:rsidRPr="001D3CE1">
        <w:t>在下行及震荡市场中的表现：在市场整体下跌或震荡的年份，例如</w:t>
      </w:r>
      <w:r w:rsidRPr="001D3CE1">
        <w:t>2013</w:t>
      </w:r>
      <w:r w:rsidRPr="001D3CE1">
        <w:t>年、</w:t>
      </w:r>
      <w:r w:rsidRPr="001D3CE1">
        <w:t>2015</w:t>
      </w:r>
      <w:r w:rsidRPr="001D3CE1">
        <w:t>年、</w:t>
      </w:r>
      <w:r w:rsidRPr="001D3CE1">
        <w:t>2021</w:t>
      </w:r>
      <w:r w:rsidRPr="001D3CE1">
        <w:t>和</w:t>
      </w:r>
      <w:r w:rsidRPr="001D3CE1">
        <w:t>2023</w:t>
      </w:r>
      <w:r w:rsidRPr="001D3CE1">
        <w:t>年，策略的回撤幅度通常比沪深</w:t>
      </w:r>
      <w:r w:rsidRPr="001D3CE1">
        <w:t>300</w:t>
      </w:r>
      <w:r w:rsidRPr="001D3CE1">
        <w:t>指数小，显示出一定的相对防御性。</w:t>
      </w:r>
    </w:p>
    <w:p w14:paraId="365DE925" w14:textId="77777777" w:rsidR="001D3CE1" w:rsidRPr="001D3CE1" w:rsidRDefault="001D3CE1" w:rsidP="001D3CE1">
      <w:pPr>
        <w:ind w:firstLine="480"/>
      </w:pPr>
      <w:r w:rsidRPr="001D3CE1">
        <w:t>策略的适用性边界：策略并非在所有年份均能战胜基准。数据显示，在</w:t>
      </w:r>
      <w:r w:rsidRPr="001D3CE1">
        <w:t>2017</w:t>
      </w:r>
      <w:r w:rsidRPr="001D3CE1">
        <w:t>到</w:t>
      </w:r>
      <w:r w:rsidRPr="001D3CE1">
        <w:t>2020</w:t>
      </w:r>
      <w:r w:rsidRPr="001D3CE1">
        <w:t>年特定市场风格下（如大盘成长风格占优），策略表现连续四年不及沪深</w:t>
      </w:r>
      <w:r w:rsidRPr="001D3CE1">
        <w:t>300</w:t>
      </w:r>
      <w:r w:rsidRPr="001D3CE1">
        <w:t>指数，表明其有效性存在对特定市场环境的依赖性。</w:t>
      </w:r>
    </w:p>
    <w:p w14:paraId="4BC5F3A7" w14:textId="77777777" w:rsidR="001D3CE1" w:rsidRPr="001D3CE1" w:rsidRDefault="001D3CE1" w:rsidP="001D3CE1">
      <w:pPr>
        <w:ind w:firstLine="482"/>
        <w:rPr>
          <w:b/>
          <w:bCs/>
        </w:rPr>
      </w:pPr>
      <w:r w:rsidRPr="001D3CE1">
        <w:rPr>
          <w:b/>
          <w:bCs/>
        </w:rPr>
        <w:t xml:space="preserve">1.5 </w:t>
      </w:r>
      <w:r w:rsidRPr="001D3CE1">
        <w:rPr>
          <w:b/>
          <w:bCs/>
        </w:rPr>
        <w:t>本章小结</w:t>
      </w:r>
    </w:p>
    <w:p w14:paraId="042124E3" w14:textId="77777777" w:rsidR="001D3CE1" w:rsidRPr="001D3CE1" w:rsidRDefault="001D3CE1" w:rsidP="001D3CE1">
      <w:pPr>
        <w:ind w:firstLine="480"/>
      </w:pPr>
      <w:r w:rsidRPr="001D3CE1">
        <w:t>本章基于威尔科克斯的经典</w:t>
      </w:r>
      <w:r w:rsidRPr="001D3CE1">
        <w:t>PB-ROE</w:t>
      </w:r>
      <w:r w:rsidRPr="001D3CE1">
        <w:t>估值理论，首先在</w:t>
      </w:r>
      <w:r w:rsidRPr="001D3CE1">
        <w:t>A</w:t>
      </w:r>
      <w:r w:rsidRPr="001D3CE1">
        <w:t>股市场中验证了盈利能力（</w:t>
      </w:r>
      <w:r w:rsidRPr="001D3CE1">
        <w:t>ROE</w:t>
      </w:r>
      <w:r w:rsidRPr="001D3CE1">
        <w:t>）与估值水平（</w:t>
      </w:r>
      <w:r w:rsidRPr="001D3CE1">
        <w:t>P/B</w:t>
      </w:r>
      <w:r w:rsidRPr="001D3CE1">
        <w:t>）之间存在的正相关关系，并以此为理论基础，构建了一个旨在筛选</w:t>
      </w:r>
      <w:r w:rsidRPr="001D3CE1">
        <w:t>“</w:t>
      </w:r>
      <w:r w:rsidRPr="001D3CE1">
        <w:t>高</w:t>
      </w:r>
      <w:r w:rsidRPr="001D3CE1">
        <w:t>ROE</w:t>
      </w:r>
      <w:r w:rsidRPr="001D3CE1">
        <w:t>、低</w:t>
      </w:r>
      <w:r w:rsidRPr="001D3CE1">
        <w:t>P/B”</w:t>
      </w:r>
      <w:r w:rsidRPr="001D3CE1">
        <w:t>股票的量化投资策略。</w:t>
      </w:r>
    </w:p>
    <w:p w14:paraId="0690DC6E" w14:textId="77777777" w:rsidR="001D3CE1" w:rsidRPr="001D3CE1" w:rsidRDefault="001D3CE1" w:rsidP="001D3CE1">
      <w:pPr>
        <w:ind w:firstLine="480"/>
      </w:pPr>
      <w:r w:rsidRPr="001D3CE1">
        <w:t>通过对</w:t>
      </w:r>
      <w:r w:rsidRPr="001D3CE1">
        <w:t>2010</w:t>
      </w:r>
      <w:r w:rsidRPr="001D3CE1">
        <w:t>年至</w:t>
      </w:r>
      <w:r w:rsidRPr="001D3CE1">
        <w:t>2025</w:t>
      </w:r>
      <w:r w:rsidRPr="001D3CE1">
        <w:t>年长达</w:t>
      </w:r>
      <w:r w:rsidRPr="001D3CE1">
        <w:t>15</w:t>
      </w:r>
      <w:r w:rsidRPr="001D3CE1">
        <w:t>年的历史数据进行回测，我们证实了该基础策略在</w:t>
      </w:r>
      <w:r w:rsidRPr="001D3CE1">
        <w:t>A</w:t>
      </w:r>
      <w:r w:rsidRPr="001D3CE1">
        <w:t>股市场的长期有效性。回测结果表明，在不考虑交易成本的情况下，该策略在长周期内实现了超越沪深</w:t>
      </w:r>
      <w:r w:rsidRPr="001D3CE1">
        <w:t>300</w:t>
      </w:r>
      <w:r w:rsidRPr="001D3CE1">
        <w:t>指数的累计收益和年化收益。</w:t>
      </w:r>
    </w:p>
    <w:p w14:paraId="7E6511C4" w14:textId="77777777" w:rsidR="001D3CE1" w:rsidRPr="001D3CE1" w:rsidRDefault="001D3CE1" w:rsidP="001D3CE1">
      <w:pPr>
        <w:ind w:firstLine="480"/>
      </w:pPr>
      <w:r w:rsidRPr="001D3CE1">
        <w:t>然而，分析过程也揭示了该策略作为一个初始框架的局限性：其一，策略的风险指标（如波动率和最大回撤）处于较高水平；其二，策略的有效性与市场风格存在关联，在特定年份会落后于市场基准；其三，也是最重要的一点，策略的构建过程并未考虑行业分布，可能导致无意识的行业集中风险。这些局限性，正是我们下一章将要着力优化和改进的方向。</w:t>
      </w:r>
    </w:p>
    <w:p w14:paraId="5655D4D6" w14:textId="77777777" w:rsidR="00616F2A" w:rsidRPr="001D3CE1" w:rsidRDefault="00616F2A" w:rsidP="008F6B60">
      <w:pPr>
        <w:ind w:firstLine="480"/>
      </w:pPr>
    </w:p>
    <w:p w14:paraId="4B99C83E" w14:textId="31AF05BF" w:rsidR="008773EE" w:rsidRPr="008773EE" w:rsidRDefault="008773EE" w:rsidP="00B42523">
      <w:pPr>
        <w:ind w:left="62" w:firstLineChars="0" w:firstLine="420"/>
        <w:outlineLvl w:val="0"/>
        <w:rPr>
          <w:b/>
          <w:bCs/>
          <w:sz w:val="36"/>
          <w:szCs w:val="36"/>
        </w:rPr>
      </w:pPr>
      <w:r w:rsidRPr="008773EE">
        <w:rPr>
          <w:b/>
          <w:bCs/>
          <w:sz w:val="36"/>
          <w:szCs w:val="36"/>
        </w:rPr>
        <w:t>第二章</w:t>
      </w:r>
      <w:r w:rsidRPr="008773EE">
        <w:rPr>
          <w:b/>
          <w:bCs/>
          <w:sz w:val="36"/>
          <w:szCs w:val="36"/>
        </w:rPr>
        <w:t xml:space="preserve"> </w:t>
      </w:r>
      <w:r w:rsidR="00175566">
        <w:rPr>
          <w:rFonts w:hint="eastAsia"/>
          <w:b/>
          <w:bCs/>
          <w:sz w:val="36"/>
          <w:szCs w:val="36"/>
        </w:rPr>
        <w:t>行业中性化与月度调仓</w:t>
      </w:r>
    </w:p>
    <w:p w14:paraId="2E1300DF" w14:textId="77777777" w:rsidR="00F70300" w:rsidRPr="00F70300" w:rsidRDefault="00F70300" w:rsidP="00F70300">
      <w:pPr>
        <w:ind w:firstLine="480"/>
      </w:pPr>
      <w:r w:rsidRPr="00F70300">
        <w:t>在第一章中，我们基于价值投资的核心理论，构建了一个基础的</w:t>
      </w:r>
      <w:r w:rsidRPr="00F70300">
        <w:t>PB-ROE</w:t>
      </w:r>
      <w:r w:rsidRPr="00F70300">
        <w:t>策略。该策略虽然在回测中展现了超越市场基准的潜力，但其作为一个初始框架，在结构上仍存在若干可供优化的环节。一个稳健的量化策略，不仅需要具备坚实的理论基础，还必须在实践中能够有效应对复杂的市场环境，规避非必要的风险暴露，并尽可能地提升信息利用效率。</w:t>
      </w:r>
    </w:p>
    <w:p w14:paraId="2A153B09" w14:textId="77777777" w:rsidR="00F70300" w:rsidRPr="00F70300" w:rsidRDefault="00F70300" w:rsidP="00F70300">
      <w:pPr>
        <w:ind w:firstLine="480"/>
      </w:pPr>
      <w:r w:rsidRPr="00F70300">
        <w:t>本章的核心任务，便是对第一章的基础策略进行一系列关键的、层层递进的优化与改进。我们将从三个维度出发：首先，通过引入</w:t>
      </w:r>
      <w:r w:rsidRPr="00F70300">
        <w:rPr>
          <w:b/>
          <w:bCs/>
        </w:rPr>
        <w:t>行业中性化</w:t>
      </w:r>
      <w:r w:rsidRPr="00F70300">
        <w:t>约束，剥离无意识的行业</w:t>
      </w:r>
      <w:r w:rsidRPr="00F70300">
        <w:t>“</w:t>
      </w:r>
      <w:r w:rsidRPr="00F70300">
        <w:t>赌注</w:t>
      </w:r>
      <w:r w:rsidRPr="00F70300">
        <w:t>”</w:t>
      </w:r>
      <w:r w:rsidRPr="00F70300">
        <w:t>，使策略的超额收益来源更加纯粹；其次，将调仓周期与</w:t>
      </w:r>
      <w:r w:rsidRPr="00F70300">
        <w:rPr>
          <w:b/>
          <w:bCs/>
        </w:rPr>
        <w:t>A</w:t>
      </w:r>
      <w:r w:rsidRPr="00F70300">
        <w:rPr>
          <w:b/>
          <w:bCs/>
        </w:rPr>
        <w:t>股财报披露节奏</w:t>
      </w:r>
      <w:r w:rsidRPr="00F70300">
        <w:t>相匹配，以提升基本面信息的时效性；最后，引入</w:t>
      </w:r>
      <w:r w:rsidRPr="00F70300">
        <w:rPr>
          <w:b/>
          <w:bCs/>
        </w:rPr>
        <w:t>月度再平衡</w:t>
      </w:r>
      <w:r w:rsidRPr="00F70300">
        <w:t>机制，旨在解决估值因子在持仓期内的</w:t>
      </w:r>
      <w:r w:rsidRPr="00F70300">
        <w:t>“</w:t>
      </w:r>
      <w:r w:rsidRPr="00F70300">
        <w:t>衰减</w:t>
      </w:r>
      <w:r w:rsidRPr="00F70300">
        <w:t>”</w:t>
      </w:r>
      <w:r w:rsidRPr="00F70300">
        <w:t>问题，确保策略始终锚定于其核心目标。</w:t>
      </w:r>
    </w:p>
    <w:p w14:paraId="0B86A1D0" w14:textId="77777777" w:rsidR="00F70300" w:rsidRPr="00F70300" w:rsidRDefault="00F70300" w:rsidP="00F70300">
      <w:pPr>
        <w:ind w:firstLine="480"/>
      </w:pPr>
      <w:r w:rsidRPr="00F70300">
        <w:t>每一次改进，我们都将详细阐述其背后的理论依据与逻辑，并通过严谨的回测数据，对其产生的实际效果进行量化评估。通过本章的探索，</w:t>
      </w:r>
      <w:r w:rsidRPr="00F70300">
        <w:t>PB-ROE</w:t>
      </w:r>
      <w:r w:rsidRPr="00F70300">
        <w:t>策略将从一个朴素的初始模型，逐步演化为一个在风险控制、信息效率和因子敞口维持上都更为成熟的量化投资框架。</w:t>
      </w:r>
    </w:p>
    <w:p w14:paraId="68AD66C7" w14:textId="695F0543" w:rsidR="00B42523" w:rsidRPr="00B42523" w:rsidRDefault="00F70300" w:rsidP="00B42523">
      <w:pPr>
        <w:ind w:firstLine="482"/>
        <w:rPr>
          <w:b/>
          <w:bCs/>
        </w:rPr>
      </w:pPr>
      <w:r>
        <w:rPr>
          <w:rFonts w:hint="eastAsia"/>
          <w:b/>
          <w:bCs/>
        </w:rPr>
        <w:t>2.1</w:t>
      </w:r>
      <w:r w:rsidR="00B42523" w:rsidRPr="00B42523">
        <w:rPr>
          <w:rFonts w:hint="eastAsia"/>
          <w:b/>
          <w:bCs/>
        </w:rPr>
        <w:t>策略改进一：引入行业中性化</w:t>
      </w:r>
    </w:p>
    <w:p w14:paraId="7A95FD2F" w14:textId="0E139468" w:rsidR="00F70300" w:rsidRPr="00F70300" w:rsidRDefault="00F70300" w:rsidP="00B42523">
      <w:pPr>
        <w:ind w:firstLine="482"/>
        <w:rPr>
          <w:b/>
          <w:bCs/>
        </w:rPr>
      </w:pPr>
      <w:r w:rsidRPr="00F70300">
        <w:rPr>
          <w:b/>
          <w:bCs/>
        </w:rPr>
        <w:t xml:space="preserve">2.1.1 </w:t>
      </w:r>
      <w:r w:rsidRPr="00F70300">
        <w:rPr>
          <w:b/>
          <w:bCs/>
        </w:rPr>
        <w:t>问题的提出：无意识的行业</w:t>
      </w:r>
      <w:r w:rsidRPr="00F70300">
        <w:rPr>
          <w:b/>
          <w:bCs/>
        </w:rPr>
        <w:t>“</w:t>
      </w:r>
      <w:r w:rsidRPr="00F70300">
        <w:rPr>
          <w:b/>
          <w:bCs/>
        </w:rPr>
        <w:t>赌注</w:t>
      </w:r>
      <w:r w:rsidRPr="00F70300">
        <w:rPr>
          <w:b/>
          <w:bCs/>
        </w:rPr>
        <w:t>”</w:t>
      </w:r>
    </w:p>
    <w:p w14:paraId="68450AC2" w14:textId="77777777" w:rsidR="00F70300" w:rsidRPr="00F70300" w:rsidRDefault="00F70300" w:rsidP="00F70300">
      <w:pPr>
        <w:ind w:firstLine="480"/>
      </w:pPr>
      <w:r w:rsidRPr="00F70300">
        <w:t>第一章的基础</w:t>
      </w:r>
      <w:r w:rsidRPr="00F70300">
        <w:t>PB-ROE</w:t>
      </w:r>
      <w:r w:rsidRPr="00F70300">
        <w:t>策略，其选股范围是全市场的</w:t>
      </w:r>
      <w:r w:rsidRPr="00F70300">
        <w:t>A</w:t>
      </w:r>
      <w:r w:rsidRPr="00F70300">
        <w:t>股公司。这种</w:t>
      </w:r>
      <w:r w:rsidRPr="00F70300">
        <w:t>“</w:t>
      </w:r>
      <w:r w:rsidRPr="00F70300">
        <w:t>一刀切</w:t>
      </w:r>
      <w:r w:rsidRPr="00F70300">
        <w:t>”</w:t>
      </w:r>
      <w:r w:rsidRPr="00F70300">
        <w:t>式的筛选方法，虽然简单直观，但存在一个重大的潜在风险：它可能会导致投资组合在行业配置上出现显著的、非刻意的偏离，从而对某些特定行业进行了大规模的集中押注。</w:t>
      </w:r>
    </w:p>
    <w:p w14:paraId="3BBA9B6E" w14:textId="77777777" w:rsidR="00F70300" w:rsidRPr="00F70300" w:rsidRDefault="00F70300" w:rsidP="00F70300">
      <w:pPr>
        <w:ind w:firstLine="480"/>
      </w:pPr>
      <w:r w:rsidRPr="00F70300">
        <w:t>为了验证这一点，我们统计了在整个回测期间，基础</w:t>
      </w:r>
      <w:r w:rsidRPr="00F70300">
        <w:t>PB-ROE</w:t>
      </w:r>
      <w:r w:rsidRPr="00F70300">
        <w:t>策略持仓中出现次数最多的前十大行业。</w:t>
      </w:r>
    </w:p>
    <w:p w14:paraId="13E81171" w14:textId="53D74B65" w:rsidR="00B42523" w:rsidRDefault="00B42523" w:rsidP="00B42523">
      <w:pPr>
        <w:ind w:firstLineChars="0" w:firstLine="0"/>
        <w:jc w:val="center"/>
      </w:pPr>
      <w:r>
        <w:rPr>
          <w:rFonts w:hint="eastAsia"/>
          <w:noProof/>
        </w:rPr>
        <w:drawing>
          <wp:inline distT="0" distB="0" distL="0" distR="0" wp14:anchorId="05744C9E" wp14:editId="43B0484C">
            <wp:extent cx="6188710" cy="3823335"/>
            <wp:effectExtent l="0" t="0" r="2540" b="5715"/>
            <wp:docPr id="1401507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07687" name="图片 14015076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823335"/>
                    </a:xfrm>
                    <a:prstGeom prst="rect">
                      <a:avLst/>
                    </a:prstGeom>
                  </pic:spPr>
                </pic:pic>
              </a:graphicData>
            </a:graphic>
          </wp:inline>
        </w:drawing>
      </w:r>
    </w:p>
    <w:p w14:paraId="01BA1597" w14:textId="77777777" w:rsidR="00F70300" w:rsidRDefault="00F70300" w:rsidP="00F70300">
      <w:pPr>
        <w:ind w:firstLine="480"/>
      </w:pPr>
      <w:r>
        <w:rPr>
          <w:rFonts w:hint="eastAsia"/>
        </w:rPr>
        <w:t>上图清晰地揭示了策略的行业偏好。在长达</w:t>
      </w:r>
      <w:r>
        <w:rPr>
          <w:rFonts w:hint="eastAsia"/>
        </w:rPr>
        <w:t>15</w:t>
      </w:r>
      <w:r>
        <w:rPr>
          <w:rFonts w:hint="eastAsia"/>
        </w:rPr>
        <w:t>年的回测期内，房地产业和货币金融服务这两个典型的周期性行业，占据了持仓的绝对主导地位。此外，化学原料、汽车、电力、建筑等也均是与宏观经济周期高度相关的行业。这种对行业的无意识“豪赌”，会使策略的整体表现与特定行业的景气周期高度绑定，引入了与我们核心投资逻辑无关的行业贝塔（</w:t>
      </w:r>
      <w:r>
        <w:rPr>
          <w:rFonts w:hint="eastAsia"/>
        </w:rPr>
        <w:t>Industry Beta</w:t>
      </w:r>
      <w:r>
        <w:rPr>
          <w:rFonts w:hint="eastAsia"/>
        </w:rPr>
        <w:t>）风险。当行业风向逆转时，组合可能因此面临巨大的回撤。</w:t>
      </w:r>
    </w:p>
    <w:p w14:paraId="52F9A680" w14:textId="77777777" w:rsidR="00F70300" w:rsidRDefault="00F70300" w:rsidP="00F70300">
      <w:pPr>
        <w:ind w:firstLine="480"/>
      </w:pPr>
      <w:r>
        <w:rPr>
          <w:rFonts w:hint="eastAsia"/>
        </w:rPr>
        <w:t>反之，在另一阶段，一些具备高成长性的行业，如科技或医疗，其固有的较高估值中枢可能会使它们在全市场统一排序中系统性地处于不利地位，从而被长期排除在投资组合之外。我们追求的超额收益（</w:t>
      </w:r>
      <w:r>
        <w:rPr>
          <w:rFonts w:hint="eastAsia"/>
        </w:rPr>
        <w:t>Alpha</w:t>
      </w:r>
      <w:r>
        <w:rPr>
          <w:rFonts w:hint="eastAsia"/>
        </w:rPr>
        <w:t>），应当主要源于在同类可比企业中“择优”的能力，而非依赖于对行业未来走势的投机性判断。</w:t>
      </w:r>
    </w:p>
    <w:p w14:paraId="7621496C" w14:textId="77777777" w:rsidR="00F70300" w:rsidRDefault="00F70300" w:rsidP="00F87BCD">
      <w:pPr>
        <w:ind w:firstLine="482"/>
        <w:rPr>
          <w:b/>
          <w:bCs/>
        </w:rPr>
      </w:pPr>
      <w:r w:rsidRPr="00F70300">
        <w:rPr>
          <w:b/>
          <w:bCs/>
        </w:rPr>
        <w:t xml:space="preserve">2.1.2 </w:t>
      </w:r>
      <w:r w:rsidRPr="00F70300">
        <w:rPr>
          <w:b/>
          <w:bCs/>
        </w:rPr>
        <w:t>改进的逻辑与实施</w:t>
      </w:r>
    </w:p>
    <w:p w14:paraId="72CCB64F" w14:textId="77777777" w:rsidR="00F70300" w:rsidRPr="00F70300" w:rsidRDefault="00F70300" w:rsidP="00F70300">
      <w:pPr>
        <w:ind w:firstLine="480"/>
        <w:jc w:val="left"/>
      </w:pPr>
      <w:r w:rsidRPr="00F70300">
        <w:t>为了解决这一问题，剥离非预期的行业风险暴露，我们对基础策略进行第一个关键改进：</w:t>
      </w:r>
      <w:r w:rsidRPr="00F70300">
        <w:rPr>
          <w:b/>
          <w:bCs/>
        </w:rPr>
        <w:t>引入行业中性化约束（</w:t>
      </w:r>
      <w:r w:rsidRPr="00F70300">
        <w:rPr>
          <w:b/>
          <w:bCs/>
        </w:rPr>
        <w:t>Industry Neutralization</w:t>
      </w:r>
      <w:r w:rsidRPr="00F70300">
        <w:rPr>
          <w:b/>
          <w:bCs/>
        </w:rPr>
        <w:t>）</w:t>
      </w:r>
      <w:r w:rsidRPr="00F70300">
        <w:t>。</w:t>
      </w:r>
    </w:p>
    <w:p w14:paraId="327AF8CD" w14:textId="77777777" w:rsidR="00F70300" w:rsidRPr="00F70300" w:rsidRDefault="00F70300" w:rsidP="00F70300">
      <w:pPr>
        <w:ind w:firstLine="480"/>
        <w:jc w:val="left"/>
      </w:pPr>
      <w:r w:rsidRPr="00F70300">
        <w:t>其核心改进逻辑在于改变选股的比较基准，从</w:t>
      </w:r>
      <w:r w:rsidRPr="00F70300">
        <w:t>“</w:t>
      </w:r>
      <w:r w:rsidRPr="00F70300">
        <w:t>全市场</w:t>
      </w:r>
      <w:r w:rsidRPr="00F70300">
        <w:t>”</w:t>
      </w:r>
      <w:r w:rsidRPr="00F70300">
        <w:t>比较转变为</w:t>
      </w:r>
      <w:r w:rsidRPr="00F70300">
        <w:t>“</w:t>
      </w:r>
      <w:r w:rsidRPr="00F70300">
        <w:t>行业内</w:t>
      </w:r>
      <w:r w:rsidRPr="00F70300">
        <w:t>”</w:t>
      </w:r>
      <w:r w:rsidRPr="00F70300">
        <w:t>比较：</w:t>
      </w:r>
    </w:p>
    <w:p w14:paraId="32A78CF1" w14:textId="77777777" w:rsidR="00F70300" w:rsidRPr="00F70300" w:rsidRDefault="00F70300" w:rsidP="00F70300">
      <w:pPr>
        <w:ind w:firstLine="482"/>
        <w:jc w:val="left"/>
      </w:pPr>
      <w:r w:rsidRPr="00F70300">
        <w:rPr>
          <w:b/>
          <w:bCs/>
        </w:rPr>
        <w:t>分组处理</w:t>
      </w:r>
      <w:r w:rsidRPr="00F70300">
        <w:t>：我们不再将所有</w:t>
      </w:r>
      <w:r w:rsidRPr="00F70300">
        <w:t>A</w:t>
      </w:r>
      <w:r w:rsidRPr="00F70300">
        <w:t>股市场的公司置于同一个池子中进行排序。取而代之的是，在每个调仓日，我们首先将所有股票按其所属行业（例如，根据证监会一级行业分类）进行分组。</w:t>
      </w:r>
    </w:p>
    <w:p w14:paraId="60D6C36E" w14:textId="77777777" w:rsidR="00F70300" w:rsidRPr="00F70300" w:rsidRDefault="00F70300" w:rsidP="00F70300">
      <w:pPr>
        <w:ind w:firstLine="482"/>
        <w:jc w:val="left"/>
      </w:pPr>
      <w:r w:rsidRPr="00F70300">
        <w:rPr>
          <w:b/>
          <w:bCs/>
        </w:rPr>
        <w:t>行业内筛选</w:t>
      </w:r>
      <w:r w:rsidRPr="00F70300">
        <w:t>：在每一个独立的行业内部，我们运用相同的</w:t>
      </w:r>
      <w:r w:rsidRPr="00F70300">
        <w:t>PB-ROE</w:t>
      </w:r>
      <w:r w:rsidRPr="00F70300">
        <w:t>标准进行排序和筛选。具体而言，我们寻找每个行业中，那些同时满足</w:t>
      </w:r>
      <w:r w:rsidRPr="00F70300">
        <w:t>“</w:t>
      </w:r>
      <w:r w:rsidRPr="00F70300">
        <w:t>高</w:t>
      </w:r>
      <w:r w:rsidRPr="00F70300">
        <w:t>ROE”</w:t>
      </w:r>
      <w:r w:rsidRPr="00F70300">
        <w:t>和</w:t>
      </w:r>
      <w:r w:rsidRPr="00F70300">
        <w:t>“</w:t>
      </w:r>
      <w:r w:rsidRPr="00F70300">
        <w:t>低</w:t>
      </w:r>
      <w:r w:rsidRPr="00F70300">
        <w:t>P/B”</w:t>
      </w:r>
      <w:r w:rsidRPr="00F70300">
        <w:t>标准的股票。</w:t>
      </w:r>
    </w:p>
    <w:p w14:paraId="2A14308C" w14:textId="77777777" w:rsidR="00F70300" w:rsidRPr="00F70300" w:rsidRDefault="00F70300" w:rsidP="00F70300">
      <w:pPr>
        <w:ind w:firstLine="482"/>
        <w:jc w:val="left"/>
      </w:pPr>
      <w:r w:rsidRPr="00F70300">
        <w:rPr>
          <w:b/>
          <w:bCs/>
        </w:rPr>
        <w:t>构建组合</w:t>
      </w:r>
      <w:r w:rsidRPr="00F70300">
        <w:t>：通过在每个行业内都挑选出综合表现最靠前的标的，我们最终构建的投资组合，在行业权重上能够更贴近市场整体的行业分布，从而在源头上避免了对单一行业的过度暴露。</w:t>
      </w:r>
    </w:p>
    <w:p w14:paraId="63973FAD" w14:textId="77777777" w:rsidR="00F70300" w:rsidRPr="00F70300" w:rsidRDefault="00F70300" w:rsidP="00F70300">
      <w:pPr>
        <w:ind w:firstLine="480"/>
        <w:jc w:val="left"/>
      </w:pPr>
      <w:r w:rsidRPr="00F70300">
        <w:t>通过实施行业中性化，我们的策略目标变得更加纯粹：在控制行业风险敞口的前提下，专注于发掘每个行业内部最具性价比的个股。这不仅有助于降低组合的非系统性风险和波动性，提升风险调整后收益（如夏普比率），也使得策略的长期表现更加稳健和可预测。</w:t>
      </w:r>
    </w:p>
    <w:p w14:paraId="514A41AF" w14:textId="5D918308" w:rsidR="00183DB9" w:rsidRPr="00F70300" w:rsidRDefault="00F70300" w:rsidP="00F70300">
      <w:pPr>
        <w:ind w:firstLine="482"/>
        <w:jc w:val="left"/>
        <w:rPr>
          <w:b/>
          <w:bCs/>
        </w:rPr>
      </w:pPr>
      <w:r w:rsidRPr="00F70300">
        <w:rPr>
          <w:b/>
          <w:bCs/>
        </w:rPr>
        <w:t xml:space="preserve">2.1.3 </w:t>
      </w:r>
      <w:r w:rsidRPr="00F70300">
        <w:rPr>
          <w:b/>
          <w:bCs/>
        </w:rPr>
        <w:t>实证分析：风险调整后收益的提升</w:t>
      </w:r>
    </w:p>
    <w:p w14:paraId="5C2608F0" w14:textId="0C1B5BDE" w:rsidR="00F70300" w:rsidRDefault="00F70300" w:rsidP="00F70300">
      <w:pPr>
        <w:ind w:firstLine="480"/>
      </w:pPr>
      <w:r w:rsidRPr="00F70300">
        <w:t>为了验证行业中性化改进的有效性，我们对原始策略和行业中性策略在</w:t>
      </w:r>
      <w:r w:rsidRPr="00F70300">
        <w:t>2010</w:t>
      </w:r>
      <w:r w:rsidRPr="00F70300">
        <w:t>年</w:t>
      </w:r>
      <w:r w:rsidRPr="00F70300">
        <w:t>5</w:t>
      </w:r>
      <w:r w:rsidRPr="00F70300">
        <w:t>月至</w:t>
      </w:r>
      <w:r w:rsidRPr="00F70300">
        <w:t>2025</w:t>
      </w:r>
      <w:r w:rsidRPr="00F70300">
        <w:t>年</w:t>
      </w:r>
      <w:r w:rsidRPr="00F70300">
        <w:t>4</w:t>
      </w:r>
      <w:r w:rsidRPr="00F70300">
        <w:t>月这一长达</w:t>
      </w:r>
      <w:r w:rsidRPr="00F70300">
        <w:t>15</w:t>
      </w:r>
      <w:r w:rsidRPr="00F70300">
        <w:t>年的区间内进行了回测，并与沪深</w:t>
      </w:r>
      <w:r w:rsidRPr="00F70300">
        <w:t>300</w:t>
      </w:r>
      <w:r w:rsidRPr="00F70300">
        <w:t>指数进行对比。首先，我们观察改进后的行业中性策略的持仓分布。</w:t>
      </w:r>
    </w:p>
    <w:p w14:paraId="23881134" w14:textId="748A4AED" w:rsidR="00F70300" w:rsidRDefault="00F70300" w:rsidP="00F70300">
      <w:pPr>
        <w:ind w:firstLineChars="0" w:firstLine="0"/>
        <w:jc w:val="center"/>
      </w:pPr>
      <w:r>
        <w:rPr>
          <w:noProof/>
        </w:rPr>
        <w:drawing>
          <wp:inline distT="0" distB="0" distL="0" distR="0" wp14:anchorId="78695D4E" wp14:editId="2DA7A5FE">
            <wp:extent cx="6188710" cy="3798570"/>
            <wp:effectExtent l="0" t="0" r="2540" b="0"/>
            <wp:docPr id="12966219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21942" name="图片 12966219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798570"/>
                    </a:xfrm>
                    <a:prstGeom prst="rect">
                      <a:avLst/>
                    </a:prstGeom>
                  </pic:spPr>
                </pic:pic>
              </a:graphicData>
            </a:graphic>
          </wp:inline>
        </w:drawing>
      </w:r>
    </w:p>
    <w:p w14:paraId="61A8947A" w14:textId="77777777" w:rsidR="006E6314" w:rsidRDefault="006E6314" w:rsidP="006E6314">
      <w:pPr>
        <w:ind w:firstLine="480"/>
        <w:jc w:val="left"/>
      </w:pPr>
      <w:r w:rsidRPr="006E6314">
        <w:t>与原始策略相比，行业中性策略的持仓分布呈现出显著的</w:t>
      </w:r>
      <w:r w:rsidRPr="006E6314">
        <w:rPr>
          <w:b/>
          <w:bCs/>
        </w:rPr>
        <w:t>均衡化</w:t>
      </w:r>
      <w:r w:rsidRPr="006E6314">
        <w:t>特征。计算机、通信和其他电子设备制造业成为了持仓次数最多的行业，占比</w:t>
      </w:r>
      <w:r w:rsidRPr="006E6314">
        <w:t>8.24%</w:t>
      </w:r>
      <w:r w:rsidRPr="006E6314">
        <w:t>，远低于原始策略中房地产业的极端权重。化学、电气机械、医药、软件等多个不同属性的行业均进入了前十名，且权重分布更为均匀。这表明，行业中性化成功地</w:t>
      </w:r>
      <w:r w:rsidRPr="006E6314">
        <w:rPr>
          <w:b/>
          <w:bCs/>
        </w:rPr>
        <w:t>消除了对周期性行业的过度依赖</w:t>
      </w:r>
      <w:r w:rsidRPr="006E6314">
        <w:t>，实现了在更广泛行业范围内的均衡配置。</w:t>
      </w:r>
    </w:p>
    <w:p w14:paraId="6D38BF69" w14:textId="77777777" w:rsidR="006E6314" w:rsidRPr="006E6314" w:rsidRDefault="006E6314" w:rsidP="006E6314">
      <w:pPr>
        <w:ind w:firstLine="480"/>
        <w:jc w:val="left"/>
      </w:pPr>
      <w:r w:rsidRPr="006E6314">
        <w:t>接下来，我们对比两个策略的核心绩效指标。</w:t>
      </w:r>
    </w:p>
    <w:tbl>
      <w:tblPr>
        <w:tblStyle w:val="11"/>
        <w:tblW w:w="0" w:type="auto"/>
        <w:jc w:val="center"/>
        <w:tblLook w:val="04A0" w:firstRow="1" w:lastRow="0" w:firstColumn="1" w:lastColumn="0" w:noHBand="0" w:noVBand="1"/>
      </w:tblPr>
      <w:tblGrid>
        <w:gridCol w:w="1903"/>
        <w:gridCol w:w="3324"/>
        <w:gridCol w:w="2843"/>
      </w:tblGrid>
      <w:tr w:rsidR="006E6314" w:rsidRPr="006E6314" w14:paraId="3C5C2B9A" w14:textId="77777777" w:rsidTr="006E6314">
        <w:trPr>
          <w:jc w:val="center"/>
        </w:trPr>
        <w:tc>
          <w:tcPr>
            <w:tcW w:w="0" w:type="auto"/>
            <w:hideMark/>
          </w:tcPr>
          <w:p w14:paraId="351405F2" w14:textId="77777777" w:rsidR="006E6314" w:rsidRPr="006E6314" w:rsidRDefault="006E6314" w:rsidP="006E6314">
            <w:pPr>
              <w:keepNext/>
              <w:spacing w:line="300" w:lineRule="auto"/>
              <w:ind w:firstLineChars="200" w:firstLine="482"/>
              <w:rPr>
                <w:b/>
                <w:bCs/>
              </w:rPr>
            </w:pPr>
            <w:r w:rsidRPr="006E6314">
              <w:rPr>
                <w:b/>
                <w:bCs/>
              </w:rPr>
              <w:t>绩效指标</w:t>
            </w:r>
          </w:p>
        </w:tc>
        <w:tc>
          <w:tcPr>
            <w:tcW w:w="0" w:type="auto"/>
            <w:hideMark/>
          </w:tcPr>
          <w:p w14:paraId="5C34F6D8" w14:textId="77777777" w:rsidR="006E6314" w:rsidRPr="006E6314" w:rsidRDefault="006E6314" w:rsidP="006E6314">
            <w:pPr>
              <w:keepNext/>
              <w:spacing w:line="300" w:lineRule="auto"/>
              <w:ind w:firstLineChars="200" w:firstLine="482"/>
              <w:rPr>
                <w:b/>
                <w:bCs/>
              </w:rPr>
            </w:pPr>
            <w:r w:rsidRPr="006E6314">
              <w:rPr>
                <w:b/>
                <w:bCs/>
              </w:rPr>
              <w:t>行业中性策略</w:t>
            </w:r>
            <w:r w:rsidRPr="006E6314">
              <w:rPr>
                <w:b/>
                <w:bCs/>
              </w:rPr>
              <w:t xml:space="preserve"> (pbroe2.1)</w:t>
            </w:r>
          </w:p>
        </w:tc>
        <w:tc>
          <w:tcPr>
            <w:tcW w:w="0" w:type="auto"/>
            <w:hideMark/>
          </w:tcPr>
          <w:p w14:paraId="76EEA5D1" w14:textId="77777777" w:rsidR="006E6314" w:rsidRPr="006E6314" w:rsidRDefault="006E6314" w:rsidP="006E6314">
            <w:pPr>
              <w:keepNext/>
              <w:spacing w:line="300" w:lineRule="auto"/>
              <w:ind w:firstLineChars="200" w:firstLine="482"/>
              <w:rPr>
                <w:b/>
                <w:bCs/>
              </w:rPr>
            </w:pPr>
            <w:r w:rsidRPr="006E6314">
              <w:rPr>
                <w:b/>
                <w:bCs/>
              </w:rPr>
              <w:t>原始策略</w:t>
            </w:r>
            <w:r w:rsidRPr="006E6314">
              <w:rPr>
                <w:b/>
                <w:bCs/>
              </w:rPr>
              <w:t xml:space="preserve"> (pbroe1.0)</w:t>
            </w:r>
          </w:p>
        </w:tc>
      </w:tr>
      <w:tr w:rsidR="006E6314" w:rsidRPr="006E6314" w14:paraId="754D89F9" w14:textId="77777777" w:rsidTr="006E6314">
        <w:trPr>
          <w:jc w:val="center"/>
        </w:trPr>
        <w:tc>
          <w:tcPr>
            <w:tcW w:w="0" w:type="auto"/>
            <w:hideMark/>
          </w:tcPr>
          <w:p w14:paraId="37018358" w14:textId="77777777" w:rsidR="006E6314" w:rsidRPr="006E6314" w:rsidRDefault="006E6314" w:rsidP="006E6314">
            <w:pPr>
              <w:keepNext/>
              <w:spacing w:line="300" w:lineRule="auto"/>
              <w:ind w:firstLineChars="200" w:firstLine="482"/>
            </w:pPr>
            <w:r w:rsidRPr="006E6314">
              <w:rPr>
                <w:b/>
                <w:bCs/>
              </w:rPr>
              <w:t>年化收益率</w:t>
            </w:r>
          </w:p>
        </w:tc>
        <w:tc>
          <w:tcPr>
            <w:tcW w:w="0" w:type="auto"/>
            <w:hideMark/>
          </w:tcPr>
          <w:p w14:paraId="50189CFC" w14:textId="77777777" w:rsidR="006E6314" w:rsidRPr="006E6314" w:rsidRDefault="006E6314" w:rsidP="006E6314">
            <w:pPr>
              <w:keepNext/>
              <w:spacing w:line="300" w:lineRule="auto"/>
              <w:ind w:firstLineChars="200" w:firstLine="482"/>
            </w:pPr>
            <w:r w:rsidRPr="006E6314">
              <w:rPr>
                <w:b/>
                <w:bCs/>
              </w:rPr>
              <w:t>8.05%</w:t>
            </w:r>
          </w:p>
        </w:tc>
        <w:tc>
          <w:tcPr>
            <w:tcW w:w="0" w:type="auto"/>
            <w:hideMark/>
          </w:tcPr>
          <w:p w14:paraId="5B4B5D77" w14:textId="77777777" w:rsidR="006E6314" w:rsidRPr="006E6314" w:rsidRDefault="006E6314" w:rsidP="006E6314">
            <w:pPr>
              <w:keepNext/>
              <w:spacing w:line="300" w:lineRule="auto"/>
              <w:ind w:firstLineChars="200" w:firstLine="480"/>
            </w:pPr>
            <w:r w:rsidRPr="006E6314">
              <w:t>7.33%</w:t>
            </w:r>
          </w:p>
        </w:tc>
      </w:tr>
      <w:tr w:rsidR="006E6314" w:rsidRPr="006E6314" w14:paraId="69920E79" w14:textId="77777777" w:rsidTr="006E6314">
        <w:trPr>
          <w:jc w:val="center"/>
        </w:trPr>
        <w:tc>
          <w:tcPr>
            <w:tcW w:w="0" w:type="auto"/>
            <w:hideMark/>
          </w:tcPr>
          <w:p w14:paraId="3AB31D4D" w14:textId="77777777" w:rsidR="006E6314" w:rsidRPr="006E6314" w:rsidRDefault="006E6314" w:rsidP="006E6314">
            <w:pPr>
              <w:keepNext/>
              <w:spacing w:line="300" w:lineRule="auto"/>
              <w:ind w:firstLineChars="200" w:firstLine="482"/>
            </w:pPr>
            <w:r w:rsidRPr="006E6314">
              <w:rPr>
                <w:b/>
                <w:bCs/>
              </w:rPr>
              <w:t>年化波动率</w:t>
            </w:r>
          </w:p>
        </w:tc>
        <w:tc>
          <w:tcPr>
            <w:tcW w:w="0" w:type="auto"/>
            <w:hideMark/>
          </w:tcPr>
          <w:p w14:paraId="0477F8F4" w14:textId="77777777" w:rsidR="006E6314" w:rsidRPr="006E6314" w:rsidRDefault="006E6314" w:rsidP="006E6314">
            <w:pPr>
              <w:keepNext/>
              <w:spacing w:line="300" w:lineRule="auto"/>
              <w:ind w:firstLineChars="200" w:firstLine="480"/>
            </w:pPr>
            <w:r w:rsidRPr="006E6314">
              <w:t>24.76%</w:t>
            </w:r>
          </w:p>
        </w:tc>
        <w:tc>
          <w:tcPr>
            <w:tcW w:w="0" w:type="auto"/>
            <w:hideMark/>
          </w:tcPr>
          <w:p w14:paraId="0996644A" w14:textId="77777777" w:rsidR="006E6314" w:rsidRPr="006E6314" w:rsidRDefault="006E6314" w:rsidP="006E6314">
            <w:pPr>
              <w:keepNext/>
              <w:spacing w:line="300" w:lineRule="auto"/>
              <w:ind w:firstLineChars="200" w:firstLine="482"/>
            </w:pPr>
            <w:r w:rsidRPr="006E6314">
              <w:rPr>
                <w:b/>
                <w:bCs/>
              </w:rPr>
              <w:t>23.76%</w:t>
            </w:r>
          </w:p>
        </w:tc>
      </w:tr>
      <w:tr w:rsidR="006E6314" w:rsidRPr="006E6314" w14:paraId="3723C195" w14:textId="77777777" w:rsidTr="006E6314">
        <w:trPr>
          <w:jc w:val="center"/>
        </w:trPr>
        <w:tc>
          <w:tcPr>
            <w:tcW w:w="0" w:type="auto"/>
            <w:hideMark/>
          </w:tcPr>
          <w:p w14:paraId="23421C83" w14:textId="77777777" w:rsidR="006E6314" w:rsidRPr="006E6314" w:rsidRDefault="006E6314" w:rsidP="006E6314">
            <w:pPr>
              <w:keepNext/>
              <w:spacing w:line="300" w:lineRule="auto"/>
              <w:ind w:firstLineChars="200" w:firstLine="482"/>
            </w:pPr>
            <w:r w:rsidRPr="006E6314">
              <w:rPr>
                <w:b/>
                <w:bCs/>
              </w:rPr>
              <w:t>夏普比率</w:t>
            </w:r>
          </w:p>
        </w:tc>
        <w:tc>
          <w:tcPr>
            <w:tcW w:w="0" w:type="auto"/>
            <w:hideMark/>
          </w:tcPr>
          <w:p w14:paraId="3A4C9E4A" w14:textId="77777777" w:rsidR="006E6314" w:rsidRPr="006E6314" w:rsidRDefault="006E6314" w:rsidP="006E6314">
            <w:pPr>
              <w:keepNext/>
              <w:spacing w:line="300" w:lineRule="auto"/>
              <w:ind w:firstLineChars="200" w:firstLine="482"/>
            </w:pPr>
            <w:r w:rsidRPr="006E6314">
              <w:rPr>
                <w:b/>
                <w:bCs/>
              </w:rPr>
              <w:t>0.204</w:t>
            </w:r>
          </w:p>
        </w:tc>
        <w:tc>
          <w:tcPr>
            <w:tcW w:w="0" w:type="auto"/>
            <w:hideMark/>
          </w:tcPr>
          <w:p w14:paraId="2861486A" w14:textId="77777777" w:rsidR="006E6314" w:rsidRPr="006E6314" w:rsidRDefault="006E6314" w:rsidP="006E6314">
            <w:pPr>
              <w:keepNext/>
              <w:spacing w:line="300" w:lineRule="auto"/>
              <w:ind w:firstLineChars="200" w:firstLine="480"/>
            </w:pPr>
            <w:r w:rsidRPr="006E6314">
              <w:t>0.182</w:t>
            </w:r>
          </w:p>
        </w:tc>
      </w:tr>
      <w:tr w:rsidR="006E6314" w:rsidRPr="006E6314" w14:paraId="219E0F04" w14:textId="77777777" w:rsidTr="006E6314">
        <w:trPr>
          <w:jc w:val="center"/>
        </w:trPr>
        <w:tc>
          <w:tcPr>
            <w:tcW w:w="0" w:type="auto"/>
            <w:hideMark/>
          </w:tcPr>
          <w:p w14:paraId="71C63802" w14:textId="77777777" w:rsidR="006E6314" w:rsidRPr="006E6314" w:rsidRDefault="006E6314" w:rsidP="006E6314">
            <w:pPr>
              <w:keepNext/>
              <w:spacing w:line="300" w:lineRule="auto"/>
              <w:ind w:firstLineChars="200" w:firstLine="482"/>
            </w:pPr>
            <w:r w:rsidRPr="006E6314">
              <w:rPr>
                <w:b/>
                <w:bCs/>
              </w:rPr>
              <w:t>最大回撤</w:t>
            </w:r>
          </w:p>
        </w:tc>
        <w:tc>
          <w:tcPr>
            <w:tcW w:w="0" w:type="auto"/>
            <w:hideMark/>
          </w:tcPr>
          <w:p w14:paraId="5C5F9E7C" w14:textId="77777777" w:rsidR="006E6314" w:rsidRPr="006E6314" w:rsidRDefault="006E6314" w:rsidP="006E6314">
            <w:pPr>
              <w:keepNext/>
              <w:spacing w:line="300" w:lineRule="auto"/>
              <w:ind w:firstLineChars="200" w:firstLine="482"/>
            </w:pPr>
            <w:r w:rsidRPr="006E6314">
              <w:rPr>
                <w:b/>
                <w:bCs/>
              </w:rPr>
              <w:t>-39.00%</w:t>
            </w:r>
          </w:p>
        </w:tc>
        <w:tc>
          <w:tcPr>
            <w:tcW w:w="0" w:type="auto"/>
            <w:hideMark/>
          </w:tcPr>
          <w:p w14:paraId="5B4FDB54" w14:textId="77777777" w:rsidR="006E6314" w:rsidRPr="006E6314" w:rsidRDefault="006E6314" w:rsidP="006E6314">
            <w:pPr>
              <w:keepNext/>
              <w:spacing w:line="300" w:lineRule="auto"/>
              <w:ind w:firstLineChars="200" w:firstLine="480"/>
            </w:pPr>
            <w:r w:rsidRPr="006E6314">
              <w:t>-39.43%</w:t>
            </w:r>
          </w:p>
        </w:tc>
      </w:tr>
      <w:tr w:rsidR="006E6314" w:rsidRPr="006E6314" w14:paraId="2E3F391D" w14:textId="77777777" w:rsidTr="006E6314">
        <w:trPr>
          <w:jc w:val="center"/>
        </w:trPr>
        <w:tc>
          <w:tcPr>
            <w:tcW w:w="0" w:type="auto"/>
            <w:hideMark/>
          </w:tcPr>
          <w:p w14:paraId="47B2DCB4" w14:textId="77777777" w:rsidR="006E6314" w:rsidRPr="006E6314" w:rsidRDefault="006E6314" w:rsidP="006E6314">
            <w:pPr>
              <w:keepNext/>
              <w:spacing w:line="300" w:lineRule="auto"/>
              <w:ind w:firstLineChars="200" w:firstLine="482"/>
            </w:pPr>
            <w:r w:rsidRPr="006E6314">
              <w:rPr>
                <w:b/>
                <w:bCs/>
              </w:rPr>
              <w:t>年化换手率</w:t>
            </w:r>
          </w:p>
        </w:tc>
        <w:tc>
          <w:tcPr>
            <w:tcW w:w="0" w:type="auto"/>
            <w:hideMark/>
          </w:tcPr>
          <w:p w14:paraId="33C9AD79" w14:textId="77777777" w:rsidR="006E6314" w:rsidRPr="006E6314" w:rsidRDefault="006E6314" w:rsidP="006E6314">
            <w:pPr>
              <w:keepNext/>
              <w:spacing w:line="300" w:lineRule="auto"/>
              <w:ind w:firstLineChars="200" w:firstLine="480"/>
            </w:pPr>
            <w:r w:rsidRPr="006E6314">
              <w:t>54.77%</w:t>
            </w:r>
          </w:p>
        </w:tc>
        <w:tc>
          <w:tcPr>
            <w:tcW w:w="0" w:type="auto"/>
            <w:hideMark/>
          </w:tcPr>
          <w:p w14:paraId="5B10CAC1" w14:textId="77777777" w:rsidR="006E6314" w:rsidRPr="006E6314" w:rsidRDefault="006E6314" w:rsidP="006E6314">
            <w:pPr>
              <w:keepNext/>
              <w:spacing w:line="300" w:lineRule="auto"/>
              <w:ind w:firstLineChars="200" w:firstLine="480"/>
            </w:pPr>
            <w:r w:rsidRPr="006E6314">
              <w:t>55.10%</w:t>
            </w:r>
          </w:p>
        </w:tc>
      </w:tr>
    </w:tbl>
    <w:p w14:paraId="23CF1BE7" w14:textId="182FAA12" w:rsidR="006E6314" w:rsidRPr="006E6314" w:rsidRDefault="006E6314" w:rsidP="006E6314">
      <w:pPr>
        <w:ind w:firstLine="480"/>
        <w:jc w:val="left"/>
      </w:pPr>
      <w:r w:rsidRPr="006E6314">
        <w:t>从上表的核心绩效指标来看，引入行业中性化约束后，策略的特征发生了显著变化。行业中性策略的年化收益率（</w:t>
      </w:r>
      <w:r w:rsidRPr="006E6314">
        <w:t>8.05%</w:t>
      </w:r>
      <w:r w:rsidRPr="006E6314">
        <w:t>）高于原始策略（</w:t>
      </w:r>
      <w:r w:rsidRPr="006E6314">
        <w:t>7.33%</w:t>
      </w:r>
      <w:r w:rsidRPr="006E6314">
        <w:t>），同时其最大回撤（</w:t>
      </w:r>
      <w:r w:rsidRPr="006E6314">
        <w:t>-39.00%</w:t>
      </w:r>
      <w:r w:rsidRPr="006E6314">
        <w:t>）也略优于原始策略（</w:t>
      </w:r>
      <w:r w:rsidRPr="006E6314">
        <w:t>-39.43%</w:t>
      </w:r>
      <w:r w:rsidRPr="006E6314">
        <w:t>）。尽管其年化波动率（</w:t>
      </w:r>
      <w:r w:rsidRPr="006E6314">
        <w:t>24.76%</w:t>
      </w:r>
      <w:r w:rsidRPr="006E6314">
        <w:t>）略高于原始策略（</w:t>
      </w:r>
      <w:r w:rsidRPr="006E6314">
        <w:t>23.76%</w:t>
      </w:r>
      <w:r w:rsidRPr="006E6314">
        <w:t>），但凭借更高的收益和更强的风险控制，其风险调整后收益的夏普比率（</w:t>
      </w:r>
      <w:r w:rsidRPr="006E6314">
        <w:t>0.204</w:t>
      </w:r>
      <w:r w:rsidRPr="006E6314">
        <w:t>）显著优于原始策略（</w:t>
      </w:r>
      <w:r w:rsidRPr="006E6314">
        <w:t>0.182</w:t>
      </w:r>
      <w:r w:rsidRPr="006E6314">
        <w:t>）。</w:t>
      </w:r>
    </w:p>
    <w:p w14:paraId="48CD3FE6" w14:textId="77777777" w:rsidR="006E6314" w:rsidRPr="006E6314" w:rsidRDefault="006E6314" w:rsidP="006E6314">
      <w:pPr>
        <w:ind w:firstLine="482"/>
        <w:rPr>
          <w:b/>
          <w:bCs/>
        </w:rPr>
      </w:pPr>
      <w:r w:rsidRPr="006E6314">
        <w:rPr>
          <w:b/>
          <w:bCs/>
        </w:rPr>
        <w:t xml:space="preserve">2.1.4 </w:t>
      </w:r>
      <w:r w:rsidRPr="006E6314">
        <w:rPr>
          <w:b/>
          <w:bCs/>
        </w:rPr>
        <w:t>小结</w:t>
      </w:r>
    </w:p>
    <w:p w14:paraId="051933A6" w14:textId="77777777" w:rsidR="006E6314" w:rsidRPr="006E6314" w:rsidRDefault="006E6314" w:rsidP="006E6314">
      <w:pPr>
        <w:ind w:firstLine="480"/>
      </w:pPr>
      <w:r w:rsidRPr="006E6314">
        <w:t>综合来看，引入行业中性化是一次成功的策略改进。它有效地解决了原始策略可能存在的行业过度集中的问题，显著提升了策略的风险控制能力，尤其是在熊市和震荡市中的防御能力。虽然这可能意味着在某些极端牛市中会牺牲一部分潜在的超额收益，但从构建一个长期、稳健、可复制的投资框架的角度来看，这种取舍是完全值得的。通过行业中性化，策略的超额收益来源更加清晰地聚焦于</w:t>
      </w:r>
      <w:r w:rsidRPr="006E6314">
        <w:t>“</w:t>
      </w:r>
      <w:r w:rsidRPr="006E6314">
        <w:t>在每个行业内选出好公司</w:t>
      </w:r>
      <w:r w:rsidRPr="006E6314">
        <w:t>”</w:t>
      </w:r>
      <w:r w:rsidRPr="006E6314">
        <w:t>这一核心能力上，为我们后续的进一步优化打下了坚实的基础。</w:t>
      </w:r>
    </w:p>
    <w:p w14:paraId="10807D4B" w14:textId="1AD35F5A" w:rsidR="00F87BCD" w:rsidRPr="006E6314" w:rsidRDefault="006E6314" w:rsidP="006E6314">
      <w:pPr>
        <w:ind w:firstLine="482"/>
        <w:rPr>
          <w:b/>
          <w:bCs/>
        </w:rPr>
      </w:pPr>
      <w:r w:rsidRPr="006E6314">
        <w:rPr>
          <w:b/>
          <w:bCs/>
        </w:rPr>
        <w:t xml:space="preserve">2.2 </w:t>
      </w:r>
      <w:r w:rsidRPr="006E6314">
        <w:rPr>
          <w:b/>
          <w:bCs/>
        </w:rPr>
        <w:t>策略改进二：优化调仓周期以提升信息时效性</w:t>
      </w:r>
    </w:p>
    <w:p w14:paraId="2624B593" w14:textId="73A1CDF0" w:rsidR="006E6314" w:rsidRPr="006E6314" w:rsidRDefault="006E6314" w:rsidP="005032FD">
      <w:pPr>
        <w:ind w:firstLine="482"/>
        <w:rPr>
          <w:b/>
          <w:bCs/>
        </w:rPr>
      </w:pPr>
      <w:r w:rsidRPr="006E6314">
        <w:rPr>
          <w:b/>
          <w:bCs/>
        </w:rPr>
        <w:t xml:space="preserve">2.2.1 </w:t>
      </w:r>
      <w:r w:rsidRPr="006E6314">
        <w:rPr>
          <w:b/>
          <w:bCs/>
        </w:rPr>
        <w:t>问题的提出：因子数据的时滞性</w:t>
      </w:r>
    </w:p>
    <w:p w14:paraId="68BECED4" w14:textId="5CAC7959" w:rsidR="006E6314" w:rsidRDefault="006E6314" w:rsidP="006E6314">
      <w:pPr>
        <w:ind w:firstLine="480"/>
      </w:pPr>
      <w:r>
        <w:rPr>
          <w:rFonts w:hint="eastAsia"/>
        </w:rPr>
        <w:t>在初始的行业中性策略框架中，我们设定了年度调仓的模式，即在每年</w:t>
      </w:r>
      <w:r>
        <w:rPr>
          <w:rFonts w:hint="eastAsia"/>
        </w:rPr>
        <w:t>5</w:t>
      </w:r>
      <w:r>
        <w:rPr>
          <w:rFonts w:hint="eastAsia"/>
        </w:rPr>
        <w:t>月初，依据所有</w:t>
      </w:r>
      <w:r>
        <w:rPr>
          <w:rFonts w:hint="eastAsia"/>
        </w:rPr>
        <w:t>A</w:t>
      </w:r>
      <w:r>
        <w:rPr>
          <w:rFonts w:hint="eastAsia"/>
        </w:rPr>
        <w:t>股公司已披露的年报数据进行一次集中的投资组合调整。这一设计的出发点是确保数据的完整性与可比性。然而，这一看似稳妥的年度调仓机制，在信息时效性上存在缺陷。</w:t>
      </w:r>
    </w:p>
    <w:p w14:paraId="69469583" w14:textId="77777777" w:rsidR="006E6314" w:rsidRDefault="006E6314" w:rsidP="006E6314">
      <w:pPr>
        <w:ind w:firstLine="480"/>
      </w:pPr>
      <w:r>
        <w:rPr>
          <w:rFonts w:hint="eastAsia"/>
        </w:rPr>
        <w:t>财务数据的滞后性</w:t>
      </w:r>
      <w:r>
        <w:rPr>
          <w:rFonts w:hint="eastAsia"/>
        </w:rPr>
        <w:t xml:space="preserve"> (Lagging Fundamental Data)</w:t>
      </w:r>
      <w:r>
        <w:rPr>
          <w:rFonts w:hint="eastAsia"/>
        </w:rPr>
        <w:t>：在</w:t>
      </w:r>
      <w:r>
        <w:rPr>
          <w:rFonts w:hint="eastAsia"/>
        </w:rPr>
        <w:t>5</w:t>
      </w:r>
      <w:r>
        <w:rPr>
          <w:rFonts w:hint="eastAsia"/>
        </w:rPr>
        <w:t>月初进行投资决策时，所依据的核心盈利能力指标</w:t>
      </w:r>
      <w:r>
        <w:rPr>
          <w:rFonts w:hint="eastAsia"/>
        </w:rPr>
        <w:t>ROE</w:t>
      </w:r>
      <w:r>
        <w:rPr>
          <w:rFonts w:hint="eastAsia"/>
        </w:rPr>
        <w:t>，是基于上市公司截至去年</w:t>
      </w:r>
      <w:r>
        <w:rPr>
          <w:rFonts w:hint="eastAsia"/>
        </w:rPr>
        <w:t>12</w:t>
      </w:r>
      <w:r>
        <w:rPr>
          <w:rFonts w:hint="eastAsia"/>
        </w:rPr>
        <w:t>月</w:t>
      </w:r>
      <w:r>
        <w:rPr>
          <w:rFonts w:hint="eastAsia"/>
        </w:rPr>
        <w:t>31</w:t>
      </w:r>
      <w:r>
        <w:rPr>
          <w:rFonts w:hint="eastAsia"/>
        </w:rPr>
        <w:t>日的财务状况计算得出的。这意味着，在长达四个月的时间里，策略模型对公司的基本面变化是“失明”的。实际上，到</w:t>
      </w:r>
      <w:r>
        <w:rPr>
          <w:rFonts w:hint="eastAsia"/>
        </w:rPr>
        <w:t>5</w:t>
      </w:r>
      <w:r>
        <w:rPr>
          <w:rFonts w:hint="eastAsia"/>
        </w:rPr>
        <w:t>月初，绝大多数公司的第一季度报告已经发布。沿用陈旧的年报数据，相当于放弃了对公司最新业绩边际变化的即时响应。</w:t>
      </w:r>
    </w:p>
    <w:p w14:paraId="2835B32F" w14:textId="392A6787" w:rsidR="006E6314" w:rsidRDefault="006E6314" w:rsidP="006E6314">
      <w:pPr>
        <w:ind w:firstLine="480"/>
      </w:pPr>
      <w:r>
        <w:rPr>
          <w:rFonts w:hint="eastAsia"/>
        </w:rPr>
        <w:t>估值数据的时滞性</w:t>
      </w:r>
      <w:r>
        <w:rPr>
          <w:rFonts w:hint="eastAsia"/>
        </w:rPr>
        <w:t xml:space="preserve"> (Stale Valuation Data)</w:t>
      </w:r>
      <w:r>
        <w:rPr>
          <w:rFonts w:hint="eastAsia"/>
        </w:rPr>
        <w:t>：估值指标</w:t>
      </w:r>
      <w:r>
        <w:rPr>
          <w:rFonts w:hint="eastAsia"/>
        </w:rPr>
        <w:t>P/B</w:t>
      </w:r>
      <w:r>
        <w:rPr>
          <w:rFonts w:hint="eastAsia"/>
        </w:rPr>
        <w:t>的分母——每股净资产（</w:t>
      </w:r>
      <w:r>
        <w:rPr>
          <w:rFonts w:hint="eastAsia"/>
        </w:rPr>
        <w:t>B</w:t>
      </w:r>
      <w:r>
        <w:rPr>
          <w:rFonts w:hint="eastAsia"/>
        </w:rPr>
        <w:t>），同样来源于滞后的年度报告。更关键的是，虽然分子中的股价（</w:t>
      </w:r>
      <w:r>
        <w:rPr>
          <w:rFonts w:hint="eastAsia"/>
        </w:rPr>
        <w:t>P</w:t>
      </w:r>
      <w:r>
        <w:rPr>
          <w:rFonts w:hint="eastAsia"/>
        </w:rPr>
        <w:t>）在不断变动，但用于筛选的整个</w:t>
      </w:r>
      <w:r>
        <w:rPr>
          <w:rFonts w:hint="eastAsia"/>
        </w:rPr>
        <w:t>P/B</w:t>
      </w:r>
      <w:r>
        <w:rPr>
          <w:rFonts w:hint="eastAsia"/>
        </w:rPr>
        <w:t>比率的计算基础是旧的。依赖过时的数据组合进行判断，削弱了估值有效性的根基。</w:t>
      </w:r>
    </w:p>
    <w:p w14:paraId="4DF30E87" w14:textId="77777777" w:rsidR="006E6314" w:rsidRPr="006E6314" w:rsidRDefault="006E6314" w:rsidP="006E6314">
      <w:pPr>
        <w:ind w:firstLine="482"/>
        <w:rPr>
          <w:b/>
          <w:bCs/>
        </w:rPr>
      </w:pPr>
      <w:r w:rsidRPr="006E6314">
        <w:rPr>
          <w:b/>
          <w:bCs/>
        </w:rPr>
        <w:t xml:space="preserve">2.2.2 </w:t>
      </w:r>
      <w:r w:rsidRPr="006E6314">
        <w:rPr>
          <w:b/>
          <w:bCs/>
        </w:rPr>
        <w:t>改进的逻辑与实施</w:t>
      </w:r>
    </w:p>
    <w:p w14:paraId="00812E7C" w14:textId="77777777" w:rsidR="006E6314" w:rsidRPr="006E6314" w:rsidRDefault="006E6314" w:rsidP="006E6314">
      <w:pPr>
        <w:ind w:firstLine="480"/>
      </w:pPr>
      <w:r w:rsidRPr="006E6314">
        <w:t>为了克服以上数据时效性的问题，我们对策略进行第二个关键改进：将单一的年度调仓模式，调整为与</w:t>
      </w:r>
      <w:r w:rsidRPr="006E6314">
        <w:t>A</w:t>
      </w:r>
      <w:r w:rsidRPr="006E6314">
        <w:t>股法定财报披露周期同步的季度动态调仓机制。</w:t>
      </w:r>
    </w:p>
    <w:p w14:paraId="76E0EB90" w14:textId="77777777" w:rsidR="006E6314" w:rsidRPr="006E6314" w:rsidRDefault="006E6314" w:rsidP="006E6314">
      <w:pPr>
        <w:ind w:firstLine="480"/>
      </w:pPr>
      <w:r w:rsidRPr="006E6314">
        <w:t>改进后的调仓逻辑如下：我们设定在每个财报季的法定披露截止日之后，即在每年</w:t>
      </w:r>
      <w:r w:rsidRPr="006E6314">
        <w:t>5</w:t>
      </w:r>
      <w:r w:rsidRPr="006E6314">
        <w:t>月、</w:t>
      </w:r>
      <w:r w:rsidRPr="006E6314">
        <w:t>9</w:t>
      </w:r>
      <w:r w:rsidRPr="006E6314">
        <w:t>月、</w:t>
      </w:r>
      <w:r w:rsidRPr="006E6314">
        <w:t>11</w:t>
      </w:r>
      <w:r w:rsidRPr="006E6314">
        <w:t>月初的第一个交易日，对投资组合进行再平衡（</w:t>
      </w:r>
      <w:r w:rsidRPr="006E6314">
        <w:t>Rebalancing</w:t>
      </w:r>
      <w:r w:rsidRPr="006E6314">
        <w:t>）。</w:t>
      </w:r>
    </w:p>
    <w:p w14:paraId="2DB9ED13" w14:textId="77777777" w:rsidR="006E6314" w:rsidRPr="006E6314" w:rsidRDefault="006E6314" w:rsidP="006E6314">
      <w:pPr>
        <w:ind w:firstLine="480"/>
      </w:pPr>
      <w:r w:rsidRPr="006E6314">
        <w:t>5</w:t>
      </w:r>
      <w:r w:rsidRPr="006E6314">
        <w:t>月初调仓：依据第一季度报告（截止</w:t>
      </w:r>
      <w:r w:rsidRPr="006E6314">
        <w:t>4</w:t>
      </w:r>
      <w:r w:rsidRPr="006E6314">
        <w:t>月</w:t>
      </w:r>
      <w:r w:rsidRPr="006E6314">
        <w:t>30</w:t>
      </w:r>
      <w:r w:rsidRPr="006E6314">
        <w:t>日披露）。</w:t>
      </w:r>
    </w:p>
    <w:p w14:paraId="50C8B75C" w14:textId="77777777" w:rsidR="006E6314" w:rsidRPr="006E6314" w:rsidRDefault="006E6314" w:rsidP="006E6314">
      <w:pPr>
        <w:ind w:firstLine="480"/>
      </w:pPr>
      <w:r w:rsidRPr="006E6314">
        <w:t>9</w:t>
      </w:r>
      <w:r w:rsidRPr="006E6314">
        <w:t>月初调仓：依据半年度报告（截止</w:t>
      </w:r>
      <w:r w:rsidRPr="006E6314">
        <w:t>8</w:t>
      </w:r>
      <w:r w:rsidRPr="006E6314">
        <w:t>月</w:t>
      </w:r>
      <w:r w:rsidRPr="006E6314">
        <w:t>31</w:t>
      </w:r>
      <w:r w:rsidRPr="006E6314">
        <w:t>日披露）。</w:t>
      </w:r>
    </w:p>
    <w:p w14:paraId="3F2F2CDF" w14:textId="77777777" w:rsidR="006E6314" w:rsidRPr="006E6314" w:rsidRDefault="006E6314" w:rsidP="006E6314">
      <w:pPr>
        <w:ind w:firstLine="480"/>
      </w:pPr>
      <w:r w:rsidRPr="006E6314">
        <w:t>11</w:t>
      </w:r>
      <w:r w:rsidRPr="006E6314">
        <w:t>月初调仓：依据第三季度报告（截止</w:t>
      </w:r>
      <w:r w:rsidRPr="006E6314">
        <w:t>10</w:t>
      </w:r>
      <w:r w:rsidRPr="006E6314">
        <w:t>月</w:t>
      </w:r>
      <w:r w:rsidRPr="006E6314">
        <w:t>31</w:t>
      </w:r>
      <w:r w:rsidRPr="006E6314">
        <w:t>日披露）。</w:t>
      </w:r>
    </w:p>
    <w:p w14:paraId="0FD948CC" w14:textId="77777777" w:rsidR="006E6314" w:rsidRPr="006E6314" w:rsidRDefault="006E6314" w:rsidP="006E6314">
      <w:pPr>
        <w:ind w:firstLine="480"/>
      </w:pPr>
      <w:r w:rsidRPr="006E6314">
        <w:t>通过这种方式，我们确保了每一次投资决策都基于当下市场可获得的最新的公开财务信息，从而提升策略的反应速度和决策效率。</w:t>
      </w:r>
    </w:p>
    <w:p w14:paraId="17F9C372" w14:textId="17CBF0E1" w:rsidR="005032FD" w:rsidRPr="009715D9" w:rsidRDefault="009715D9" w:rsidP="009715D9">
      <w:pPr>
        <w:ind w:firstLine="482"/>
        <w:rPr>
          <w:b/>
          <w:bCs/>
        </w:rPr>
      </w:pPr>
      <w:r w:rsidRPr="009715D9">
        <w:rPr>
          <w:b/>
          <w:bCs/>
        </w:rPr>
        <w:t xml:space="preserve">2.2.3 </w:t>
      </w:r>
      <w:r w:rsidRPr="009715D9">
        <w:rPr>
          <w:b/>
          <w:bCs/>
        </w:rPr>
        <w:t>实证分析：信息效率的价值</w:t>
      </w:r>
    </w:p>
    <w:tbl>
      <w:tblPr>
        <w:tblStyle w:val="11"/>
        <w:tblW w:w="0" w:type="auto"/>
        <w:jc w:val="center"/>
        <w:tblLook w:val="04A0" w:firstRow="1" w:lastRow="0" w:firstColumn="1" w:lastColumn="0" w:noHBand="0" w:noVBand="1"/>
      </w:tblPr>
      <w:tblGrid>
        <w:gridCol w:w="1693"/>
        <w:gridCol w:w="1903"/>
        <w:gridCol w:w="2325"/>
        <w:gridCol w:w="3792"/>
      </w:tblGrid>
      <w:tr w:rsidR="009715D9" w:rsidRPr="00497A5B" w14:paraId="2C8EC5B8" w14:textId="77777777" w:rsidTr="00F7226F">
        <w:trPr>
          <w:jc w:val="center"/>
        </w:trPr>
        <w:tc>
          <w:tcPr>
            <w:tcW w:w="0" w:type="auto"/>
            <w:hideMark/>
          </w:tcPr>
          <w:p w14:paraId="32D3C6CF"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绩效指标</w:t>
            </w:r>
          </w:p>
        </w:tc>
        <w:tc>
          <w:tcPr>
            <w:tcW w:w="0" w:type="auto"/>
            <w:hideMark/>
          </w:tcPr>
          <w:p w14:paraId="017EBA4F"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季度调仓策略</w:t>
            </w:r>
            <w:r w:rsidRPr="00497A5B">
              <w:rPr>
                <w:rFonts w:ascii="Arial" w:hAnsi="Arial" w:cs="Arial"/>
                <w:b/>
                <w:bCs/>
                <w:color w:val="1B1C1D"/>
                <w:sz w:val="21"/>
                <w:szCs w:val="21"/>
                <w:bdr w:val="none" w:sz="0" w:space="0" w:color="auto" w:frame="1"/>
              </w:rPr>
              <w:t xml:space="preserve"> </w:t>
            </w:r>
          </w:p>
        </w:tc>
        <w:tc>
          <w:tcPr>
            <w:tcW w:w="0" w:type="auto"/>
            <w:hideMark/>
          </w:tcPr>
          <w:p w14:paraId="75BE2AA2"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基础行业中性策略</w:t>
            </w:r>
            <w:r w:rsidRPr="00497A5B">
              <w:rPr>
                <w:rFonts w:ascii="Arial" w:hAnsi="Arial" w:cs="Arial"/>
                <w:b/>
                <w:bCs/>
                <w:color w:val="1B1C1D"/>
                <w:sz w:val="21"/>
                <w:szCs w:val="21"/>
                <w:bdr w:val="none" w:sz="0" w:space="0" w:color="auto" w:frame="1"/>
              </w:rPr>
              <w:t xml:space="preserve"> </w:t>
            </w:r>
          </w:p>
        </w:tc>
        <w:tc>
          <w:tcPr>
            <w:tcW w:w="0" w:type="auto"/>
            <w:hideMark/>
          </w:tcPr>
          <w:p w14:paraId="1B768310"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变化分析</w:t>
            </w:r>
          </w:p>
        </w:tc>
      </w:tr>
      <w:tr w:rsidR="009715D9" w:rsidRPr="00497A5B" w14:paraId="53BCAAA5" w14:textId="77777777" w:rsidTr="00F7226F">
        <w:trPr>
          <w:jc w:val="center"/>
        </w:trPr>
        <w:tc>
          <w:tcPr>
            <w:tcW w:w="0" w:type="auto"/>
            <w:hideMark/>
          </w:tcPr>
          <w:p w14:paraId="7C43F390"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年化收益率</w:t>
            </w:r>
          </w:p>
        </w:tc>
        <w:tc>
          <w:tcPr>
            <w:tcW w:w="0" w:type="auto"/>
            <w:hideMark/>
          </w:tcPr>
          <w:p w14:paraId="55E3E5B4"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8.68%</w:t>
            </w:r>
          </w:p>
        </w:tc>
        <w:tc>
          <w:tcPr>
            <w:tcW w:w="0" w:type="auto"/>
            <w:hideMark/>
          </w:tcPr>
          <w:p w14:paraId="22F0171D"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8.05%</w:t>
            </w:r>
          </w:p>
        </w:tc>
        <w:tc>
          <w:tcPr>
            <w:tcW w:w="0" w:type="auto"/>
            <w:hideMark/>
          </w:tcPr>
          <w:p w14:paraId="6FB37C83"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提升</w:t>
            </w:r>
            <w:r w:rsidRPr="00497A5B">
              <w:rPr>
                <w:rFonts w:ascii="Arial" w:hAnsi="Arial" w:cs="Arial"/>
                <w:b/>
                <w:bCs/>
                <w:color w:val="1B1C1D"/>
                <w:sz w:val="21"/>
                <w:szCs w:val="21"/>
                <w:bdr w:val="none" w:sz="0" w:space="0" w:color="auto" w:frame="1"/>
              </w:rPr>
              <w:t>0.63</w:t>
            </w:r>
            <w:r w:rsidRPr="00497A5B">
              <w:rPr>
                <w:rFonts w:ascii="Arial" w:hAnsi="Arial" w:cs="Arial"/>
                <w:b/>
                <w:bCs/>
                <w:color w:val="1B1C1D"/>
                <w:sz w:val="21"/>
                <w:szCs w:val="21"/>
                <w:bdr w:val="none" w:sz="0" w:space="0" w:color="auto" w:frame="1"/>
              </w:rPr>
              <w:t>个百分点</w:t>
            </w:r>
          </w:p>
        </w:tc>
      </w:tr>
      <w:tr w:rsidR="009715D9" w:rsidRPr="00497A5B" w14:paraId="4380AB1C" w14:textId="77777777" w:rsidTr="00F7226F">
        <w:trPr>
          <w:jc w:val="center"/>
        </w:trPr>
        <w:tc>
          <w:tcPr>
            <w:tcW w:w="0" w:type="auto"/>
            <w:hideMark/>
          </w:tcPr>
          <w:p w14:paraId="07EB5BEE"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年化波动率</w:t>
            </w:r>
          </w:p>
        </w:tc>
        <w:tc>
          <w:tcPr>
            <w:tcW w:w="0" w:type="auto"/>
            <w:hideMark/>
          </w:tcPr>
          <w:p w14:paraId="6B3260B9"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24.50%</w:t>
            </w:r>
          </w:p>
        </w:tc>
        <w:tc>
          <w:tcPr>
            <w:tcW w:w="0" w:type="auto"/>
            <w:hideMark/>
          </w:tcPr>
          <w:p w14:paraId="06B579F1" w14:textId="77777777" w:rsidR="009715D9" w:rsidRPr="00497A5B" w:rsidRDefault="009715D9" w:rsidP="00F54FF0">
            <w:pPr>
              <w:ind w:firstLine="422"/>
              <w:rPr>
                <w:rFonts w:ascii="Arial" w:hAnsi="Arial" w:cs="Arial"/>
                <w:b/>
                <w:bCs/>
                <w:color w:val="1B1C1D"/>
                <w:sz w:val="21"/>
                <w:szCs w:val="21"/>
              </w:rPr>
            </w:pPr>
            <w:r w:rsidRPr="00497A5B">
              <w:rPr>
                <w:rFonts w:ascii="Arial" w:hAnsi="Arial" w:cs="Arial"/>
                <w:b/>
                <w:bCs/>
                <w:color w:val="1B1C1D"/>
                <w:sz w:val="21"/>
                <w:szCs w:val="21"/>
              </w:rPr>
              <w:t>24.76%</w:t>
            </w:r>
          </w:p>
        </w:tc>
        <w:tc>
          <w:tcPr>
            <w:tcW w:w="0" w:type="auto"/>
            <w:hideMark/>
          </w:tcPr>
          <w:p w14:paraId="7B13D934"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基本持平，风险水平相当</w:t>
            </w:r>
          </w:p>
        </w:tc>
      </w:tr>
      <w:tr w:rsidR="009715D9" w:rsidRPr="00497A5B" w14:paraId="594BE535" w14:textId="77777777" w:rsidTr="00F7226F">
        <w:trPr>
          <w:jc w:val="center"/>
        </w:trPr>
        <w:tc>
          <w:tcPr>
            <w:tcW w:w="0" w:type="auto"/>
            <w:hideMark/>
          </w:tcPr>
          <w:p w14:paraId="3A311788"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夏普比率</w:t>
            </w:r>
          </w:p>
        </w:tc>
        <w:tc>
          <w:tcPr>
            <w:tcW w:w="0" w:type="auto"/>
            <w:hideMark/>
          </w:tcPr>
          <w:p w14:paraId="08608564"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0.232</w:t>
            </w:r>
          </w:p>
        </w:tc>
        <w:tc>
          <w:tcPr>
            <w:tcW w:w="0" w:type="auto"/>
            <w:hideMark/>
          </w:tcPr>
          <w:p w14:paraId="79E9FDA7"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0.204</w:t>
            </w:r>
          </w:p>
        </w:tc>
        <w:tc>
          <w:tcPr>
            <w:tcW w:w="0" w:type="auto"/>
            <w:hideMark/>
          </w:tcPr>
          <w:p w14:paraId="20B4F5F1"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显著提升</w:t>
            </w:r>
            <w:r w:rsidRPr="00497A5B">
              <w:rPr>
                <w:rFonts w:ascii="Arial" w:hAnsi="Arial" w:cs="Arial"/>
                <w:color w:val="1B1C1D"/>
                <w:sz w:val="21"/>
                <w:szCs w:val="21"/>
              </w:rPr>
              <w:t>，风险调整后收益更优</w:t>
            </w:r>
          </w:p>
        </w:tc>
      </w:tr>
      <w:tr w:rsidR="009715D9" w:rsidRPr="00497A5B" w14:paraId="24CF7189" w14:textId="77777777" w:rsidTr="00F7226F">
        <w:trPr>
          <w:jc w:val="center"/>
        </w:trPr>
        <w:tc>
          <w:tcPr>
            <w:tcW w:w="0" w:type="auto"/>
            <w:hideMark/>
          </w:tcPr>
          <w:p w14:paraId="4FA5071B"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最大回撤</w:t>
            </w:r>
          </w:p>
        </w:tc>
        <w:tc>
          <w:tcPr>
            <w:tcW w:w="0" w:type="auto"/>
            <w:hideMark/>
          </w:tcPr>
          <w:p w14:paraId="090E8362"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-40.26%</w:t>
            </w:r>
          </w:p>
        </w:tc>
        <w:tc>
          <w:tcPr>
            <w:tcW w:w="0" w:type="auto"/>
            <w:hideMark/>
          </w:tcPr>
          <w:p w14:paraId="0CD301A6" w14:textId="77777777" w:rsidR="009715D9" w:rsidRPr="00497A5B" w:rsidRDefault="009715D9" w:rsidP="00F54FF0">
            <w:pPr>
              <w:ind w:firstLine="422"/>
              <w:rPr>
                <w:rFonts w:ascii="Arial" w:hAnsi="Arial" w:cs="Arial"/>
                <w:b/>
                <w:bCs/>
                <w:color w:val="1B1C1D"/>
                <w:sz w:val="21"/>
                <w:szCs w:val="21"/>
              </w:rPr>
            </w:pPr>
            <w:r w:rsidRPr="00497A5B">
              <w:rPr>
                <w:rFonts w:ascii="Arial" w:hAnsi="Arial" w:cs="Arial"/>
                <w:b/>
                <w:bCs/>
                <w:color w:val="1B1C1D"/>
                <w:sz w:val="21"/>
                <w:szCs w:val="21"/>
              </w:rPr>
              <w:t>-39.00%</w:t>
            </w:r>
          </w:p>
        </w:tc>
        <w:tc>
          <w:tcPr>
            <w:tcW w:w="0" w:type="auto"/>
            <w:hideMark/>
          </w:tcPr>
          <w:p w14:paraId="15F2F5E1"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略有增加，差异不大</w:t>
            </w:r>
          </w:p>
        </w:tc>
      </w:tr>
      <w:tr w:rsidR="009715D9" w:rsidRPr="00497A5B" w14:paraId="5D9A1647" w14:textId="77777777" w:rsidTr="00F7226F">
        <w:trPr>
          <w:jc w:val="center"/>
        </w:trPr>
        <w:tc>
          <w:tcPr>
            <w:tcW w:w="0" w:type="auto"/>
            <w:hideMark/>
          </w:tcPr>
          <w:p w14:paraId="45436278"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年化换手率</w:t>
            </w:r>
          </w:p>
        </w:tc>
        <w:tc>
          <w:tcPr>
            <w:tcW w:w="0" w:type="auto"/>
            <w:hideMark/>
          </w:tcPr>
          <w:p w14:paraId="45257D4B"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109.48%</w:t>
            </w:r>
          </w:p>
        </w:tc>
        <w:tc>
          <w:tcPr>
            <w:tcW w:w="0" w:type="auto"/>
            <w:hideMark/>
          </w:tcPr>
          <w:p w14:paraId="4A448F12"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54.77%</w:t>
            </w:r>
          </w:p>
        </w:tc>
        <w:tc>
          <w:tcPr>
            <w:tcW w:w="0" w:type="auto"/>
            <w:hideMark/>
          </w:tcPr>
          <w:p w14:paraId="433183CD"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大幅增加</w:t>
            </w:r>
            <w:r w:rsidRPr="00497A5B">
              <w:rPr>
                <w:rFonts w:ascii="Arial" w:hAnsi="Arial" w:cs="Arial"/>
                <w:color w:val="1B1C1D"/>
                <w:sz w:val="21"/>
                <w:szCs w:val="21"/>
              </w:rPr>
              <w:t>，接近翻倍</w:t>
            </w:r>
          </w:p>
        </w:tc>
      </w:tr>
      <w:tr w:rsidR="009715D9" w:rsidRPr="00497A5B" w14:paraId="389AFBB9" w14:textId="77777777" w:rsidTr="00F7226F">
        <w:trPr>
          <w:jc w:val="center"/>
        </w:trPr>
        <w:tc>
          <w:tcPr>
            <w:tcW w:w="0" w:type="auto"/>
            <w:hideMark/>
          </w:tcPr>
          <w:p w14:paraId="7B559494"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信息比率</w:t>
            </w:r>
          </w:p>
        </w:tc>
        <w:tc>
          <w:tcPr>
            <w:tcW w:w="0" w:type="auto"/>
            <w:hideMark/>
          </w:tcPr>
          <w:p w14:paraId="1D31FC76"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0.580</w:t>
            </w:r>
          </w:p>
        </w:tc>
        <w:tc>
          <w:tcPr>
            <w:tcW w:w="0" w:type="auto"/>
            <w:hideMark/>
          </w:tcPr>
          <w:p w14:paraId="21AEF6BD"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0.531</w:t>
            </w:r>
          </w:p>
        </w:tc>
        <w:tc>
          <w:tcPr>
            <w:tcW w:w="0" w:type="auto"/>
            <w:hideMark/>
          </w:tcPr>
          <w:p w14:paraId="503C6928"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显著提升</w:t>
            </w:r>
            <w:r w:rsidRPr="00497A5B">
              <w:rPr>
                <w:rFonts w:ascii="Arial" w:hAnsi="Arial" w:cs="Arial"/>
                <w:color w:val="1B1C1D"/>
                <w:sz w:val="21"/>
                <w:szCs w:val="21"/>
              </w:rPr>
              <w:t>，获取超额收益能力更强</w:t>
            </w:r>
          </w:p>
        </w:tc>
      </w:tr>
    </w:tbl>
    <w:p w14:paraId="2E45B5B7" w14:textId="77777777" w:rsidR="009715D9" w:rsidRDefault="009715D9" w:rsidP="009715D9">
      <w:pPr>
        <w:ind w:firstLine="480"/>
      </w:pPr>
      <w:r>
        <w:rPr>
          <w:rFonts w:hint="eastAsia"/>
        </w:rPr>
        <w:t>从上表的绩效对比来看，季度调仓策略的年化收益率从</w:t>
      </w:r>
      <w:r>
        <w:rPr>
          <w:rFonts w:hint="eastAsia"/>
        </w:rPr>
        <w:t>8.05%</w:t>
      </w:r>
      <w:r>
        <w:rPr>
          <w:rFonts w:hint="eastAsia"/>
        </w:rPr>
        <w:t>提升至</w:t>
      </w:r>
      <w:r>
        <w:rPr>
          <w:rFonts w:hint="eastAsia"/>
        </w:rPr>
        <w:t>8.88%</w:t>
      </w:r>
      <w:r>
        <w:rPr>
          <w:rFonts w:hint="eastAsia"/>
        </w:rPr>
        <w:t>，夏普比率和信息比率也均有显著改善。这印证了我们的初始假设：利用更及时的财报数据进行决策，确实能够更有效地捕捉阿尔法，从而提升策略的整体回报和风险调整后收益。</w:t>
      </w:r>
    </w:p>
    <w:p w14:paraId="5E1DC5FD" w14:textId="77777777" w:rsidR="009715D9" w:rsidRDefault="009715D9" w:rsidP="009715D9">
      <w:pPr>
        <w:ind w:firstLine="480"/>
      </w:pPr>
      <w:r>
        <w:rPr>
          <w:rFonts w:hint="eastAsia"/>
        </w:rPr>
        <w:t>当然，我们也必须正视其代价——显著提高的换手率。年化换手率从</w:t>
      </w:r>
      <w:r>
        <w:rPr>
          <w:rFonts w:hint="eastAsia"/>
        </w:rPr>
        <w:t>54.77%</w:t>
      </w:r>
      <w:r>
        <w:rPr>
          <w:rFonts w:hint="eastAsia"/>
        </w:rPr>
        <w:t>跃升至</w:t>
      </w:r>
      <w:r>
        <w:rPr>
          <w:rFonts w:hint="eastAsia"/>
        </w:rPr>
        <w:t>109.48%</w:t>
      </w:r>
      <w:r>
        <w:rPr>
          <w:rFonts w:hint="eastAsia"/>
        </w:rPr>
        <w:t>，接近翻倍。这是为信息时效性付出的必然“成本”，在实际操作中会带来更高的交易费用。</w:t>
      </w:r>
    </w:p>
    <w:p w14:paraId="3BA03607" w14:textId="77777777" w:rsidR="009715D9" w:rsidRPr="009715D9" w:rsidRDefault="009715D9" w:rsidP="009715D9">
      <w:pPr>
        <w:ind w:firstLine="482"/>
        <w:rPr>
          <w:b/>
          <w:bCs/>
        </w:rPr>
      </w:pPr>
      <w:r w:rsidRPr="009715D9">
        <w:rPr>
          <w:b/>
          <w:bCs/>
        </w:rPr>
        <w:t xml:space="preserve">2.2.4 </w:t>
      </w:r>
      <w:r w:rsidRPr="009715D9">
        <w:rPr>
          <w:b/>
          <w:bCs/>
        </w:rPr>
        <w:t>小结</w:t>
      </w:r>
    </w:p>
    <w:p w14:paraId="0C457720" w14:textId="05B7B5AB" w:rsidR="009715D9" w:rsidRPr="009715D9" w:rsidRDefault="009715D9" w:rsidP="009715D9">
      <w:pPr>
        <w:ind w:firstLine="480"/>
      </w:pPr>
      <w:r w:rsidRPr="009715D9">
        <w:t>综合来看，将调仓周期与财报披露节奏同步，是一次成功且有效的策略优化。它通过提升决策的信息效率，在不显著增加组合风险的前提下，带来了更高的长期回报和风险调整后收益。这次改进的核心价值在于增强了策略的</w:t>
      </w:r>
      <w:r w:rsidRPr="009715D9">
        <w:rPr>
          <w:b/>
          <w:bCs/>
        </w:rPr>
        <w:t>适应性</w:t>
      </w:r>
      <w:r w:rsidRPr="009715D9">
        <w:t>，使我们的</w:t>
      </w:r>
      <w:r w:rsidRPr="009715D9">
        <w:t>PB-ROE</w:t>
      </w:r>
      <w:r w:rsidRPr="009715D9">
        <w:t>框架向一个更精细、更动态、更贴近市场脉搏的量化模型迈出了坚实的一步。</w:t>
      </w:r>
    </w:p>
    <w:p w14:paraId="7BF9D43E" w14:textId="77777777" w:rsidR="009715D9" w:rsidRPr="009715D9" w:rsidRDefault="009715D9" w:rsidP="0080064E">
      <w:pPr>
        <w:ind w:firstLine="482"/>
        <w:rPr>
          <w:b/>
          <w:bCs/>
        </w:rPr>
      </w:pPr>
      <w:r w:rsidRPr="009715D9">
        <w:rPr>
          <w:b/>
          <w:bCs/>
        </w:rPr>
        <w:t xml:space="preserve">2.3 </w:t>
      </w:r>
      <w:r w:rsidRPr="009715D9">
        <w:rPr>
          <w:b/>
          <w:bCs/>
        </w:rPr>
        <w:t>策略改进三：引入月度再平衡以维持因子敞口</w:t>
      </w:r>
    </w:p>
    <w:p w14:paraId="50949270" w14:textId="77777777" w:rsidR="009715D9" w:rsidRPr="009715D9" w:rsidRDefault="009715D9" w:rsidP="009715D9">
      <w:pPr>
        <w:ind w:firstLine="482"/>
        <w:rPr>
          <w:b/>
          <w:bCs/>
        </w:rPr>
      </w:pPr>
      <w:r w:rsidRPr="009715D9">
        <w:rPr>
          <w:b/>
          <w:bCs/>
        </w:rPr>
        <w:t xml:space="preserve">2.3.1 </w:t>
      </w:r>
      <w:r w:rsidRPr="009715D9">
        <w:rPr>
          <w:b/>
          <w:bCs/>
        </w:rPr>
        <w:t>问题的提出：因子敞口的盘中衰减</w:t>
      </w:r>
    </w:p>
    <w:p w14:paraId="6EC2ABED" w14:textId="77777777" w:rsidR="009715D9" w:rsidRPr="009715D9" w:rsidRDefault="009715D9" w:rsidP="009715D9">
      <w:pPr>
        <w:ind w:firstLine="480"/>
      </w:pPr>
      <w:r w:rsidRPr="009715D9">
        <w:t>即使将调仓频率提升至季度，在两个调仓日之间长达数月的时间窗口内，估值数据（</w:t>
      </w:r>
      <w:r w:rsidRPr="009715D9">
        <w:t>P/B</w:t>
      </w:r>
      <w:r w:rsidRPr="009715D9">
        <w:t>）的时效性问题仍未被完全解决。股价的每日波动会导致个股的</w:t>
      </w:r>
      <w:r w:rsidRPr="009715D9">
        <w:t>P/B</w:t>
      </w:r>
      <w:r w:rsidRPr="009715D9">
        <w:t>值迅速偏离其在季初的水平。一个在季初因低</w:t>
      </w:r>
      <w:r w:rsidRPr="009715D9">
        <w:t>P/B</w:t>
      </w:r>
      <w:r w:rsidRPr="009715D9">
        <w:t>被选入组合的股票，可能在一个月后因股价快速上涨而不再具备低估值属性。</w:t>
      </w:r>
    </w:p>
    <w:p w14:paraId="3D4A89C0" w14:textId="77777777" w:rsidR="009715D9" w:rsidRPr="009715D9" w:rsidRDefault="009715D9" w:rsidP="009715D9">
      <w:pPr>
        <w:ind w:firstLine="480"/>
      </w:pPr>
      <w:r w:rsidRPr="009715D9">
        <w:t>固定的季度调仓模式会使组合继续持有这类</w:t>
      </w:r>
      <w:r w:rsidRPr="009715D9">
        <w:t>“</w:t>
      </w:r>
      <w:r w:rsidRPr="009715D9">
        <w:t>特征已失效</w:t>
      </w:r>
      <w:r w:rsidRPr="009715D9">
        <w:t>”</w:t>
      </w:r>
      <w:r w:rsidRPr="009715D9">
        <w:t>的股票，这种现象在量化投资中被称为</w:t>
      </w:r>
      <w:r w:rsidRPr="009715D9">
        <w:rPr>
          <w:b/>
          <w:bCs/>
        </w:rPr>
        <w:t>因子敞口衰减（</w:t>
      </w:r>
      <w:r w:rsidRPr="009715D9">
        <w:rPr>
          <w:b/>
          <w:bCs/>
        </w:rPr>
        <w:t>Factor Exposure Decay</w:t>
      </w:r>
      <w:r w:rsidRPr="009715D9">
        <w:rPr>
          <w:b/>
          <w:bCs/>
        </w:rPr>
        <w:t>）</w:t>
      </w:r>
      <w:r w:rsidRPr="009715D9">
        <w:t>。它意味着，我们策略的实际风险暴露与其宣称的目标（即持续持有低估值股票）之间存在偏差，从而降低了策略的效率。</w:t>
      </w:r>
    </w:p>
    <w:p w14:paraId="6F935EE4" w14:textId="77777777" w:rsidR="009715D9" w:rsidRPr="009715D9" w:rsidRDefault="009715D9" w:rsidP="009715D9">
      <w:pPr>
        <w:ind w:firstLine="482"/>
        <w:rPr>
          <w:b/>
          <w:bCs/>
        </w:rPr>
      </w:pPr>
      <w:r w:rsidRPr="009715D9">
        <w:rPr>
          <w:b/>
          <w:bCs/>
        </w:rPr>
        <w:t xml:space="preserve">2.3.2 </w:t>
      </w:r>
      <w:r w:rsidRPr="009715D9">
        <w:rPr>
          <w:b/>
          <w:bCs/>
        </w:rPr>
        <w:t>改进的逻辑与实施</w:t>
      </w:r>
    </w:p>
    <w:p w14:paraId="03AC505C" w14:textId="77777777" w:rsidR="009715D9" w:rsidRPr="009715D9" w:rsidRDefault="009715D9" w:rsidP="009715D9">
      <w:pPr>
        <w:ind w:firstLine="480"/>
      </w:pPr>
      <w:r w:rsidRPr="009715D9">
        <w:t>为了解决因子敞口的衰减问题，我们提出第三个关键改进：</w:t>
      </w:r>
      <w:r w:rsidRPr="009715D9">
        <w:rPr>
          <w:b/>
          <w:bCs/>
        </w:rPr>
        <w:t>将再平衡（</w:t>
      </w:r>
      <w:r w:rsidRPr="009715D9">
        <w:rPr>
          <w:b/>
          <w:bCs/>
        </w:rPr>
        <w:t>Rebalancing</w:t>
      </w:r>
      <w:r w:rsidRPr="009715D9">
        <w:rPr>
          <w:b/>
          <w:bCs/>
        </w:rPr>
        <w:t>）的频率从季度进一步提升至月度。</w:t>
      </w:r>
    </w:p>
    <w:p w14:paraId="049392E5" w14:textId="77777777" w:rsidR="009715D9" w:rsidRPr="009715D9" w:rsidRDefault="009715D9" w:rsidP="009715D9">
      <w:pPr>
        <w:ind w:firstLine="482"/>
      </w:pPr>
      <w:r w:rsidRPr="009715D9">
        <w:rPr>
          <w:b/>
          <w:bCs/>
        </w:rPr>
        <w:t>ROE</w:t>
      </w:r>
      <w:r w:rsidRPr="009715D9">
        <w:rPr>
          <w:b/>
          <w:bCs/>
        </w:rPr>
        <w:t>数据保持季度更新</w:t>
      </w:r>
      <w:r w:rsidRPr="009715D9">
        <w:t>：盈利能力（</w:t>
      </w:r>
      <w:r w:rsidRPr="009715D9">
        <w:t>ROE</w:t>
      </w:r>
      <w:r w:rsidRPr="009715D9">
        <w:t>）是一个中长期指标，其更新频率依然与财报披露周期保持一致。</w:t>
      </w:r>
    </w:p>
    <w:p w14:paraId="2C771AE2" w14:textId="77777777" w:rsidR="009715D9" w:rsidRPr="009715D9" w:rsidRDefault="009715D9" w:rsidP="009715D9">
      <w:pPr>
        <w:ind w:firstLine="482"/>
      </w:pPr>
      <w:r w:rsidRPr="009715D9">
        <w:rPr>
          <w:b/>
          <w:bCs/>
        </w:rPr>
        <w:t>P/B</w:t>
      </w:r>
      <w:r w:rsidRPr="009715D9">
        <w:rPr>
          <w:b/>
          <w:bCs/>
        </w:rPr>
        <w:t>数据实现月度更新</w:t>
      </w:r>
      <w:r w:rsidRPr="009715D9">
        <w:t>：在每个月的最后一个交易日，我们都使用当日的收盘价（</w:t>
      </w:r>
      <w:r w:rsidRPr="009715D9">
        <w:t>P</w:t>
      </w:r>
      <w:r w:rsidRPr="009715D9">
        <w:t>）和最近一期已披露财报的每股净资产（</w:t>
      </w:r>
      <w:r w:rsidRPr="009715D9">
        <w:t>B</w:t>
      </w:r>
      <w:r w:rsidRPr="009715D9">
        <w:t>），为全市场所有股票重新计算最新的</w:t>
      </w:r>
      <w:r w:rsidRPr="009715D9">
        <w:t>P/B</w:t>
      </w:r>
      <w:r w:rsidRPr="009715D9">
        <w:t>值。</w:t>
      </w:r>
    </w:p>
    <w:p w14:paraId="704F12B6" w14:textId="77777777" w:rsidR="009715D9" w:rsidRPr="009715D9" w:rsidRDefault="009715D9" w:rsidP="009715D9">
      <w:pPr>
        <w:ind w:firstLine="482"/>
      </w:pPr>
      <w:r w:rsidRPr="009715D9">
        <w:rPr>
          <w:b/>
          <w:bCs/>
        </w:rPr>
        <w:t>执行月度再平衡</w:t>
      </w:r>
      <w:r w:rsidRPr="009715D9">
        <w:t>：在每个月月初的第一个交易日，我们都根据最新的</w:t>
      </w:r>
      <w:r w:rsidRPr="009715D9">
        <w:t>ROE</w:t>
      </w:r>
      <w:r w:rsidRPr="009715D9">
        <w:t>（季度更新）和最新的</w:t>
      </w:r>
      <w:r w:rsidRPr="009715D9">
        <w:t>P/B</w:t>
      </w:r>
      <w:r w:rsidRPr="009715D9">
        <w:t>（月度更新）数据，重新执行一次完整的行业中性化筛选流程，并相应调整持仓。</w:t>
      </w:r>
    </w:p>
    <w:p w14:paraId="195B305B" w14:textId="608B1143" w:rsidR="0080064E" w:rsidRDefault="009715D9" w:rsidP="005032FD">
      <w:pPr>
        <w:ind w:firstLine="482"/>
        <w:rPr>
          <w:b/>
          <w:bCs/>
        </w:rPr>
      </w:pPr>
      <w:r w:rsidRPr="009715D9">
        <w:rPr>
          <w:b/>
          <w:bCs/>
        </w:rPr>
        <w:t xml:space="preserve">2.3.3 </w:t>
      </w:r>
      <w:r w:rsidRPr="009715D9">
        <w:rPr>
          <w:b/>
          <w:bCs/>
        </w:rPr>
        <w:t>实证分析：动态锚定的超额收益</w:t>
      </w:r>
    </w:p>
    <w:tbl>
      <w:tblPr>
        <w:tblStyle w:val="11"/>
        <w:tblW w:w="0" w:type="auto"/>
        <w:jc w:val="center"/>
        <w:tblLook w:val="04A0" w:firstRow="1" w:lastRow="0" w:firstColumn="1" w:lastColumn="0" w:noHBand="0" w:noVBand="1"/>
      </w:tblPr>
      <w:tblGrid>
        <w:gridCol w:w="1693"/>
        <w:gridCol w:w="2114"/>
        <w:gridCol w:w="1903"/>
        <w:gridCol w:w="3372"/>
      </w:tblGrid>
      <w:tr w:rsidR="009715D9" w:rsidRPr="00FE0396" w14:paraId="0D0E18F1" w14:textId="77777777" w:rsidTr="00F7226F">
        <w:trPr>
          <w:jc w:val="center"/>
        </w:trPr>
        <w:tc>
          <w:tcPr>
            <w:tcW w:w="0" w:type="auto"/>
            <w:hideMark/>
          </w:tcPr>
          <w:p w14:paraId="4AFF44BA"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绩效指标</w:t>
            </w:r>
          </w:p>
        </w:tc>
        <w:tc>
          <w:tcPr>
            <w:tcW w:w="0" w:type="auto"/>
            <w:hideMark/>
          </w:tcPr>
          <w:p w14:paraId="3DFC7FFE"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月度再平衡策略</w:t>
            </w:r>
            <w:r w:rsidRPr="00FE0396">
              <w:rPr>
                <w:rFonts w:ascii="Arial" w:hAnsi="Arial" w:cs="Arial"/>
                <w:b/>
                <w:bCs/>
                <w:color w:val="1B1C1D"/>
                <w:sz w:val="21"/>
                <w:szCs w:val="21"/>
                <w:bdr w:val="none" w:sz="0" w:space="0" w:color="auto" w:frame="1"/>
              </w:rPr>
              <w:t xml:space="preserve"> </w:t>
            </w:r>
          </w:p>
        </w:tc>
        <w:tc>
          <w:tcPr>
            <w:tcW w:w="0" w:type="auto"/>
            <w:hideMark/>
          </w:tcPr>
          <w:p w14:paraId="1AC706BF"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季度调仓策略</w:t>
            </w:r>
            <w:r w:rsidRPr="00FE0396">
              <w:rPr>
                <w:rFonts w:ascii="Arial" w:hAnsi="Arial" w:cs="Arial"/>
                <w:b/>
                <w:bCs/>
                <w:color w:val="1B1C1D"/>
                <w:sz w:val="21"/>
                <w:szCs w:val="21"/>
                <w:bdr w:val="none" w:sz="0" w:space="0" w:color="auto" w:frame="1"/>
              </w:rPr>
              <w:t xml:space="preserve"> </w:t>
            </w:r>
          </w:p>
        </w:tc>
        <w:tc>
          <w:tcPr>
            <w:tcW w:w="0" w:type="auto"/>
            <w:hideMark/>
          </w:tcPr>
          <w:p w14:paraId="605A8E33"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变化分析</w:t>
            </w:r>
          </w:p>
        </w:tc>
      </w:tr>
      <w:tr w:rsidR="009715D9" w:rsidRPr="00FE0396" w14:paraId="1D289D1B" w14:textId="77777777" w:rsidTr="00F7226F">
        <w:trPr>
          <w:jc w:val="center"/>
        </w:trPr>
        <w:tc>
          <w:tcPr>
            <w:tcW w:w="0" w:type="auto"/>
            <w:hideMark/>
          </w:tcPr>
          <w:p w14:paraId="70DF83EE"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年化收益率</w:t>
            </w:r>
          </w:p>
        </w:tc>
        <w:tc>
          <w:tcPr>
            <w:tcW w:w="0" w:type="auto"/>
            <w:hideMark/>
          </w:tcPr>
          <w:p w14:paraId="49D52C02"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11.78%</w:t>
            </w:r>
          </w:p>
        </w:tc>
        <w:tc>
          <w:tcPr>
            <w:tcW w:w="0" w:type="auto"/>
            <w:hideMark/>
          </w:tcPr>
          <w:p w14:paraId="12062DF5"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8.88%</w:t>
            </w:r>
          </w:p>
        </w:tc>
        <w:tc>
          <w:tcPr>
            <w:tcW w:w="0" w:type="auto"/>
            <w:hideMark/>
          </w:tcPr>
          <w:p w14:paraId="121DD2B1"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提升</w:t>
            </w:r>
            <w:r w:rsidRPr="00FE0396">
              <w:rPr>
                <w:rFonts w:ascii="Arial" w:hAnsi="Arial" w:cs="Arial"/>
                <w:b/>
                <w:bCs/>
                <w:color w:val="1B1C1D"/>
                <w:sz w:val="21"/>
                <w:szCs w:val="21"/>
                <w:bdr w:val="none" w:sz="0" w:space="0" w:color="auto" w:frame="1"/>
              </w:rPr>
              <w:t>2.9</w:t>
            </w:r>
            <w:r w:rsidRPr="00FE0396">
              <w:rPr>
                <w:rFonts w:ascii="Arial" w:hAnsi="Arial" w:cs="Arial"/>
                <w:b/>
                <w:bCs/>
                <w:color w:val="1B1C1D"/>
                <w:sz w:val="21"/>
                <w:szCs w:val="21"/>
                <w:bdr w:val="none" w:sz="0" w:space="0" w:color="auto" w:frame="1"/>
              </w:rPr>
              <w:t>个百分点</w:t>
            </w:r>
          </w:p>
        </w:tc>
      </w:tr>
      <w:tr w:rsidR="009715D9" w:rsidRPr="00FE0396" w14:paraId="4BF02E5A" w14:textId="77777777" w:rsidTr="00F7226F">
        <w:trPr>
          <w:jc w:val="center"/>
        </w:trPr>
        <w:tc>
          <w:tcPr>
            <w:tcW w:w="0" w:type="auto"/>
            <w:hideMark/>
          </w:tcPr>
          <w:p w14:paraId="3A1FCF41"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年化波动率</w:t>
            </w:r>
          </w:p>
        </w:tc>
        <w:tc>
          <w:tcPr>
            <w:tcW w:w="0" w:type="auto"/>
            <w:hideMark/>
          </w:tcPr>
          <w:p w14:paraId="715EBE29"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24.70%</w:t>
            </w:r>
          </w:p>
        </w:tc>
        <w:tc>
          <w:tcPr>
            <w:tcW w:w="0" w:type="auto"/>
            <w:hideMark/>
          </w:tcPr>
          <w:p w14:paraId="5AB22B05"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23.93%</w:t>
            </w:r>
          </w:p>
        </w:tc>
        <w:tc>
          <w:tcPr>
            <w:tcW w:w="0" w:type="auto"/>
            <w:hideMark/>
          </w:tcPr>
          <w:p w14:paraId="0029500A"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基本持平，风险水平相当</w:t>
            </w:r>
          </w:p>
        </w:tc>
      </w:tr>
      <w:tr w:rsidR="009715D9" w:rsidRPr="00FE0396" w14:paraId="77B067C5" w14:textId="77777777" w:rsidTr="00F7226F">
        <w:trPr>
          <w:jc w:val="center"/>
        </w:trPr>
        <w:tc>
          <w:tcPr>
            <w:tcW w:w="0" w:type="auto"/>
            <w:hideMark/>
          </w:tcPr>
          <w:p w14:paraId="582F1EAB"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夏普比率</w:t>
            </w:r>
          </w:p>
        </w:tc>
        <w:tc>
          <w:tcPr>
            <w:tcW w:w="0" w:type="auto"/>
            <w:hideMark/>
          </w:tcPr>
          <w:p w14:paraId="22B86488"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0.355</w:t>
            </w:r>
          </w:p>
        </w:tc>
        <w:tc>
          <w:tcPr>
            <w:tcW w:w="0" w:type="auto"/>
            <w:hideMark/>
          </w:tcPr>
          <w:p w14:paraId="16F58A27"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0.246</w:t>
            </w:r>
          </w:p>
        </w:tc>
        <w:tc>
          <w:tcPr>
            <w:tcW w:w="0" w:type="auto"/>
            <w:hideMark/>
          </w:tcPr>
          <w:p w14:paraId="64C1BE5A"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大幅提升</w:t>
            </w:r>
            <w:r w:rsidRPr="00FE0396">
              <w:rPr>
                <w:rFonts w:ascii="Arial" w:hAnsi="Arial" w:cs="Arial"/>
                <w:b/>
                <w:bCs/>
                <w:color w:val="1B1C1D"/>
                <w:sz w:val="21"/>
                <w:szCs w:val="21"/>
                <w:bdr w:val="none" w:sz="0" w:space="0" w:color="auto" w:frame="1"/>
              </w:rPr>
              <w:t>44%</w:t>
            </w:r>
          </w:p>
        </w:tc>
      </w:tr>
      <w:tr w:rsidR="009715D9" w:rsidRPr="00FE0396" w14:paraId="499F6FCD" w14:textId="77777777" w:rsidTr="00F7226F">
        <w:trPr>
          <w:jc w:val="center"/>
        </w:trPr>
        <w:tc>
          <w:tcPr>
            <w:tcW w:w="0" w:type="auto"/>
            <w:hideMark/>
          </w:tcPr>
          <w:p w14:paraId="4589F20B"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最大回撤</w:t>
            </w:r>
          </w:p>
        </w:tc>
        <w:tc>
          <w:tcPr>
            <w:tcW w:w="0" w:type="auto"/>
            <w:hideMark/>
          </w:tcPr>
          <w:p w14:paraId="5817650A"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-35.04%</w:t>
            </w:r>
          </w:p>
        </w:tc>
        <w:tc>
          <w:tcPr>
            <w:tcW w:w="0" w:type="auto"/>
            <w:hideMark/>
          </w:tcPr>
          <w:p w14:paraId="148C10B2"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-40.11%</w:t>
            </w:r>
          </w:p>
        </w:tc>
        <w:tc>
          <w:tcPr>
            <w:tcW w:w="0" w:type="auto"/>
            <w:hideMark/>
          </w:tcPr>
          <w:p w14:paraId="5C692AE5"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显著改善</w:t>
            </w:r>
            <w:r w:rsidRPr="00FE0396">
              <w:rPr>
                <w:rFonts w:ascii="Arial" w:hAnsi="Arial" w:cs="Arial"/>
                <w:color w:val="1B1C1D"/>
                <w:sz w:val="21"/>
                <w:szCs w:val="21"/>
              </w:rPr>
              <w:t>，风险控制能力更强</w:t>
            </w:r>
          </w:p>
        </w:tc>
      </w:tr>
      <w:tr w:rsidR="009715D9" w:rsidRPr="00FE0396" w14:paraId="343D70F3" w14:textId="77777777" w:rsidTr="00F7226F">
        <w:trPr>
          <w:jc w:val="center"/>
        </w:trPr>
        <w:tc>
          <w:tcPr>
            <w:tcW w:w="0" w:type="auto"/>
            <w:hideMark/>
          </w:tcPr>
          <w:p w14:paraId="0490F8CC"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年化换手率</w:t>
            </w:r>
          </w:p>
        </w:tc>
        <w:tc>
          <w:tcPr>
            <w:tcW w:w="0" w:type="auto"/>
            <w:hideMark/>
          </w:tcPr>
          <w:p w14:paraId="48A55E1C"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198.43%</w:t>
            </w:r>
          </w:p>
        </w:tc>
        <w:tc>
          <w:tcPr>
            <w:tcW w:w="0" w:type="auto"/>
            <w:hideMark/>
          </w:tcPr>
          <w:p w14:paraId="0B183443"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109.48%</w:t>
            </w:r>
          </w:p>
        </w:tc>
        <w:tc>
          <w:tcPr>
            <w:tcW w:w="0" w:type="auto"/>
            <w:hideMark/>
          </w:tcPr>
          <w:p w14:paraId="3A99AAE2"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大幅增加</w:t>
            </w:r>
            <w:r w:rsidRPr="00FE0396">
              <w:rPr>
                <w:rFonts w:ascii="Arial" w:hAnsi="Arial" w:cs="Arial"/>
                <w:color w:val="1B1C1D"/>
                <w:sz w:val="21"/>
                <w:szCs w:val="21"/>
              </w:rPr>
              <w:t>，接近翻倍</w:t>
            </w:r>
          </w:p>
        </w:tc>
      </w:tr>
      <w:tr w:rsidR="009715D9" w:rsidRPr="00FE0396" w14:paraId="02B17859" w14:textId="77777777" w:rsidTr="00F7226F">
        <w:trPr>
          <w:jc w:val="center"/>
        </w:trPr>
        <w:tc>
          <w:tcPr>
            <w:tcW w:w="0" w:type="auto"/>
            <w:hideMark/>
          </w:tcPr>
          <w:p w14:paraId="3422F3BE"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信息比率</w:t>
            </w:r>
          </w:p>
        </w:tc>
        <w:tc>
          <w:tcPr>
            <w:tcW w:w="0" w:type="auto"/>
            <w:hideMark/>
          </w:tcPr>
          <w:p w14:paraId="3BED9538"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0.766</w:t>
            </w:r>
          </w:p>
        </w:tc>
        <w:tc>
          <w:tcPr>
            <w:tcW w:w="0" w:type="auto"/>
            <w:hideMark/>
          </w:tcPr>
          <w:p w14:paraId="24824CFA"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0.606</w:t>
            </w:r>
          </w:p>
        </w:tc>
        <w:tc>
          <w:tcPr>
            <w:tcW w:w="0" w:type="auto"/>
            <w:hideMark/>
          </w:tcPr>
          <w:p w14:paraId="35CFDF2C"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显著提升</w:t>
            </w:r>
            <w:r w:rsidRPr="00FE0396">
              <w:rPr>
                <w:rFonts w:ascii="Arial" w:hAnsi="Arial" w:cs="Arial"/>
                <w:color w:val="1B1C1D"/>
                <w:sz w:val="21"/>
                <w:szCs w:val="21"/>
              </w:rPr>
              <w:t>，超额收益更稳定</w:t>
            </w:r>
          </w:p>
        </w:tc>
      </w:tr>
    </w:tbl>
    <w:p w14:paraId="096D97FA" w14:textId="67A3BFD0" w:rsidR="00FE0396" w:rsidRPr="00FE0396" w:rsidRDefault="00FE0396" w:rsidP="00FE0396">
      <w:pPr>
        <w:ind w:firstLine="480"/>
      </w:pPr>
      <w:r>
        <w:rPr>
          <w:rFonts w:hint="eastAsia"/>
          <w:noProof/>
        </w:rPr>
        <w:drawing>
          <wp:inline distT="0" distB="0" distL="0" distR="0" wp14:anchorId="10028015" wp14:editId="6F7ED6DE">
            <wp:extent cx="6188710" cy="3020695"/>
            <wp:effectExtent l="0" t="0" r="2540" b="8255"/>
            <wp:docPr id="1392917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17131" name="图片 13929171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020695"/>
                    </a:xfrm>
                    <a:prstGeom prst="rect">
                      <a:avLst/>
                    </a:prstGeom>
                  </pic:spPr>
                </pic:pic>
              </a:graphicData>
            </a:graphic>
          </wp:inline>
        </w:drawing>
      </w:r>
    </w:p>
    <w:p w14:paraId="74F368BE" w14:textId="77777777" w:rsidR="009715D9" w:rsidRPr="009715D9" w:rsidRDefault="009715D9" w:rsidP="009715D9">
      <w:pPr>
        <w:ind w:firstLine="480"/>
      </w:pPr>
      <w:r w:rsidRPr="009715D9">
        <w:t>从上表的绩效对比来看，月度再平衡策略的</w:t>
      </w:r>
      <w:r w:rsidRPr="009715D9">
        <w:rPr>
          <w:b/>
          <w:bCs/>
        </w:rPr>
        <w:t>年化收益率</w:t>
      </w:r>
      <w:r w:rsidRPr="009715D9">
        <w:t>从</w:t>
      </w:r>
      <w:r w:rsidRPr="009715D9">
        <w:t>8.88%</w:t>
      </w:r>
      <w:r w:rsidRPr="009715D9">
        <w:t>大幅跃升至</w:t>
      </w:r>
      <w:r w:rsidRPr="009715D9">
        <w:t>11.78%</w:t>
      </w:r>
      <w:r w:rsidRPr="009715D9">
        <w:t>，</w:t>
      </w:r>
      <w:r w:rsidRPr="009715D9">
        <w:rPr>
          <w:b/>
          <w:bCs/>
        </w:rPr>
        <w:t>夏普比率</w:t>
      </w:r>
      <w:r w:rsidRPr="009715D9">
        <w:t>和</w:t>
      </w:r>
      <w:r w:rsidRPr="009715D9">
        <w:rPr>
          <w:b/>
          <w:bCs/>
        </w:rPr>
        <w:t>信息比率</w:t>
      </w:r>
      <w:r w:rsidRPr="009715D9">
        <w:t>也随之实现了质的飞跃。尤为值得注意的是，</w:t>
      </w:r>
      <w:r w:rsidRPr="009715D9">
        <w:rPr>
          <w:b/>
          <w:bCs/>
        </w:rPr>
        <w:t>最大回撤</w:t>
      </w:r>
      <w:r w:rsidRPr="009715D9">
        <w:t>从</w:t>
      </w:r>
      <w:r w:rsidRPr="009715D9">
        <w:t>-40.11%</w:t>
      </w:r>
      <w:r w:rsidRPr="009715D9">
        <w:t>显著改善至</w:t>
      </w:r>
      <w:r w:rsidRPr="009715D9">
        <w:t>-35.04%</w:t>
      </w:r>
      <w:r w:rsidRPr="009715D9">
        <w:t>，这表明更及时的调仓不仅提升了收益，更增强了策略的风险控制能力。</w:t>
      </w:r>
    </w:p>
    <w:p w14:paraId="39063CE1" w14:textId="77777777" w:rsidR="009715D9" w:rsidRPr="009715D9" w:rsidRDefault="009715D9" w:rsidP="009715D9">
      <w:pPr>
        <w:ind w:firstLine="480"/>
      </w:pPr>
      <w:r w:rsidRPr="009715D9">
        <w:t>年度收益的分解进一步证实了月度再平衡策略的优势。在全部</w:t>
      </w:r>
      <w:r w:rsidRPr="009715D9">
        <w:t>15</w:t>
      </w:r>
      <w:r w:rsidRPr="009715D9">
        <w:t>个年度区间内，月度再平衡策略有</w:t>
      </w:r>
      <w:r w:rsidRPr="009715D9">
        <w:t>11</w:t>
      </w:r>
      <w:r w:rsidRPr="009715D9">
        <w:t>年取得了超越季度调仓策略的相对表现，胜率高达</w:t>
      </w:r>
      <w:r w:rsidRPr="009715D9">
        <w:t>73%</w:t>
      </w:r>
      <w:r w:rsidRPr="009715D9">
        <w:t>。尤其在</w:t>
      </w:r>
      <w:r w:rsidRPr="009715D9">
        <w:t>2015</w:t>
      </w:r>
      <w:r w:rsidRPr="009715D9">
        <w:t>年市场剧烈波动的背景下，季度调仓策略录得</w:t>
      </w:r>
      <w:r w:rsidRPr="009715D9">
        <w:t>-14.8%</w:t>
      </w:r>
      <w:r w:rsidRPr="009715D9">
        <w:t>的回撤，而月度再平衡策略的回撤则被有效控制在</w:t>
      </w:r>
      <w:r w:rsidRPr="009715D9">
        <w:t>-1.7%</w:t>
      </w:r>
      <w:r w:rsidRPr="009715D9">
        <w:t>，体现出卓越的风险规避能力。</w:t>
      </w:r>
    </w:p>
    <w:p w14:paraId="194E797D" w14:textId="77777777" w:rsidR="009715D9" w:rsidRPr="009715D9" w:rsidRDefault="009715D9" w:rsidP="009715D9">
      <w:pPr>
        <w:ind w:firstLine="482"/>
        <w:rPr>
          <w:b/>
          <w:bCs/>
        </w:rPr>
      </w:pPr>
      <w:r w:rsidRPr="009715D9">
        <w:rPr>
          <w:b/>
          <w:bCs/>
        </w:rPr>
        <w:t xml:space="preserve">2.3.4 </w:t>
      </w:r>
      <w:r w:rsidRPr="009715D9">
        <w:rPr>
          <w:b/>
          <w:bCs/>
        </w:rPr>
        <w:t>小结</w:t>
      </w:r>
    </w:p>
    <w:p w14:paraId="72977DBC" w14:textId="77777777" w:rsidR="009715D9" w:rsidRPr="009715D9" w:rsidRDefault="009715D9" w:rsidP="009715D9">
      <w:pPr>
        <w:ind w:firstLine="480"/>
      </w:pPr>
      <w:r w:rsidRPr="009715D9">
        <w:t>综上所述，引入月度再平衡机制，是</w:t>
      </w:r>
      <w:r w:rsidRPr="009715D9">
        <w:t>PB-ROE</w:t>
      </w:r>
      <w:r w:rsidRPr="009715D9">
        <w:t>策略框架演进过程中的一项关键且具有决定性意义的优化。该项改进以换手率的再次提升为代价，换取了因子敞口纯净度、策略敏锐度以及风险控制能力的全面提升，并最终实现了夏普比率和长期回报率的显著改善。</w:t>
      </w:r>
    </w:p>
    <w:p w14:paraId="38BF8085" w14:textId="77777777" w:rsidR="009715D9" w:rsidRPr="009715D9" w:rsidRDefault="009715D9" w:rsidP="009715D9">
      <w:pPr>
        <w:ind w:firstLine="482"/>
        <w:rPr>
          <w:b/>
          <w:bCs/>
        </w:rPr>
      </w:pPr>
      <w:r w:rsidRPr="009715D9">
        <w:rPr>
          <w:b/>
          <w:bCs/>
        </w:rPr>
        <w:t xml:space="preserve">2.4 </w:t>
      </w:r>
      <w:r w:rsidRPr="009715D9">
        <w:rPr>
          <w:b/>
          <w:bCs/>
        </w:rPr>
        <w:t>本章小结</w:t>
      </w:r>
    </w:p>
    <w:p w14:paraId="25B24576" w14:textId="77777777" w:rsidR="009715D9" w:rsidRPr="009715D9" w:rsidRDefault="009715D9" w:rsidP="009715D9">
      <w:pPr>
        <w:ind w:firstLine="480"/>
      </w:pPr>
      <w:r w:rsidRPr="009715D9">
        <w:t>本章通过三次层层递进的迭代优化，将第一章的基础</w:t>
      </w:r>
      <w:r w:rsidRPr="009715D9">
        <w:t>PB-ROE</w:t>
      </w:r>
      <w:r w:rsidRPr="009715D9">
        <w:t>策略，从一个相对朴素的理论框架，逐步构建为一个更为成熟和稳健的量化投资模型。</w:t>
      </w:r>
    </w:p>
    <w:p w14:paraId="431F7CDC" w14:textId="77777777" w:rsidR="009715D9" w:rsidRPr="009715D9" w:rsidRDefault="009715D9" w:rsidP="009715D9">
      <w:pPr>
        <w:ind w:firstLine="480"/>
      </w:pPr>
      <w:r w:rsidRPr="009715D9">
        <w:t>我们首先通过</w:t>
      </w:r>
      <w:r w:rsidRPr="009715D9">
        <w:rPr>
          <w:b/>
          <w:bCs/>
        </w:rPr>
        <w:t>行业中性化</w:t>
      </w:r>
      <w:r w:rsidRPr="009715D9">
        <w:t>，剥离了非系统性的行业风险，使策略的超额收益来源更加聚焦于个股选择。</w:t>
      </w:r>
    </w:p>
    <w:p w14:paraId="2A05D838" w14:textId="77777777" w:rsidR="009715D9" w:rsidRPr="009715D9" w:rsidRDefault="009715D9" w:rsidP="009715D9">
      <w:pPr>
        <w:ind w:firstLine="480"/>
      </w:pPr>
      <w:r w:rsidRPr="009715D9">
        <w:t>接着，我们通过</w:t>
      </w:r>
      <w:r w:rsidRPr="009715D9">
        <w:rPr>
          <w:b/>
          <w:bCs/>
        </w:rPr>
        <w:t>季度调仓</w:t>
      </w:r>
      <w:r w:rsidRPr="009715D9">
        <w:t>，将策略的执行周期与财务信息的更新周期相匹配，提升了决策的时效性。</w:t>
      </w:r>
    </w:p>
    <w:p w14:paraId="3D449D15" w14:textId="77777777" w:rsidR="009715D9" w:rsidRPr="009715D9" w:rsidRDefault="009715D9" w:rsidP="009715D9">
      <w:pPr>
        <w:ind w:firstLine="480"/>
      </w:pPr>
      <w:r w:rsidRPr="009715D9">
        <w:t>最后，我们通过</w:t>
      </w:r>
      <w:r w:rsidRPr="009715D9">
        <w:rPr>
          <w:b/>
          <w:bCs/>
        </w:rPr>
        <w:t>月度再平衡</w:t>
      </w:r>
      <w:r w:rsidRPr="009715D9">
        <w:t>，解决了估值因子在持仓期内的衰减问题，确保了策略对目标因子的持续、高纯度暴露。</w:t>
      </w:r>
    </w:p>
    <w:p w14:paraId="0C4B0613" w14:textId="77777777" w:rsidR="009715D9" w:rsidRPr="009715D9" w:rsidRDefault="009715D9" w:rsidP="009715D9">
      <w:pPr>
        <w:ind w:firstLine="480"/>
      </w:pPr>
      <w:r w:rsidRPr="009715D9">
        <w:t>每一次改进都在牺牲一定换手率的前提下，带来了收益或风险调整后收益的显著提升。至此，我们得到的</w:t>
      </w:r>
      <w:r w:rsidRPr="009715D9">
        <w:rPr>
          <w:b/>
          <w:bCs/>
        </w:rPr>
        <w:t>月度再平衡行业中性</w:t>
      </w:r>
      <w:r w:rsidRPr="009715D9">
        <w:rPr>
          <w:b/>
          <w:bCs/>
        </w:rPr>
        <w:t>PB-ROE</w:t>
      </w:r>
      <w:r w:rsidRPr="009715D9">
        <w:rPr>
          <w:b/>
          <w:bCs/>
        </w:rPr>
        <w:t>策略（</w:t>
      </w:r>
      <w:r w:rsidRPr="009715D9">
        <w:rPr>
          <w:b/>
          <w:bCs/>
        </w:rPr>
        <w:t>pbroe2.3</w:t>
      </w:r>
      <w:r w:rsidRPr="009715D9">
        <w:rPr>
          <w:b/>
          <w:bCs/>
        </w:rPr>
        <w:t>）</w:t>
      </w:r>
      <w:r w:rsidRPr="009715D9">
        <w:t>，已经是一个综合考量了行业风险、财报周期和因子时效性的、逻辑更为严谨的动态模型。该模型将作为下一章我们进行理论升华，探索模型驱动选股的基准。</w:t>
      </w:r>
    </w:p>
    <w:p w14:paraId="57D576BB" w14:textId="27B0B588" w:rsidR="00C13C51" w:rsidRPr="00D33747" w:rsidRDefault="00C13C51" w:rsidP="007B05A7">
      <w:pPr>
        <w:ind w:left="62" w:firstLineChars="0" w:firstLine="420"/>
        <w:outlineLvl w:val="0"/>
        <w:rPr>
          <w:b/>
          <w:bCs/>
          <w:sz w:val="36"/>
          <w:szCs w:val="36"/>
        </w:rPr>
      </w:pPr>
      <w:r w:rsidRPr="00C13C51">
        <w:rPr>
          <w:b/>
          <w:bCs/>
          <w:sz w:val="36"/>
          <w:szCs w:val="36"/>
        </w:rPr>
        <w:t>第三章</w:t>
      </w:r>
      <w:r w:rsidR="00151F46">
        <w:rPr>
          <w:rFonts w:hint="eastAsia"/>
          <w:b/>
          <w:bCs/>
          <w:sz w:val="36"/>
          <w:szCs w:val="36"/>
        </w:rPr>
        <w:t xml:space="preserve"> </w:t>
      </w:r>
      <w:r w:rsidRPr="00C13C51">
        <w:rPr>
          <w:b/>
          <w:bCs/>
          <w:sz w:val="36"/>
          <w:szCs w:val="36"/>
        </w:rPr>
        <w:t>基于回归残差的价值发现模型</w:t>
      </w:r>
    </w:p>
    <w:p w14:paraId="5F755032" w14:textId="77777777" w:rsidR="00C13C51" w:rsidRPr="00C13C51" w:rsidRDefault="00C13C51" w:rsidP="00C13C51">
      <w:pPr>
        <w:ind w:firstLine="482"/>
        <w:rPr>
          <w:b/>
          <w:bCs/>
        </w:rPr>
      </w:pPr>
      <w:r w:rsidRPr="00C13C51">
        <w:rPr>
          <w:b/>
          <w:bCs/>
        </w:rPr>
        <w:t xml:space="preserve">3.1 </w:t>
      </w:r>
      <w:r w:rsidRPr="00C13C51">
        <w:rPr>
          <w:b/>
          <w:bCs/>
        </w:rPr>
        <w:t>理论升华：从因子组合到模型驱动</w:t>
      </w:r>
    </w:p>
    <w:p w14:paraId="329269F4" w14:textId="77777777" w:rsidR="00C13C51" w:rsidRPr="00C13C51" w:rsidRDefault="00C13C51" w:rsidP="00C13C51">
      <w:pPr>
        <w:ind w:firstLine="480"/>
      </w:pPr>
      <w:r w:rsidRPr="00C13C51">
        <w:t>在本书的前两章中，我们通过引入行业中性化、优化调仓周期等方式，逐步完善了</w:t>
      </w:r>
      <w:r w:rsidRPr="00C13C51">
        <w:t>PB-ROE</w:t>
      </w:r>
      <w:r w:rsidRPr="00C13C51">
        <w:t>策略框架。然而，这些策略在核心逻辑上均遵循一种</w:t>
      </w:r>
      <w:r w:rsidRPr="00C13C51">
        <w:t>“</w:t>
      </w:r>
      <w:r w:rsidRPr="00C13C51">
        <w:t>因子组合</w:t>
      </w:r>
      <w:r w:rsidRPr="00C13C51">
        <w:t>”</w:t>
      </w:r>
      <w:r w:rsidRPr="00C13C51">
        <w:t>的范式：即独立地筛选出具备高盈利能力（高</w:t>
      </w:r>
      <w:r w:rsidRPr="00C13C51">
        <w:t>ROE</w:t>
      </w:r>
      <w:r w:rsidRPr="00C13C51">
        <w:t>）和低估值水平（低</w:t>
      </w:r>
      <w:r w:rsidRPr="00C13C51">
        <w:t>P/B</w:t>
      </w:r>
      <w:r w:rsidRPr="00C13C51">
        <w:t>）的公司，然后取其交集。这种处理方式虽然逻辑清晰且在回测中证明了其有效性，但从更深层次的金融理论视角审视，它存在着一定的简化和局限性，未能充分挖掘价值投资的理论精髓。</w:t>
      </w:r>
    </w:p>
    <w:p w14:paraId="35F77CAC" w14:textId="77777777" w:rsidR="00C13C51" w:rsidRPr="00C13C51" w:rsidRDefault="00C13C51" w:rsidP="00C13C51">
      <w:pPr>
        <w:ind w:firstLine="480"/>
      </w:pPr>
      <w:r w:rsidRPr="00C13C51">
        <w:t>其核心问题在于，它将</w:t>
      </w:r>
      <w:r w:rsidRPr="00C13C51">
        <w:t>“</w:t>
      </w:r>
      <w:r w:rsidRPr="00C13C51">
        <w:t>高质量</w:t>
      </w:r>
      <w:r w:rsidRPr="00C13C51">
        <w:t>”</w:t>
      </w:r>
      <w:r w:rsidRPr="00C13C51">
        <w:t>（</w:t>
      </w:r>
      <w:r w:rsidRPr="00C13C51">
        <w:t>ROE</w:t>
      </w:r>
      <w:r w:rsidRPr="00C13C51">
        <w:t>）和</w:t>
      </w:r>
      <w:r w:rsidRPr="00C13C51">
        <w:t>“</w:t>
      </w:r>
      <w:r w:rsidRPr="00C13C51">
        <w:t>低估值</w:t>
      </w:r>
      <w:r w:rsidRPr="00C13C51">
        <w:t>”</w:t>
      </w:r>
      <w:r w:rsidRPr="00C13C51">
        <w:t>（</w:t>
      </w:r>
      <w:r w:rsidRPr="00C13C51">
        <w:t>P/B</w:t>
      </w:r>
      <w:r w:rsidRPr="00C13C51">
        <w:t>）作为两个</w:t>
      </w:r>
      <w:r w:rsidRPr="00C13C51">
        <w:rPr>
          <w:b/>
          <w:bCs/>
        </w:rPr>
        <w:t>相互独立的、正交的维度</w:t>
      </w:r>
      <w:r w:rsidRPr="00C13C51">
        <w:t>进行考量。这种方法隐含了一个前提假设，即一个公司的估值是否合理，与其盈利能力的水平无关。这显然与我们在第一章理论部分所推导出的</w:t>
      </w:r>
      <w:r w:rsidRPr="00C13C51">
        <w:t xml:space="preserve"> </w:t>
      </w:r>
      <w:r w:rsidRPr="00C13C51">
        <w:rPr>
          <w:b/>
          <w:bCs/>
        </w:rPr>
        <w:t xml:space="preserve">ln(P/B) </w:t>
      </w:r>
      <w:r w:rsidRPr="00C13C51">
        <w:rPr>
          <w:b/>
          <w:bCs/>
        </w:rPr>
        <w:t>与</w:t>
      </w:r>
      <w:r w:rsidRPr="00C13C51">
        <w:rPr>
          <w:b/>
          <w:bCs/>
        </w:rPr>
        <w:t xml:space="preserve"> ROE </w:t>
      </w:r>
      <w:r w:rsidRPr="00C13C51">
        <w:rPr>
          <w:b/>
          <w:bCs/>
        </w:rPr>
        <w:t>之间的内在线性关系</w:t>
      </w:r>
      <w:r w:rsidRPr="00C13C51">
        <w:t>相悖。该线性关系表明，盈利能力与估值水平并非相互独立，而是内在关联的，更高的盈利能力理应支撑更高的估值中枢。</w:t>
      </w:r>
    </w:p>
    <w:p w14:paraId="7276B3D0" w14:textId="77777777" w:rsidR="00C13C51" w:rsidRPr="00C13C51" w:rsidRDefault="00C13C51" w:rsidP="00C13C51">
      <w:pPr>
        <w:ind w:firstLine="480"/>
      </w:pPr>
      <w:r w:rsidRPr="00C13C51">
        <w:t>这种独立筛选的模式，会导向一个系统性的认知偏差：</w:t>
      </w:r>
      <w:r w:rsidRPr="00C13C51">
        <w:rPr>
          <w:b/>
          <w:bCs/>
        </w:rPr>
        <w:t>它采用一把</w:t>
      </w:r>
      <w:r w:rsidRPr="00C13C51">
        <w:rPr>
          <w:b/>
          <w:bCs/>
        </w:rPr>
        <w:t>“</w:t>
      </w:r>
      <w:r w:rsidRPr="00C13C51">
        <w:rPr>
          <w:b/>
          <w:bCs/>
        </w:rPr>
        <w:t>绝对</w:t>
      </w:r>
      <w:r w:rsidRPr="00C13C51">
        <w:rPr>
          <w:b/>
          <w:bCs/>
        </w:rPr>
        <w:t>”</w:t>
      </w:r>
      <w:r w:rsidRPr="00C13C51">
        <w:rPr>
          <w:b/>
          <w:bCs/>
        </w:rPr>
        <w:t>的估值标尺，去衡量所有盈利能力截然不同的公司</w:t>
      </w:r>
      <w:r w:rsidRPr="00C13C51">
        <w:t>。然而，估值水平的高低本质上是一个相对概念。脱离了企业的盈利能力去评判</w:t>
      </w:r>
      <w:r w:rsidRPr="00C13C51">
        <w:t>P/B</w:t>
      </w:r>
      <w:r w:rsidRPr="00C13C51">
        <w:t>的绝对数值，其意义是有限的。一个真正有价值的投资标的，并非绝对</w:t>
      </w:r>
      <w:r w:rsidRPr="00C13C51">
        <w:t>P/B</w:t>
      </w:r>
      <w:r w:rsidRPr="00C13C51">
        <w:t>最低的那个，而是其当前</w:t>
      </w:r>
      <w:r w:rsidRPr="00C13C51">
        <w:t>P/B</w:t>
      </w:r>
      <w:r w:rsidRPr="00C13C51">
        <w:t>相对于其</w:t>
      </w:r>
      <w:r w:rsidRPr="00C13C51">
        <w:t>ROE</w:t>
      </w:r>
      <w:r w:rsidRPr="00C13C51">
        <w:t>所能支撑的水平而言，被低估得最多的那个。</w:t>
      </w:r>
    </w:p>
    <w:p w14:paraId="4EDD30E4" w14:textId="77777777" w:rsidR="00C13C51" w:rsidRPr="00C13C51" w:rsidRDefault="00C13C51" w:rsidP="00C13C51">
      <w:pPr>
        <w:ind w:firstLineChars="0" w:firstLine="420"/>
      </w:pPr>
      <w:r w:rsidRPr="00C13C51">
        <w:t>为了更清晰地阐明这一点，我们构建一个场景，并考察两家公司的案例：</w:t>
      </w:r>
    </w:p>
    <w:p w14:paraId="16A97E43" w14:textId="77777777" w:rsidR="00C13C51" w:rsidRPr="00C13C51" w:rsidRDefault="00C13C51" w:rsidP="00C13C51">
      <w:pPr>
        <w:ind w:firstLineChars="0" w:firstLine="420"/>
      </w:pPr>
      <w:r w:rsidRPr="00C13C51">
        <w:rPr>
          <w:b/>
          <w:bCs/>
        </w:rPr>
        <w:t>公司</w:t>
      </w:r>
      <w:r w:rsidRPr="00C13C51">
        <w:rPr>
          <w:b/>
          <w:bCs/>
        </w:rPr>
        <w:t>A</w:t>
      </w:r>
      <w:r w:rsidRPr="00C13C51">
        <w:rPr>
          <w:b/>
          <w:bCs/>
        </w:rPr>
        <w:t>（优质合理股）</w:t>
      </w:r>
      <w:r w:rsidRPr="00C13C51">
        <w:t xml:space="preserve">: </w:t>
      </w:r>
      <w:r w:rsidRPr="00C13C51">
        <w:t>该公司质地优异，</w:t>
      </w:r>
      <w:r w:rsidRPr="00C13C51">
        <w:t>ROE</w:t>
      </w:r>
      <w:r w:rsidRPr="00C13C51">
        <w:t>高达</w:t>
      </w:r>
      <w:r w:rsidRPr="00C13C51">
        <w:t>25%</w:t>
      </w:r>
      <w:r w:rsidRPr="00C13C51">
        <w:t>，在市场中排名前</w:t>
      </w:r>
      <w:r w:rsidRPr="00C13C51">
        <w:t>20%</w:t>
      </w:r>
      <w:r w:rsidRPr="00C13C51">
        <w:t>。然而，其卓越的盈利能力也被市场部分认知，使其</w:t>
      </w:r>
      <w:r w:rsidRPr="00C13C51">
        <w:t>P/B</w:t>
      </w:r>
      <w:r w:rsidRPr="00C13C51">
        <w:t>为</w:t>
      </w:r>
      <w:r w:rsidRPr="00C13C51">
        <w:t>1.8</w:t>
      </w:r>
      <w:r w:rsidRPr="00C13C51">
        <w:t>倍，处于市场中等水平，未能进入估值最低的</w:t>
      </w:r>
      <w:r w:rsidRPr="00C13C51">
        <w:t>33%</w:t>
      </w:r>
      <w:r w:rsidRPr="00C13C51">
        <w:t>区间。</w:t>
      </w:r>
    </w:p>
    <w:p w14:paraId="7F5D853C" w14:textId="77777777" w:rsidR="00C13C51" w:rsidRPr="00C13C51" w:rsidRDefault="00C13C51" w:rsidP="00C13C51">
      <w:pPr>
        <w:ind w:firstLineChars="0" w:firstLine="420"/>
      </w:pPr>
      <w:r w:rsidRPr="00C13C51">
        <w:rPr>
          <w:b/>
          <w:bCs/>
        </w:rPr>
        <w:t>公司</w:t>
      </w:r>
      <w:r w:rsidRPr="00C13C51">
        <w:rPr>
          <w:b/>
          <w:bCs/>
        </w:rPr>
        <w:t>B</w:t>
      </w:r>
      <w:r w:rsidRPr="00C13C51">
        <w:rPr>
          <w:b/>
          <w:bCs/>
        </w:rPr>
        <w:t>（平庸便宜股）</w:t>
      </w:r>
      <w:r w:rsidRPr="00C13C51">
        <w:t xml:space="preserve">: </w:t>
      </w:r>
      <w:r w:rsidRPr="00C13C51">
        <w:t>该公司质地一般，</w:t>
      </w:r>
      <w:r w:rsidRPr="00C13C51">
        <w:t>ROE</w:t>
      </w:r>
      <w:r w:rsidRPr="00C13C51">
        <w:t>为</w:t>
      </w:r>
      <w:r w:rsidRPr="00C13C51">
        <w:t>10%</w:t>
      </w:r>
      <w:r w:rsidRPr="00C13C51">
        <w:t>，在市场中排名中等，未能进入盈利能力最强的</w:t>
      </w:r>
      <w:r w:rsidRPr="00C13C51">
        <w:t>33%</w:t>
      </w:r>
      <w:r w:rsidRPr="00C13C51">
        <w:t>区间。但其估值也相应较低，</w:t>
      </w:r>
      <w:r w:rsidRPr="00C13C51">
        <w:t>P/B</w:t>
      </w:r>
      <w:r w:rsidRPr="00C13C51">
        <w:t>仅为</w:t>
      </w:r>
      <w:r w:rsidRPr="00C13C51">
        <w:t>0.9</w:t>
      </w:r>
      <w:r w:rsidRPr="00C13C51">
        <w:t>倍，处于市场估值最低的</w:t>
      </w:r>
      <w:r w:rsidRPr="00C13C51">
        <w:t>20%</w:t>
      </w:r>
      <w:r w:rsidRPr="00C13C51">
        <w:t>分位。</w:t>
      </w:r>
    </w:p>
    <w:p w14:paraId="41CD5824" w14:textId="77777777" w:rsidR="00C13C51" w:rsidRPr="00C13C51" w:rsidRDefault="00C13C51" w:rsidP="00C13C51">
      <w:pPr>
        <w:ind w:firstLine="480"/>
      </w:pPr>
      <w:r w:rsidRPr="00C13C51">
        <w:t>在</w:t>
      </w:r>
      <w:r w:rsidRPr="00C13C51">
        <w:rPr>
          <w:b/>
          <w:bCs/>
        </w:rPr>
        <w:t>因子组合策略</w:t>
      </w:r>
      <w:r w:rsidRPr="00C13C51">
        <w:t>的框架下，筛选结果如下：</w:t>
      </w:r>
    </w:p>
    <w:p w14:paraId="7DBB34F7" w14:textId="77777777" w:rsidR="00C13C51" w:rsidRPr="00C13C51" w:rsidRDefault="00C13C51" w:rsidP="00C13C51">
      <w:pPr>
        <w:ind w:firstLine="480"/>
      </w:pPr>
      <w:r w:rsidRPr="00C13C51">
        <w:t>公司</w:t>
      </w:r>
      <w:r w:rsidRPr="00C13C51">
        <w:t>A</w:t>
      </w:r>
      <w:r w:rsidRPr="00C13C51">
        <w:t>：因其</w:t>
      </w:r>
      <w:r w:rsidRPr="00C13C51">
        <w:t>P/B</w:t>
      </w:r>
      <w:r w:rsidRPr="00C13C51">
        <w:t>值（</w:t>
      </w:r>
      <w:r w:rsidRPr="00C13C51">
        <w:t>1.8</w:t>
      </w:r>
      <w:r w:rsidRPr="00C13C51">
        <w:t>）不够低，无法进入</w:t>
      </w:r>
      <w:r w:rsidRPr="00C13C51">
        <w:t>“</w:t>
      </w:r>
      <w:r w:rsidRPr="00C13C51">
        <w:t>低估值股票池</w:t>
      </w:r>
      <w:r w:rsidRPr="00C13C51">
        <w:t>”</w:t>
      </w:r>
      <w:r w:rsidRPr="00C13C51">
        <w:t>，故落选。</w:t>
      </w:r>
    </w:p>
    <w:p w14:paraId="11EBEA69" w14:textId="4FAC2510" w:rsidR="00C13C51" w:rsidRPr="00C13C51" w:rsidRDefault="00C13C51" w:rsidP="00C13C51">
      <w:pPr>
        <w:ind w:firstLine="480"/>
      </w:pPr>
      <w:r w:rsidRPr="00C13C51">
        <w:t>公司</w:t>
      </w:r>
      <w:r w:rsidRPr="00C13C51">
        <w:t>B</w:t>
      </w:r>
      <w:r w:rsidRPr="00C13C51">
        <w:t>：因其</w:t>
      </w:r>
      <w:r w:rsidRPr="00C13C51">
        <w:t>ROE</w:t>
      </w:r>
      <w:r w:rsidRPr="00C13C51">
        <w:t>（</w:t>
      </w:r>
      <w:r w:rsidRPr="00C13C51">
        <w:t>10%</w:t>
      </w:r>
      <w:r w:rsidRPr="00C13C51">
        <w:t>）不够高，无法进入</w:t>
      </w:r>
      <w:r w:rsidRPr="00C13C51">
        <w:t>“</w:t>
      </w:r>
      <w:r w:rsidRPr="00C13C51">
        <w:t>高质量股票池</w:t>
      </w:r>
      <w:r w:rsidRPr="00C13C51">
        <w:t>”</w:t>
      </w:r>
      <w:r w:rsidRPr="00C13C51">
        <w:t>，故落选。</w:t>
      </w:r>
    </w:p>
    <w:p w14:paraId="228C693B" w14:textId="77777777" w:rsidR="00C13C51" w:rsidRPr="00C13C51" w:rsidRDefault="00C13C51" w:rsidP="00C13C51">
      <w:pPr>
        <w:ind w:firstLine="480"/>
      </w:pPr>
      <w:r w:rsidRPr="00C13C51">
        <w:t>结论是，尽管这两家公司各具特点，但都无法满足</w:t>
      </w:r>
      <w:r w:rsidRPr="00C13C51">
        <w:t>“</w:t>
      </w:r>
      <w:r w:rsidRPr="00C13C51">
        <w:t>同时进入两个顶尖分位</w:t>
      </w:r>
      <w:r w:rsidRPr="00C13C51">
        <w:t>”</w:t>
      </w:r>
      <w:r w:rsidRPr="00C13C51">
        <w:t>的苛刻标准，从而被策略所忽略。上述案例暴露了因子组合策略的</w:t>
      </w:r>
      <w:r w:rsidRPr="00C13C51">
        <w:t>“</w:t>
      </w:r>
      <w:r w:rsidRPr="00C13C51">
        <w:t>刚性</w:t>
      </w:r>
      <w:r w:rsidRPr="00C13C51">
        <w:t>”</w:t>
      </w:r>
      <w:r w:rsidRPr="00C13C51">
        <w:t>缺陷。它可能会错失像公司</w:t>
      </w:r>
      <w:r w:rsidRPr="00C13C51">
        <w:t>A</w:t>
      </w:r>
      <w:r w:rsidRPr="00C13C51">
        <w:t>这样</w:t>
      </w:r>
      <w:r w:rsidRPr="00C13C51">
        <w:t>“</w:t>
      </w:r>
      <w:r w:rsidRPr="00C13C51">
        <w:t>物有所值</w:t>
      </w:r>
      <w:r w:rsidRPr="00C13C51">
        <w:t>”</w:t>
      </w:r>
      <w:r w:rsidRPr="00C13C51">
        <w:t>的优质企业。这种策略的本质是一种静态的、基于规则的启发式方法，它缺乏对市场动态定价机制的适应性。</w:t>
      </w:r>
    </w:p>
    <w:p w14:paraId="7FADC0EA" w14:textId="77777777" w:rsidR="00C13C51" w:rsidRDefault="00C13C51" w:rsidP="00C13C51">
      <w:pPr>
        <w:ind w:firstLine="480"/>
      </w:pPr>
      <w:r w:rsidRPr="00C13C51">
        <w:t>为了克服这一局限，更精确地衡量一家公司</w:t>
      </w:r>
      <w:r w:rsidRPr="00C13C51">
        <w:rPr>
          <w:b/>
          <w:bCs/>
        </w:rPr>
        <w:t>相对于其自身盈利能力</w:t>
      </w:r>
      <w:r w:rsidRPr="00C13C51">
        <w:t>的估值水平，我们提出直接应用本书第一章的理论模型，构建一个由</w:t>
      </w:r>
      <w:r w:rsidRPr="00C13C51">
        <w:rPr>
          <w:b/>
          <w:bCs/>
        </w:rPr>
        <w:t>模型驱动</w:t>
      </w:r>
      <w:r w:rsidRPr="00C13C51">
        <w:t>的选股框架。该框架的核心思想，是从寻找静态的</w:t>
      </w:r>
      <w:r w:rsidRPr="00C13C51">
        <w:t>“</w:t>
      </w:r>
      <w:r w:rsidRPr="00C13C51">
        <w:t>便宜的好公司</w:t>
      </w:r>
      <w:r w:rsidRPr="00C13C51">
        <w:t>”</w:t>
      </w:r>
      <w:r w:rsidRPr="00C13C51">
        <w:t>，转变为发现动态的、相对于市场当前定价体系而言被</w:t>
      </w:r>
      <w:r w:rsidRPr="00C13C51">
        <w:t>“</w:t>
      </w:r>
      <w:r w:rsidRPr="00C13C51">
        <w:t>错误定价</w:t>
      </w:r>
      <w:r w:rsidRPr="00C13C51">
        <w:t>”</w:t>
      </w:r>
      <w:r w:rsidRPr="00C13C51">
        <w:t>的公司。</w:t>
      </w:r>
    </w:p>
    <w:p w14:paraId="3EF1C0BF" w14:textId="77777777" w:rsidR="00C13C51" w:rsidRPr="00C13C51" w:rsidRDefault="00C13C51" w:rsidP="00C13C51">
      <w:pPr>
        <w:ind w:firstLine="482"/>
        <w:rPr>
          <w:b/>
          <w:bCs/>
        </w:rPr>
      </w:pPr>
      <w:r w:rsidRPr="00C13C51">
        <w:rPr>
          <w:b/>
          <w:bCs/>
        </w:rPr>
        <w:t xml:space="preserve">3.2 </w:t>
      </w:r>
      <w:r w:rsidRPr="00C13C51">
        <w:rPr>
          <w:b/>
          <w:bCs/>
        </w:rPr>
        <w:t>模型构建与因子定义</w:t>
      </w:r>
    </w:p>
    <w:p w14:paraId="5B7C254B" w14:textId="77777777" w:rsidR="00C13C51" w:rsidRPr="00C13C51" w:rsidRDefault="00C13C51" w:rsidP="00C13C51">
      <w:pPr>
        <w:ind w:firstLine="480"/>
      </w:pPr>
      <w:r w:rsidRPr="00C13C51">
        <w:t>该模型旨在从市场自身的定价逻辑中，去发现被错误定价的投资机会。它不再预设固定的筛选阈值，而是让数据</w:t>
      </w:r>
      <w:r w:rsidRPr="00C13C51">
        <w:t>“</w:t>
      </w:r>
      <w:r w:rsidRPr="00C13C51">
        <w:t>自己说话</w:t>
      </w:r>
      <w:r w:rsidRPr="00C13C51">
        <w:t>”</w:t>
      </w:r>
      <w:r w:rsidRPr="00C13C51">
        <w:t>，通过统计模型来揭示价值。具体的执行步骤如下：</w:t>
      </w:r>
    </w:p>
    <w:p w14:paraId="44AF9A25" w14:textId="578F57A4" w:rsidR="00C13C51" w:rsidRDefault="00C13C51" w:rsidP="00C13C51">
      <w:pPr>
        <w:ind w:firstLineChars="0" w:firstLine="0"/>
      </w:pPr>
      <w:r w:rsidRPr="00C13C51">
        <w:rPr>
          <w:b/>
          <w:bCs/>
        </w:rPr>
        <w:t>构建市场定价基准：横截面回归</w:t>
      </w:r>
      <w:r w:rsidRPr="00C13C51">
        <w:t xml:space="preserve"> </w:t>
      </w:r>
      <w:r w:rsidRPr="00C13C51">
        <w:t>在每个调仓日（如每月初），我们以特定行业内的所有股票为对象，进行一次横截面回归分析，拟合如下方程：</w:t>
      </w:r>
    </w:p>
    <w:p w14:paraId="148F39A3" w14:textId="163D98DF" w:rsidR="00C13C51" w:rsidRPr="00C13C51" w:rsidRDefault="00000000" w:rsidP="00C13C51">
      <w:pPr>
        <w:ind w:firstLineChars="0" w:firstLine="0"/>
      </w:pPr>
      <m:oMathPara>
        <m:oMath>
          <m:sSub>
            <m:sSubPr>
              <m:ctrlPr>
                <w:rPr>
                  <w:rFonts w:ascii="Cambria Math" w:hAnsi="Cambria Math"/>
                  <w:i/>
                </w:rPr>
              </m:ctrlPr>
            </m:sSub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e>
              </m:func>
            </m:e>
            <m:sub>
              <m:r>
                <w:rPr>
                  <w:rFonts w:ascii="Cambria Math" w:hAnsi="Cambria Math"/>
                </w:rPr>
                <m:t>i</m:t>
              </m:r>
            </m:sub>
          </m:sSub>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β⋅</m:t>
          </m:r>
          <m:r>
            <w:rPr>
              <w:rFonts w:ascii="Cambria Math" w:hAnsi="Cambria Math"/>
            </w:rPr>
            <m:t>RO</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i</m:t>
              </m:r>
            </m:sub>
          </m:sSub>
        </m:oMath>
      </m:oMathPara>
    </w:p>
    <w:p w14:paraId="21D253CD" w14:textId="6B64CCDE" w:rsidR="00C13C51" w:rsidRPr="00C13C51" w:rsidRDefault="00C13C51" w:rsidP="00C13C51">
      <w:pPr>
        <w:ind w:firstLine="480"/>
      </w:pPr>
      <w:r w:rsidRPr="00C13C51">
        <w:t>此处的系数</w:t>
      </w:r>
      <w:r w:rsidRPr="00C13C51">
        <w:t xml:space="preserve"> </w:t>
      </w:r>
      <m:oMath>
        <m:r>
          <m:rPr>
            <m:sty m:val="p"/>
          </m:rPr>
          <w:rPr>
            <w:rFonts w:ascii="Cambria Math" w:hAnsi="Cambria Math"/>
          </w:rPr>
          <m:t>β</m:t>
        </m:r>
      </m:oMath>
      <w:r w:rsidRPr="00C13C51">
        <w:t xml:space="preserve"> </w:t>
      </w:r>
      <w:r w:rsidRPr="00C13C51">
        <w:t>具有明确的经济学含义：它代表了在当前时点，该行业内市场整体愿意为单位盈利能力（</w:t>
      </w:r>
      <w:r w:rsidRPr="00C13C51">
        <w:t>ROE</w:t>
      </w:r>
      <w:r w:rsidRPr="00C13C51">
        <w:t>）所付出的估值溢价，可以理解为市场对盈利能力的平均</w:t>
      </w:r>
      <w:r w:rsidRPr="00C13C51">
        <w:t>“</w:t>
      </w:r>
      <w:r w:rsidRPr="00C13C51">
        <w:t>定价</w:t>
      </w:r>
      <w:r w:rsidRPr="00C13C51">
        <w:t>”</w:t>
      </w:r>
      <w:r w:rsidRPr="00C13C51">
        <w:t>水平或敏感度。例如，在牛市中，市场情绪乐观，投资者可能愿意为成长性付出更高溢价，此时</w:t>
      </w:r>
      <w:r w:rsidRPr="00C13C51">
        <w:t xml:space="preserve"> </w:t>
      </w:r>
      <m:oMath>
        <m:r>
          <m:rPr>
            <m:sty m:val="p"/>
          </m:rPr>
          <w:rPr>
            <w:rFonts w:ascii="Cambria Math" w:hAnsi="Cambria Math"/>
          </w:rPr>
          <m:t>β</m:t>
        </m:r>
      </m:oMath>
      <w:r w:rsidRPr="00C13C51">
        <w:t xml:space="preserve"> </w:t>
      </w:r>
      <w:r w:rsidRPr="00C13C51">
        <w:t>值可能会较大；反之，在熊市中，市场避险情绪浓厚，</w:t>
      </w:r>
      <m:oMath>
        <m:r>
          <m:rPr>
            <m:sty m:val="p"/>
          </m:rPr>
          <w:rPr>
            <w:rFonts w:ascii="Cambria Math" w:hAnsi="Cambria Math"/>
          </w:rPr>
          <m:t>β</m:t>
        </m:r>
      </m:oMath>
      <w:r w:rsidRPr="00C13C51">
        <w:t xml:space="preserve"> </w:t>
      </w:r>
      <w:r w:rsidRPr="00C13C51">
        <w:t>值可能会变小。常数项</w:t>
      </w:r>
      <w:r w:rsidRPr="00C13C51">
        <w:t xml:space="preserve"> </w:t>
      </w:r>
      <m:oMath>
        <m:r>
          <m:rPr>
            <m:sty m:val="p"/>
          </m:rPr>
          <w:rPr>
            <w:rFonts w:ascii="Cambria Math" w:hAnsi="Cambria Math"/>
          </w:rPr>
          <m:t>α</m:t>
        </m:r>
      </m:oMath>
      <w:r w:rsidRPr="00C13C51">
        <w:t xml:space="preserve"> </w:t>
      </w:r>
      <w:r w:rsidRPr="00C13C51">
        <w:t>则代表了行业内一家</w:t>
      </w:r>
      <w:r w:rsidRPr="00C13C51">
        <w:t>ROE</w:t>
      </w:r>
      <w:r w:rsidRPr="00C13C51">
        <w:t>为零的公司的基准估值水平。之所以在行业内部进行回归，是为了有效控制不同行业间因商业模式、成长周期、会计准则等差异而导致的天然估值差异，确保模型的可比性。</w:t>
      </w:r>
    </w:p>
    <w:p w14:paraId="1CE594E6" w14:textId="514057DF" w:rsidR="00C13C51" w:rsidRPr="00C13C51" w:rsidRDefault="00C13C51" w:rsidP="00C13C51">
      <w:pPr>
        <w:ind w:firstLineChars="0" w:firstLine="420"/>
      </w:pPr>
      <w:r w:rsidRPr="00C13C51">
        <w:rPr>
          <w:b/>
          <w:bCs/>
        </w:rPr>
        <w:t>计算个股的理论估值</w:t>
      </w:r>
      <w:r w:rsidRPr="00C13C51">
        <w:t xml:space="preserve"> </w:t>
      </w:r>
      <w:r w:rsidRPr="00C13C51">
        <w:t>利用上述回归方程，我们可以剔除个体的特质性影响（即残差项</w:t>
      </w:r>
      <w:r w:rsidRPr="00C13C51">
        <w:t xml:space="preserve">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i</m:t>
            </m:r>
          </m:sub>
        </m:sSub>
      </m:oMath>
      <w:r w:rsidRPr="00C13C51">
        <w:t>），计算出在当前市场定价体系下，每只股票基于其自身</w:t>
      </w:r>
      <w:r w:rsidRPr="00C13C51">
        <w:t>ROE</w:t>
      </w:r>
      <w:r w:rsidRPr="00C13C51">
        <w:t>所应享有的</w:t>
      </w:r>
      <w:r w:rsidRPr="00C13C51">
        <w:t>“</w:t>
      </w:r>
      <w:r w:rsidRPr="00C13C51">
        <w:t>理论估值</w:t>
      </w:r>
      <w:r w:rsidRPr="00C13C51">
        <w:t>”</w:t>
      </w:r>
      <w:r w:rsidRPr="00C13C51">
        <w:t>水平：</w:t>
      </w:r>
    </w:p>
    <w:p w14:paraId="06810C20" w14:textId="5C4E8A98" w:rsidR="00406725" w:rsidRPr="00406725" w:rsidRDefault="00000000" w:rsidP="00406725">
      <w:pPr>
        <w:ind w:firstLineChars="0" w:firstLine="0"/>
        <w:rPr>
          <w:rFonts w:ascii="Cambria Math" w:hAnsi="Cambria Math"/>
          <w:i/>
        </w:rPr>
      </w:pPr>
      <m:oMathPara>
        <m:oMath>
          <m:acc>
            <m:accPr>
              <m:ctrlPr>
                <w:rPr>
                  <w:rFonts w:ascii="Cambria Math" w:hAnsi="Cambria Math"/>
                </w:rPr>
              </m:ctrlPr>
            </m:accPr>
            <m:e>
              <m:sSub>
                <m:sSubPr>
                  <m:ctrlPr>
                    <w:rPr>
                      <w:rFonts w:ascii="Cambria Math" w:hAnsi="Cambria Math"/>
                      <w:i/>
                    </w:rPr>
                  </m:ctrlPr>
                </m:sSub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e>
                  </m:func>
                </m:e>
                <m:sub>
                  <m:r>
                    <w:rPr>
                      <w:rFonts w:ascii="Cambria Math" w:hAnsi="Cambria Math"/>
                    </w:rPr>
                    <m:t>i</m:t>
                  </m:r>
                </m:sub>
              </m:sSub>
            </m:e>
          </m:acc>
          <m:r>
            <w:rPr>
              <w:rFonts w:ascii="Cambria Math" w:hAnsi="Cambria Math"/>
            </w:rPr>
            <m:t>=</m:t>
          </m:r>
          <m:acc>
            <m:accPr>
              <m:ctrlPr>
                <w:rPr>
                  <w:rFonts w:ascii="Cambria Math" w:hAnsi="Cambria Math"/>
                </w:rPr>
              </m:ctrlPr>
            </m:accPr>
            <m:e>
              <m:r>
                <m:rPr>
                  <m:sty m:val="p"/>
                </m:rPr>
                <w:rPr>
                  <w:rFonts w:ascii="Cambria Math" w:hAnsi="Cambria Math"/>
                </w:rPr>
                <m:t>α</m:t>
              </m:r>
            </m:e>
          </m:acc>
          <m:r>
            <w:rPr>
              <w:rFonts w:ascii="Cambria Math" w:hAnsi="Cambria Math"/>
            </w:rPr>
            <m:t>+</m:t>
          </m:r>
          <m:acc>
            <m:accPr>
              <m:ctrlPr>
                <w:rPr>
                  <w:rFonts w:ascii="Cambria Math" w:hAnsi="Cambria Math"/>
                </w:rPr>
              </m:ctrlPr>
            </m:accPr>
            <m:e>
              <m:r>
                <m:rPr>
                  <m:sty m:val="p"/>
                </m:rPr>
                <w:rPr>
                  <w:rFonts w:ascii="Cambria Math" w:hAnsi="Cambria Math"/>
                </w:rPr>
                <m:t>β</m:t>
              </m:r>
            </m:e>
          </m:acc>
          <m:r>
            <m:rPr>
              <m:sty m:val="p"/>
            </m:rPr>
            <w:rPr>
              <w:rFonts w:ascii="Cambria Math" w:hAnsi="Cambria Math"/>
            </w:rPr>
            <m:t>⋅</m:t>
          </m:r>
          <m:r>
            <w:rPr>
              <w:rFonts w:ascii="Cambria Math" w:hAnsi="Cambria Math"/>
            </w:rPr>
            <m:t>RO</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190615D4" w14:textId="58D535E2" w:rsidR="00C13C51" w:rsidRPr="00C13C51" w:rsidRDefault="00C13C51" w:rsidP="00C13C51">
      <w:pPr>
        <w:ind w:firstLine="480"/>
      </w:pPr>
      <w:r w:rsidRPr="00C13C51">
        <w:t>这个理论估值可以被视为个股在当前行业和市场环境下的</w:t>
      </w:r>
      <w:r w:rsidRPr="00C13C51">
        <w:t>“</w:t>
      </w:r>
      <w:r w:rsidRPr="00C13C51">
        <w:t>公允</w:t>
      </w:r>
      <w:r w:rsidRPr="00C13C51">
        <w:t>”</w:t>
      </w:r>
      <w:r w:rsidRPr="00C13C51">
        <w:t>估值参考点。</w:t>
      </w:r>
    </w:p>
    <w:p w14:paraId="1980179F" w14:textId="51548E73" w:rsidR="00C13C51" w:rsidRPr="00C13C51" w:rsidRDefault="00C13C51" w:rsidP="00223A83">
      <w:pPr>
        <w:ind w:firstLine="482"/>
      </w:pPr>
      <w:r w:rsidRPr="00C13C51">
        <w:rPr>
          <w:b/>
          <w:bCs/>
        </w:rPr>
        <w:t>度量估值偏离：定义估值残差因子</w:t>
      </w:r>
      <w:r w:rsidRPr="00C13C51">
        <w:t xml:space="preserve"> </w:t>
      </w:r>
      <w:r w:rsidRPr="00C13C51">
        <w:t>最后，我们将个股的实际估值与其理论估值进行比较，得到关键的选股指标</w:t>
      </w:r>
      <w:r w:rsidRPr="00C13C51">
        <w:t>——</w:t>
      </w:r>
      <w:r w:rsidRPr="00C13C51">
        <w:rPr>
          <w:b/>
          <w:bCs/>
        </w:rPr>
        <w:t>估值残差</w:t>
      </w:r>
      <m:oMath>
        <m:sSub>
          <m:sSubPr>
            <m:ctrlPr>
              <w:rPr>
                <w:rFonts w:ascii="Cambria Math" w:hAnsi="Cambria Math"/>
                <w:i/>
              </w:rPr>
            </m:ctrlPr>
          </m:sSubPr>
          <m:e>
            <m:r>
              <m:rPr>
                <m:sty m:val="b"/>
              </m:rPr>
              <w:rPr>
                <w:rFonts w:ascii="Cambria Math" w:hAnsi="Cambria Math"/>
              </w:rPr>
              <m:t>ϵ</m:t>
            </m:r>
            <m:ctrlPr>
              <w:rPr>
                <w:rFonts w:ascii="Cambria Math" w:hAnsi="Cambria Math"/>
                <w:b/>
                <w:bCs/>
              </w:rPr>
            </m:ctrlPr>
          </m:e>
          <m:sub>
            <m:r>
              <w:rPr>
                <w:rFonts w:ascii="Cambria Math" w:hAnsi="Cambria Math"/>
              </w:rPr>
              <m:t>i</m:t>
            </m:r>
          </m:sub>
        </m:sSub>
      </m:oMath>
      <w:r w:rsidRPr="00C13C51">
        <w:t>：</w:t>
      </w:r>
    </w:p>
    <w:p w14:paraId="173EC768" w14:textId="1DBA7F9B" w:rsidR="00406725" w:rsidRDefault="00000000" w:rsidP="00406725">
      <w:pPr>
        <w:ind w:firstLineChars="0" w:firstLine="0"/>
      </w:pPr>
      <m:oMathPara>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hint="eastAsia"/>
                        </w:rPr>
                        <m:t>P</m:t>
                      </m:r>
                      <m:r>
                        <m:rPr>
                          <m:lit/>
                        </m:rPr>
                        <w:rPr>
                          <w:rFonts w:ascii="Cambria Math" w:hAnsi="Cambria Math" w:hint="eastAsia"/>
                        </w:rPr>
                        <m:t>/</m:t>
                      </m:r>
                      <m:r>
                        <w:rPr>
                          <w:rFonts w:ascii="Cambria Math" w:hAnsi="Cambria Math" w:hint="eastAsia"/>
                        </w:rPr>
                        <m:t>B</m:t>
                      </m:r>
                    </m:e>
                  </m:d>
                </m:e>
              </m:func>
            </m:e>
            <m:sub>
              <m:r>
                <w:rPr>
                  <w:rFonts w:ascii="Cambria Math" w:hAnsi="Cambria Math" w:hint="eastAsia"/>
                </w:rPr>
                <m:t>i,</m:t>
              </m:r>
              <m:r>
                <m:rPr>
                  <m:nor/>
                </m:rPr>
                <w:rPr>
                  <w:rFonts w:ascii="Cambria Math" w:hAnsi="Cambria Math" w:hint="eastAsia"/>
                </w:rPr>
                <m:t>实际</m:t>
              </m:r>
            </m:sub>
          </m:sSub>
          <m:r>
            <w:rPr>
              <w:rFonts w:ascii="Cambria Math" w:hAnsi="Cambria Math" w:cs="Cambria Math"/>
            </w:rPr>
            <m:t>-</m:t>
          </m:r>
          <m:acc>
            <m:accPr>
              <m:ctrlPr>
                <w:rPr>
                  <w:rFonts w:ascii="Cambria Math" w:hAnsi="Cambria Math"/>
                </w:rPr>
              </m:ctrlPr>
            </m:accPr>
            <m:e>
              <m:sSub>
                <m:sSubPr>
                  <m:ctrlPr>
                    <w:rPr>
                      <w:rFonts w:ascii="Cambria Math" w:hAnsi="Cambria Math"/>
                      <w:i/>
                    </w:rPr>
                  </m:ctrlPr>
                </m:sSub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hint="eastAsia"/>
                            </w:rPr>
                            <m:t>P</m:t>
                          </m:r>
                          <m:r>
                            <m:rPr>
                              <m:lit/>
                            </m:rPr>
                            <w:rPr>
                              <w:rFonts w:ascii="Cambria Math" w:hAnsi="Cambria Math" w:hint="eastAsia"/>
                            </w:rPr>
                            <m:t>/</m:t>
                          </m:r>
                          <m:r>
                            <w:rPr>
                              <w:rFonts w:ascii="Cambria Math" w:hAnsi="Cambria Math" w:hint="eastAsia"/>
                            </w:rPr>
                            <m:t>B</m:t>
                          </m:r>
                        </m:e>
                      </m:d>
                    </m:e>
                  </m:func>
                </m:e>
                <m:sub>
                  <m:r>
                    <w:rPr>
                      <w:rFonts w:ascii="Cambria Math" w:hAnsi="Cambria Math" w:hint="eastAsia"/>
                    </w:rPr>
                    <m:t>i</m:t>
                  </m:r>
                </m:sub>
              </m:sSub>
            </m:e>
          </m:acc>
        </m:oMath>
      </m:oMathPara>
    </w:p>
    <w:p w14:paraId="245C3F8A" w14:textId="283DA9A7" w:rsidR="00C13C51" w:rsidRPr="00C13C51" w:rsidRDefault="00C13C51" w:rsidP="00C13C51">
      <w:pPr>
        <w:ind w:firstLine="480"/>
      </w:pPr>
      <w:r w:rsidRPr="00C13C51">
        <w:t>这个残差</w:t>
      </w:r>
      <w:r w:rsidRPr="00C13C51">
        <w:t xml:space="preserve">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i</m:t>
            </m:r>
          </m:sub>
        </m:sSub>
      </m:oMath>
      <w:r w:rsidRPr="00C13C51">
        <w:t xml:space="preserve"> </w:t>
      </w:r>
      <w:r w:rsidRPr="00C13C51">
        <w:t>的经济学意义非常清晰且深刻：它度量了个股在当前市场统一定价基准下，其估值相对于其盈利能力的偏离程度。它不再是简单的</w:t>
      </w:r>
      <w:r w:rsidRPr="00C13C51">
        <w:t>P/B</w:t>
      </w:r>
      <w:r w:rsidRPr="00C13C51">
        <w:t>高低，而是剔除了</w:t>
      </w:r>
      <w:r w:rsidRPr="00C13C51">
        <w:t>ROE</w:t>
      </w:r>
      <w:r w:rsidRPr="00C13C51">
        <w:t>影响后的</w:t>
      </w:r>
      <w:r w:rsidRPr="00C13C51">
        <w:t>“</w:t>
      </w:r>
      <w:r w:rsidRPr="00C13C51">
        <w:t>纯粹</w:t>
      </w:r>
      <w:r w:rsidRPr="00C13C51">
        <w:t>”</w:t>
      </w:r>
      <w:r w:rsidRPr="00C13C51">
        <w:t>估值水平。</w:t>
      </w:r>
    </w:p>
    <w:p w14:paraId="01FE55FF" w14:textId="41658DAF" w:rsidR="00C13C51" w:rsidRPr="00C13C51" w:rsidRDefault="00000000" w:rsidP="00223A83">
      <w:pPr>
        <w:ind w:firstLine="480"/>
      </w:pP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r>
          <m:rPr>
            <m:lit/>
            <m:sty m:val="p"/>
          </m:rPr>
          <w:rPr>
            <w:rFonts w:ascii="Cambria Math" w:hAnsi="Cambria Math"/>
          </w:rPr>
          <m:t>&lt;</m:t>
        </m:r>
        <m:r>
          <m:rPr>
            <m:sty m:val="p"/>
          </m:rPr>
          <w:rPr>
            <w:rFonts w:ascii="Cambria Math" w:hAnsi="Cambria Math"/>
          </w:rPr>
          <m:t>0</m:t>
        </m:r>
      </m:oMath>
      <w:r w:rsidR="00C13C51" w:rsidRPr="00C13C51">
        <w:t>：意味着该股票的实际估值，低于其盈利能力所应支撑的理论估值，即被低估。</w:t>
      </w:r>
    </w:p>
    <w:p w14:paraId="1535C858" w14:textId="60EF3246" w:rsidR="00C13C51" w:rsidRPr="00C13C51" w:rsidRDefault="00000000" w:rsidP="00223A83">
      <w:pPr>
        <w:ind w:firstLine="480"/>
      </w:pP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r>
          <m:rPr>
            <m:sty m:val="p"/>
          </m:rPr>
          <w:rPr>
            <w:rFonts w:ascii="Cambria Math" w:hAnsi="Cambria Math" w:hint="eastAsia"/>
          </w:rPr>
          <m:t>&gt;</m:t>
        </m:r>
        <m:r>
          <m:rPr>
            <m:sty m:val="p"/>
          </m:rPr>
          <w:rPr>
            <w:rFonts w:ascii="Cambria Math" w:hAnsi="Cambria Math"/>
          </w:rPr>
          <m:t>0</m:t>
        </m:r>
      </m:oMath>
      <w:r w:rsidR="00C13C51" w:rsidRPr="00C13C51">
        <w:t>：则意味着该股票被高估。</w:t>
      </w:r>
    </w:p>
    <w:p w14:paraId="7548F4C2" w14:textId="77777777" w:rsidR="00406725" w:rsidRDefault="00C13C51" w:rsidP="00C13C51">
      <w:pPr>
        <w:ind w:firstLine="480"/>
      </w:pPr>
      <w:r w:rsidRPr="00C13C51">
        <w:t>现在，我们用这个新模型重新审视之前的两家公司。假设在某一时点，市场回归得到的定价方程为：</w:t>
      </w:r>
    </w:p>
    <w:p w14:paraId="38033FAB" w14:textId="6F3E6B33" w:rsidR="00406725" w:rsidRDefault="00000000" w:rsidP="00406725">
      <w:pPr>
        <w:ind w:firstLineChars="0" w:firstLine="0"/>
      </w:pPr>
      <m:oMathPara>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e>
          </m:func>
          <m:r>
            <w:rPr>
              <w:rFonts w:ascii="Cambria Math" w:hAnsi="Cambria Math"/>
            </w:rPr>
            <m:t>=0.1+5</m:t>
          </m:r>
          <m:r>
            <m:rPr>
              <m:sty m:val="p"/>
            </m:rPr>
            <w:rPr>
              <w:rFonts w:ascii="Cambria Math" w:hAnsi="Cambria Math"/>
            </w:rPr>
            <m:t>⋅</m:t>
          </m:r>
          <m:r>
            <w:rPr>
              <w:rFonts w:ascii="Cambria Math" w:hAnsi="Cambria Math"/>
            </w:rPr>
            <m:t>ROE</m:t>
          </m:r>
        </m:oMath>
      </m:oMathPara>
    </w:p>
    <w:p w14:paraId="70C9EA44" w14:textId="23420D41" w:rsidR="00406725" w:rsidRPr="00406725" w:rsidRDefault="00C13C51" w:rsidP="00406725">
      <w:pPr>
        <w:ind w:firstLine="480"/>
      </w:pPr>
      <w:r w:rsidRPr="00C13C51">
        <w:t>对于公司</w:t>
      </w:r>
      <w:r w:rsidRPr="00C13C51">
        <w:t>A (ROE=25%, P/B=1.8)</w:t>
      </w:r>
      <w:r w:rsidRPr="00C13C51">
        <w:t>，其估值残差</w:t>
      </w:r>
      <w:r w:rsidRPr="00C13C51">
        <w:t xml:space="preserve"> </w:t>
      </w:r>
    </w:p>
    <w:p w14:paraId="2B3F88C4" w14:textId="721860DE" w:rsidR="00406725" w:rsidRDefault="00000000" w:rsidP="00406725">
      <w:pPr>
        <w:ind w:firstLineChars="0" w:firstLine="0"/>
      </w:pPr>
      <m:oMathPara>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A</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1.8</m:t>
                  </m:r>
                </m:e>
              </m:d>
            </m:e>
          </m:func>
          <m:r>
            <w:rPr>
              <w:rFonts w:ascii="Cambria Math" w:hAnsi="Cambria Math"/>
            </w:rPr>
            <m:t>-</m:t>
          </m:r>
          <m:d>
            <m:dPr>
              <m:ctrlPr>
                <w:rPr>
                  <w:rFonts w:ascii="Cambria Math" w:hAnsi="Cambria Math"/>
                  <w:i/>
                </w:rPr>
              </m:ctrlPr>
            </m:dPr>
            <m:e>
              <m:r>
                <w:rPr>
                  <w:rFonts w:ascii="Cambria Math" w:hAnsi="Cambria Math"/>
                </w:rPr>
                <m:t>0.1+5</m:t>
              </m:r>
              <m:r>
                <m:rPr>
                  <m:sty m:val="p"/>
                </m:rPr>
                <w:rPr>
                  <w:rFonts w:ascii="Cambria Math" w:hAnsi="Cambria Math"/>
                </w:rPr>
                <m:t>⋅</m:t>
              </m:r>
              <m:r>
                <w:rPr>
                  <w:rFonts w:ascii="Cambria Math" w:hAnsi="Cambria Math"/>
                </w:rPr>
                <m:t>0.25</m:t>
              </m:r>
            </m:e>
          </m:d>
          <m:r>
            <m:rPr>
              <m:sty m:val="p"/>
            </m:rPr>
            <w:rPr>
              <w:rFonts w:ascii="Cambria Math" w:hAnsi="Cambria Math" w:hint="eastAsia"/>
            </w:rPr>
            <m:t>≈</m:t>
          </m:r>
          <m:r>
            <w:rPr>
              <w:rFonts w:ascii="Cambria Math" w:hAnsi="Cambria Math"/>
            </w:rPr>
            <m:t>-0.762</m:t>
          </m:r>
        </m:oMath>
      </m:oMathPara>
    </w:p>
    <w:p w14:paraId="57B27ED7" w14:textId="3C6C8BE4" w:rsidR="00406725" w:rsidRDefault="00C13C51" w:rsidP="00406725">
      <w:pPr>
        <w:ind w:firstLine="480"/>
      </w:pPr>
      <w:r w:rsidRPr="00C13C51">
        <w:t>对于公司</w:t>
      </w:r>
      <w:r w:rsidRPr="00C13C51">
        <w:t>B (ROE=10%, P/B=0.9)</w:t>
      </w:r>
      <w:r w:rsidRPr="00C13C51">
        <w:t>，其估值残差</w:t>
      </w:r>
    </w:p>
    <w:p w14:paraId="14F5D530" w14:textId="0B7FAAB2" w:rsidR="00406725" w:rsidRPr="00406725" w:rsidRDefault="00000000" w:rsidP="00406725">
      <w:pPr>
        <w:ind w:firstLineChars="0" w:firstLine="0"/>
      </w:pPr>
      <m:oMathPara>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B</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0.9</m:t>
                  </m:r>
                </m:e>
              </m:d>
            </m:e>
          </m:func>
          <m:r>
            <w:rPr>
              <w:rFonts w:ascii="Cambria Math" w:hAnsi="Cambria Math"/>
            </w:rPr>
            <m:t>-</m:t>
          </m:r>
          <m:d>
            <m:dPr>
              <m:ctrlPr>
                <w:rPr>
                  <w:rFonts w:ascii="Cambria Math" w:hAnsi="Cambria Math"/>
                  <w:i/>
                </w:rPr>
              </m:ctrlPr>
            </m:dPr>
            <m:e>
              <m:r>
                <w:rPr>
                  <w:rFonts w:ascii="Cambria Math" w:hAnsi="Cambria Math"/>
                </w:rPr>
                <m:t>0.1+5</m:t>
              </m:r>
              <m:r>
                <m:rPr>
                  <m:sty m:val="p"/>
                </m:rPr>
                <w:rPr>
                  <w:rFonts w:ascii="Cambria Math" w:hAnsi="Cambria Math"/>
                </w:rPr>
                <m:t>⋅</m:t>
              </m:r>
              <m:r>
                <w:rPr>
                  <w:rFonts w:ascii="Cambria Math" w:hAnsi="Cambria Math"/>
                </w:rPr>
                <m:t>0.10</m:t>
              </m:r>
            </m:e>
          </m:d>
          <m:r>
            <m:rPr>
              <m:sty m:val="p"/>
            </m:rPr>
            <w:rPr>
              <w:rFonts w:ascii="Cambria Math" w:hAnsi="Cambria Math" w:hint="eastAsia"/>
            </w:rPr>
            <m:t>≈</m:t>
          </m:r>
          <m:r>
            <w:rPr>
              <w:rFonts w:ascii="Cambria Math" w:hAnsi="Cambria Math"/>
            </w:rPr>
            <m:t>-0.705</m:t>
          </m:r>
        </m:oMath>
      </m:oMathPara>
    </w:p>
    <w:p w14:paraId="0949A828" w14:textId="0BE81968" w:rsidR="00C13C51" w:rsidRPr="00C13C51" w:rsidRDefault="00C13C51" w:rsidP="00C13C51">
      <w:pPr>
        <w:ind w:firstLine="480"/>
      </w:pPr>
      <w:r w:rsidRPr="00C13C51">
        <w:t>在这个例子中，</w:t>
      </w:r>
      <w:r w:rsidRPr="00C13C51">
        <w:rPr>
          <w:b/>
          <w:bCs/>
        </w:rPr>
        <w:t>公司</w:t>
      </w:r>
      <w:r w:rsidRPr="00C13C51">
        <w:rPr>
          <w:b/>
          <w:bCs/>
        </w:rPr>
        <w:t>A</w:t>
      </w:r>
      <w:r w:rsidRPr="00C13C51">
        <w:rPr>
          <w:b/>
          <w:bCs/>
        </w:rPr>
        <w:t>的负向残差比公司</w:t>
      </w:r>
      <w:r w:rsidRPr="00C13C51">
        <w:rPr>
          <w:b/>
          <w:bCs/>
        </w:rPr>
        <w:t>B</w:t>
      </w:r>
      <w:r w:rsidRPr="00C13C51">
        <w:rPr>
          <w:b/>
          <w:bCs/>
        </w:rPr>
        <w:t>更大</w:t>
      </w:r>
      <w:r w:rsidRPr="00C13C51">
        <w:t>。这说明，尽管公司</w:t>
      </w:r>
      <w:r w:rsidRPr="00C13C51">
        <w:t>A</w:t>
      </w:r>
      <w:r w:rsidRPr="00C13C51">
        <w:t>的绝对</w:t>
      </w:r>
      <w:r w:rsidRPr="00C13C51">
        <w:t>P/B</w:t>
      </w:r>
      <w:r w:rsidRPr="00C13C51">
        <w:t>值更高，但考虑到其卓越的盈利能力，它相对于当前市场的平均定价水平，实际上被</w:t>
      </w:r>
      <w:r w:rsidRPr="00C13C51">
        <w:rPr>
          <w:b/>
          <w:bCs/>
        </w:rPr>
        <w:t>更严重地低估了</w:t>
      </w:r>
      <w:r w:rsidRPr="00C13C51">
        <w:t>。模型成功地识别出了公司</w:t>
      </w:r>
      <w:r w:rsidRPr="00C13C51">
        <w:t>A</w:t>
      </w:r>
      <w:r w:rsidRPr="00C13C51">
        <w:t>这种</w:t>
      </w:r>
      <w:r w:rsidRPr="00C13C51">
        <w:t>“</w:t>
      </w:r>
      <w:r w:rsidRPr="00C13C51">
        <w:t>物有所值</w:t>
      </w:r>
      <w:r w:rsidRPr="00C13C51">
        <w:t>”</w:t>
      </w:r>
      <w:r w:rsidRPr="00C13C51">
        <w:t>的投资机会，而这正是此前因子组合策略所忽略的。</w:t>
      </w:r>
    </w:p>
    <w:p w14:paraId="69C4CD90" w14:textId="57729CA9" w:rsidR="00C13C51" w:rsidRPr="00C13C51" w:rsidRDefault="00C13C51" w:rsidP="00C13C51">
      <w:pPr>
        <w:ind w:firstLine="480"/>
      </w:pPr>
      <w:r w:rsidRPr="00C13C51">
        <w:t>因此，我们的选股策略逻辑发生了根本性的转变：从寻找</w:t>
      </w:r>
      <w:r w:rsidRPr="00C13C51">
        <w:t>“</w:t>
      </w:r>
      <w:r w:rsidRPr="00C13C51">
        <w:t>绝对低</w:t>
      </w:r>
      <w:r w:rsidRPr="00C13C51">
        <w:t>P/B”</w:t>
      </w:r>
      <w:r w:rsidRPr="00C13C51">
        <w:t>的股票，演变为</w:t>
      </w:r>
      <w:r w:rsidRPr="00C13C51">
        <w:rPr>
          <w:b/>
          <w:bCs/>
        </w:rPr>
        <w:t>在每个调仓日，买入那些估值残差</w:t>
      </w:r>
      <w:r w:rsidRPr="00C13C51">
        <w:t xml:space="preserve"> epsilon </w:t>
      </w:r>
      <w:r w:rsidRPr="00C13C51">
        <w:rPr>
          <w:b/>
          <w:bCs/>
        </w:rPr>
        <w:t>最低的股票组合</w:t>
      </w:r>
      <w:r w:rsidRPr="00C13C51">
        <w:t>。其投资逻辑是捕捉残差</w:t>
      </w:r>
      <w:r w:rsidRPr="00C13C51">
        <w:t xml:space="preserve"> epsilon </w:t>
      </w:r>
      <w:r w:rsidRPr="00C13C51">
        <w:t>从负值向其均值（</w:t>
      </w:r>
      <w:r w:rsidRPr="00C13C51">
        <w:t>0</w:t>
      </w:r>
      <w:r w:rsidRPr="00C13C51">
        <w:t>）进行统计回归时所带来的</w:t>
      </w:r>
      <w:r w:rsidRPr="00C13C51">
        <w:rPr>
          <w:b/>
          <w:bCs/>
        </w:rPr>
        <w:t>价值收敛收益</w:t>
      </w:r>
      <w:r w:rsidRPr="00C13C51">
        <w:t>。这种均值回归的背后，是市场对暂时性错误定价的修正过程，也是有效市场假说在短期失灵与长期修正中的体现。</w:t>
      </w:r>
    </w:p>
    <w:p w14:paraId="303B6339" w14:textId="77777777" w:rsidR="00223A83" w:rsidRPr="00223A83" w:rsidRDefault="00223A83" w:rsidP="00223A83">
      <w:pPr>
        <w:ind w:firstLine="482"/>
        <w:rPr>
          <w:b/>
          <w:bCs/>
        </w:rPr>
      </w:pPr>
      <w:r w:rsidRPr="00223A83">
        <w:rPr>
          <w:b/>
          <w:bCs/>
        </w:rPr>
        <w:t xml:space="preserve">3.3 </w:t>
      </w:r>
      <w:r w:rsidRPr="00223A83">
        <w:rPr>
          <w:b/>
          <w:bCs/>
        </w:rPr>
        <w:t>估值残差因子的有效性检验</w:t>
      </w:r>
    </w:p>
    <w:p w14:paraId="715A5327" w14:textId="77777777" w:rsidR="00223A83" w:rsidRDefault="00223A83" w:rsidP="00223A83">
      <w:pPr>
        <w:ind w:firstLine="480"/>
      </w:pPr>
      <w:r w:rsidRPr="00223A83">
        <w:t>在进行策略回测之前，我们首先需要对新构建的估值残差因子本身的有效性进行检验。一个有效的选股因子，其大小应与股票未来的收益率呈现出显著的、单调的关系。</w:t>
      </w:r>
    </w:p>
    <w:p w14:paraId="49F814CC" w14:textId="6A223759" w:rsidR="00223A83" w:rsidRPr="00223A83" w:rsidRDefault="00223A83" w:rsidP="00223A83">
      <w:pPr>
        <w:ind w:firstLineChars="0" w:firstLine="0"/>
      </w:pPr>
      <w:r>
        <w:rPr>
          <w:noProof/>
        </w:rPr>
        <w:drawing>
          <wp:inline distT="0" distB="0" distL="0" distR="0" wp14:anchorId="3DB23330" wp14:editId="64C84C4A">
            <wp:extent cx="6188710" cy="3879850"/>
            <wp:effectExtent l="0" t="0" r="2540" b="6350"/>
            <wp:docPr id="15186576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57650" name="图片 15186576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879850"/>
                    </a:xfrm>
                    <a:prstGeom prst="rect">
                      <a:avLst/>
                    </a:prstGeom>
                  </pic:spPr>
                </pic:pic>
              </a:graphicData>
            </a:graphic>
          </wp:inline>
        </w:drawing>
      </w:r>
    </w:p>
    <w:p w14:paraId="3FF77A20" w14:textId="77777777" w:rsidR="003F4D56" w:rsidRDefault="003F4D56" w:rsidP="00223A83">
      <w:pPr>
        <w:ind w:firstLine="480"/>
      </w:pPr>
      <w:r w:rsidRPr="003F4D56">
        <w:t>上图展示了在整个回测样本期内，所有股票的标准化估值残差（</w:t>
      </w:r>
      <w:r w:rsidRPr="003F4D56">
        <w:t>Z-Score</w:t>
      </w:r>
      <w:r w:rsidRPr="003F4D56">
        <w:t>）的分布情况。可以看出，该因子的分布近似于正态分布，其中心位于</w:t>
      </w:r>
      <w:r w:rsidRPr="003F4D56">
        <w:t>0</w:t>
      </w:r>
      <w:r w:rsidRPr="003F4D56">
        <w:t>附近，具备良好的统计学特性，不存在明显的偏态或极端肥尾现象，适合用于后续的分组检验。</w:t>
      </w:r>
    </w:p>
    <w:p w14:paraId="56027631" w14:textId="2F82976A" w:rsidR="00223A83" w:rsidRDefault="00223A83" w:rsidP="00223A83">
      <w:pPr>
        <w:ind w:firstLine="480"/>
      </w:pPr>
      <w:r w:rsidRPr="00223A83">
        <w:t>接下来，我们检验该因子对未来股票收益的预测能力。我们将所有股票在每个时点上，按其估值残差分为</w:t>
      </w:r>
      <w:r w:rsidRPr="00223A83">
        <w:t>10</w:t>
      </w:r>
      <w:r w:rsidRPr="00223A83">
        <w:t>组，并观察其未来一个月的平均收益率表现。</w:t>
      </w:r>
    </w:p>
    <w:p w14:paraId="6BCA852B" w14:textId="5063818C" w:rsidR="003F4D56" w:rsidRDefault="003F4D56" w:rsidP="003F4D56">
      <w:pPr>
        <w:ind w:firstLineChars="0" w:firstLine="0"/>
        <w:jc w:val="left"/>
      </w:pPr>
      <w:r>
        <w:rPr>
          <w:noProof/>
        </w:rPr>
        <w:drawing>
          <wp:inline distT="0" distB="0" distL="0" distR="0" wp14:anchorId="146DB9CB" wp14:editId="7A0005D4">
            <wp:extent cx="6188710" cy="3714750"/>
            <wp:effectExtent l="0" t="0" r="2540" b="0"/>
            <wp:docPr id="19943596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59689" name="图片 19943596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714750"/>
                    </a:xfrm>
                    <a:prstGeom prst="rect">
                      <a:avLst/>
                    </a:prstGeom>
                  </pic:spPr>
                </pic:pic>
              </a:graphicData>
            </a:graphic>
          </wp:inline>
        </w:drawing>
      </w:r>
    </w:p>
    <w:p w14:paraId="0318C566" w14:textId="249B103C" w:rsidR="003F4D56" w:rsidRDefault="003F4D56" w:rsidP="00223A83">
      <w:pPr>
        <w:ind w:firstLine="480"/>
      </w:pPr>
      <w:r w:rsidRPr="003F4D56">
        <w:t>上方的箱线图展示了不同残差分组的未来一期收益率的完整分布。除了清晰可见的收益率中位数（红线）的下降趋势外，该图还揭示了一个有趣的现象：</w:t>
      </w:r>
      <w:r w:rsidRPr="003F4D56">
        <w:rPr>
          <w:b/>
          <w:bCs/>
        </w:rPr>
        <w:t>低估组（左侧）的收益率方差相对较小，而高估组（右侧）的收益率方差则显著更大。</w:t>
      </w:r>
      <w:r w:rsidRPr="003F4D56">
        <w:t xml:space="preserve"> </w:t>
      </w:r>
      <w:r w:rsidRPr="003F4D56">
        <w:t>这背后可能蕴含着重要的经济学含义：被市场严重低估的股票，其价值回归的路径可能更为确定；而被严重高估的股票，往往是市场上的</w:t>
      </w:r>
      <w:r w:rsidRPr="003F4D56">
        <w:t>“</w:t>
      </w:r>
      <w:r w:rsidRPr="003F4D56">
        <w:t>故事股</w:t>
      </w:r>
      <w:r w:rsidRPr="003F4D56">
        <w:t>”</w:t>
      </w:r>
      <w:r w:rsidRPr="003F4D56">
        <w:t>或热门股，其未来股价受到投资者情绪、预期的影响更大，因此波动性也更高，收益分布更为离散。</w:t>
      </w:r>
    </w:p>
    <w:p w14:paraId="1BBC6443" w14:textId="45FC8774" w:rsidR="00223A83" w:rsidRPr="00223A83" w:rsidRDefault="00223A83" w:rsidP="00223A83">
      <w:pPr>
        <w:ind w:firstLineChars="0" w:firstLine="0"/>
        <w:jc w:val="center"/>
      </w:pPr>
      <w:r>
        <w:rPr>
          <w:noProof/>
        </w:rPr>
        <w:drawing>
          <wp:inline distT="0" distB="0" distL="0" distR="0" wp14:anchorId="03E55106" wp14:editId="37E004D7">
            <wp:extent cx="6188710" cy="3698240"/>
            <wp:effectExtent l="0" t="0" r="2540" b="0"/>
            <wp:docPr id="13160028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02884" name="图片 131600288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3698240"/>
                    </a:xfrm>
                    <a:prstGeom prst="rect">
                      <a:avLst/>
                    </a:prstGeom>
                  </pic:spPr>
                </pic:pic>
              </a:graphicData>
            </a:graphic>
          </wp:inline>
        </w:drawing>
      </w:r>
    </w:p>
    <w:p w14:paraId="36870D99" w14:textId="77777777" w:rsidR="00223A83" w:rsidRDefault="00223A83" w:rsidP="00223A83">
      <w:pPr>
        <w:ind w:firstLine="480"/>
        <w:jc w:val="center"/>
      </w:pPr>
      <w:r w:rsidRPr="00E71496">
        <w:rPr>
          <w:rFonts w:hint="eastAsia"/>
        </w:rPr>
        <w:t>残差</w:t>
      </w:r>
      <w:r w:rsidRPr="00E71496">
        <w:rPr>
          <w:rFonts w:hint="eastAsia"/>
        </w:rPr>
        <w:t>-</w:t>
      </w:r>
      <w:r w:rsidRPr="00E71496">
        <w:rPr>
          <w:rFonts w:hint="eastAsia"/>
        </w:rPr>
        <w:t>平均收益率关系</w:t>
      </w:r>
      <w:r w:rsidRPr="00E71496">
        <w:rPr>
          <w:rFonts w:hint="eastAsia"/>
        </w:rPr>
        <w:t>(</w:t>
      </w:r>
      <w:r w:rsidRPr="00E71496">
        <w:rPr>
          <w:rFonts w:hint="eastAsia"/>
        </w:rPr>
        <w:t>柱状图</w:t>
      </w:r>
      <w:r w:rsidRPr="00E71496">
        <w:rPr>
          <w:rFonts w:hint="eastAsia"/>
        </w:rPr>
        <w:t>)</w:t>
      </w:r>
    </w:p>
    <w:p w14:paraId="377D0E5E" w14:textId="041F9C02" w:rsidR="00223A83" w:rsidRPr="00223A83" w:rsidRDefault="003F4D56" w:rsidP="00223A83">
      <w:pPr>
        <w:ind w:firstLine="480"/>
      </w:pPr>
      <w:r w:rsidRPr="003F4D56">
        <w:t>为了更直观地比较各组的平均表现，我们绘制了上方的平均收益率柱状图。该图清晰地揭示了估值残差因子与未来收益之间存在着</w:t>
      </w:r>
      <w:r w:rsidRPr="003F4D56">
        <w:rPr>
          <w:b/>
          <w:bCs/>
        </w:rPr>
        <w:t>显著的、近乎完美的负向单调关系</w:t>
      </w:r>
      <w:r w:rsidRPr="003F4D56">
        <w:t>。</w:t>
      </w:r>
    </w:p>
    <w:p w14:paraId="539CFA73" w14:textId="77777777" w:rsidR="00223A83" w:rsidRPr="00223A83" w:rsidRDefault="00223A83" w:rsidP="003F4D56">
      <w:pPr>
        <w:ind w:firstLine="480"/>
      </w:pPr>
      <w:r w:rsidRPr="00223A83">
        <w:t>残差最低的第一组（最被低估）股票，其未来一个月的平均收益率最高，达到了</w:t>
      </w:r>
      <w:r w:rsidRPr="00223A83">
        <w:t>1.31%</w:t>
      </w:r>
      <w:r w:rsidRPr="00223A83">
        <w:t>。</w:t>
      </w:r>
    </w:p>
    <w:p w14:paraId="4840E07F" w14:textId="77777777" w:rsidR="00223A83" w:rsidRPr="00223A83" w:rsidRDefault="00223A83" w:rsidP="003F4D56">
      <w:pPr>
        <w:ind w:firstLine="480"/>
      </w:pPr>
      <w:r w:rsidRPr="00223A83">
        <w:t>随着残差分组的递增，未来平均收益率呈现出阶梯式下降的趋势，从第一组的</w:t>
      </w:r>
      <w:r w:rsidRPr="00223A83">
        <w:t>1.31%</w:t>
      </w:r>
      <w:r w:rsidRPr="00223A83">
        <w:t>平滑地过渡到第九组的</w:t>
      </w:r>
      <w:r w:rsidRPr="00223A83">
        <w:t>0.61%</w:t>
      </w:r>
      <w:r w:rsidRPr="00223A83">
        <w:t>。</w:t>
      </w:r>
    </w:p>
    <w:p w14:paraId="7BF1565A" w14:textId="77777777" w:rsidR="00223A83" w:rsidRPr="00223A83" w:rsidRDefault="00223A83" w:rsidP="003F4D56">
      <w:pPr>
        <w:ind w:firstLine="480"/>
      </w:pPr>
      <w:r w:rsidRPr="00223A83">
        <w:t>残差最高的第十组（最被高估）股票，其未来月度平均收益率最低，仅为</w:t>
      </w:r>
      <w:r w:rsidRPr="00223A83">
        <w:t>0.16%</w:t>
      </w:r>
      <w:r w:rsidRPr="00223A83">
        <w:t>，显著低于其他所有组别。</w:t>
      </w:r>
    </w:p>
    <w:p w14:paraId="1BF32305" w14:textId="77777777" w:rsidR="0066062E" w:rsidRPr="0066062E" w:rsidRDefault="0066062E" w:rsidP="0066062E">
      <w:pPr>
        <w:ind w:firstLine="482"/>
        <w:rPr>
          <w:b/>
          <w:bCs/>
        </w:rPr>
      </w:pPr>
      <w:r w:rsidRPr="0066062E">
        <w:rPr>
          <w:b/>
          <w:bCs/>
        </w:rPr>
        <w:t xml:space="preserve">3.4 </w:t>
      </w:r>
      <w:r w:rsidRPr="0066062E">
        <w:rPr>
          <w:b/>
          <w:bCs/>
        </w:rPr>
        <w:t>策略实证：分组回测与持有期分析</w:t>
      </w:r>
    </w:p>
    <w:p w14:paraId="59934664" w14:textId="77777777" w:rsidR="0066062E" w:rsidRPr="0066062E" w:rsidRDefault="0066062E" w:rsidP="0066062E">
      <w:pPr>
        <w:ind w:firstLine="482"/>
        <w:rPr>
          <w:b/>
          <w:bCs/>
        </w:rPr>
      </w:pPr>
      <w:r w:rsidRPr="0066062E">
        <w:rPr>
          <w:b/>
          <w:bCs/>
        </w:rPr>
        <w:t xml:space="preserve">3.4.1 </w:t>
      </w:r>
      <w:r w:rsidRPr="0066062E">
        <w:rPr>
          <w:b/>
          <w:bCs/>
        </w:rPr>
        <w:t>分组回测：量化因子的区分能力</w:t>
      </w:r>
    </w:p>
    <w:p w14:paraId="690B00E9" w14:textId="5A02D02A" w:rsidR="00223A83" w:rsidRDefault="000712C6" w:rsidP="000712C6">
      <w:pPr>
        <w:spacing w:after="120" w:line="240" w:lineRule="auto"/>
        <w:ind w:firstLine="480"/>
        <w:jc w:val="left"/>
        <w:rPr>
          <w:rFonts w:ascii="Arial" w:hAnsi="Arial" w:cs="Arial"/>
          <w:color w:val="1B1C1D"/>
        </w:rPr>
      </w:pPr>
      <w:r w:rsidRPr="000712C6">
        <w:t>基于前述因子检验的积极结果，我们有理由相信估值残差因子具备区分股票未来收益的潜力。为了进一步验证其在构建投资组合中的实际效用，我们依据估值残差值将股票池等分为</w:t>
      </w:r>
      <w:r w:rsidRPr="000712C6">
        <w:t>10</w:t>
      </w:r>
      <w:r w:rsidRPr="000712C6">
        <w:t>组，分别构建独立的投资组合，并进行了长达</w:t>
      </w:r>
      <w:r w:rsidRPr="000712C6">
        <w:t>15</w:t>
      </w:r>
      <w:r w:rsidRPr="000712C6">
        <w:t>年的回测。</w:t>
      </w:r>
      <w:r w:rsidR="00223A83">
        <w:rPr>
          <w:rFonts w:ascii="Arial" w:hAnsi="Arial" w:cs="Arial"/>
          <w:noProof/>
          <w:color w:val="1B1C1D"/>
        </w:rPr>
        <w:drawing>
          <wp:inline distT="0" distB="0" distL="0" distR="0" wp14:anchorId="3019E255" wp14:editId="6C0CB68F">
            <wp:extent cx="6188710" cy="3427095"/>
            <wp:effectExtent l="0" t="0" r="2540" b="1905"/>
            <wp:docPr id="11582952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95229" name="图片 11582952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3427095"/>
                    </a:xfrm>
                    <a:prstGeom prst="rect">
                      <a:avLst/>
                    </a:prstGeom>
                  </pic:spPr>
                </pic:pic>
              </a:graphicData>
            </a:graphic>
          </wp:inline>
        </w:drawing>
      </w:r>
    </w:p>
    <w:p w14:paraId="662EE526" w14:textId="77777777" w:rsidR="00223A83" w:rsidRPr="00AC4151" w:rsidRDefault="00223A83" w:rsidP="00223A83">
      <w:pPr>
        <w:spacing w:after="120" w:line="240" w:lineRule="auto"/>
        <w:ind w:firstLineChars="0" w:firstLine="0"/>
        <w:jc w:val="center"/>
        <w:rPr>
          <w:rFonts w:ascii="Arial" w:hAnsi="Arial" w:cs="Arial"/>
          <w:color w:val="1B1C1D"/>
        </w:rPr>
      </w:pPr>
      <w:r w:rsidRPr="00AC4151">
        <w:rPr>
          <w:rFonts w:ascii="Arial" w:hAnsi="Arial" w:cs="Arial"/>
          <w:color w:val="1B1C1D"/>
        </w:rPr>
        <w:t>估值残差分组策略累计净值对比</w:t>
      </w:r>
      <w:r>
        <w:rPr>
          <w:rFonts w:ascii="Arial" w:hAnsi="Arial" w:cs="Arial" w:hint="eastAsia"/>
          <w:color w:val="1B1C1D"/>
        </w:rPr>
        <w:t>图</w:t>
      </w:r>
    </w:p>
    <w:p w14:paraId="7D515EBB" w14:textId="77777777" w:rsidR="000712C6" w:rsidRPr="000712C6" w:rsidRDefault="000712C6" w:rsidP="000712C6">
      <w:pPr>
        <w:ind w:firstLine="480"/>
        <w:jc w:val="left"/>
      </w:pPr>
      <w:r w:rsidRPr="000712C6">
        <w:t>图</w:t>
      </w:r>
      <w:r w:rsidRPr="000712C6">
        <w:t>X</w:t>
      </w:r>
      <w:r w:rsidRPr="000712C6">
        <w:t>展示了</w:t>
      </w:r>
      <w:r w:rsidRPr="000712C6">
        <w:t>10</w:t>
      </w:r>
      <w:r w:rsidRPr="000712C6">
        <w:t>个残差分组的累计净值曲线。回测结果呈现出清晰的分层现象，与因子测试的结论高度一致。估值残差最低的第一组（最被低估组）取得了最高的累计收益，而估值残差最高的第十组（最被高估组）表现最差，其余各组则稳定地分布于两者之间。这一显著的单调性，直观地证明了估值残差因子在区分股票未来表现上的稳健性。</w:t>
      </w:r>
    </w:p>
    <w:p w14:paraId="35AC1D3A" w14:textId="77777777" w:rsidR="000712C6" w:rsidRPr="000712C6" w:rsidRDefault="000712C6" w:rsidP="000712C6">
      <w:pPr>
        <w:ind w:firstLine="480"/>
        <w:jc w:val="left"/>
      </w:pPr>
      <w:r w:rsidRPr="000712C6">
        <w:t>为进行更精确的评估，表</w:t>
      </w:r>
      <w:r w:rsidRPr="000712C6">
        <w:t>X</w:t>
      </w:r>
      <w:r w:rsidRPr="000712C6">
        <w:t>汇总了各分组的详细绩效指标。</w:t>
      </w:r>
    </w:p>
    <w:p w14:paraId="384DFF10" w14:textId="3B149A2C" w:rsidR="007B05A7" w:rsidRPr="00223A83" w:rsidRDefault="007B05A7" w:rsidP="00223A83">
      <w:pPr>
        <w:ind w:firstLine="482"/>
        <w:jc w:val="center"/>
        <w:rPr>
          <w:b/>
          <w:bCs/>
        </w:rPr>
      </w:pPr>
      <w:r w:rsidRPr="00FD6B55">
        <w:rPr>
          <w:b/>
          <w:bCs/>
        </w:rPr>
        <w:t>10</w:t>
      </w:r>
      <w:r w:rsidRPr="00FD6B55">
        <w:rPr>
          <w:b/>
          <w:bCs/>
        </w:rPr>
        <w:t>个残差分组</w:t>
      </w:r>
      <w:r w:rsidRPr="00223A83">
        <w:rPr>
          <w:rFonts w:hint="eastAsia"/>
          <w:b/>
          <w:bCs/>
        </w:rPr>
        <w:t>表</w:t>
      </w:r>
    </w:p>
    <w:tbl>
      <w:tblPr>
        <w:tblW w:w="9462" w:type="dxa"/>
        <w:jc w:val="center"/>
        <w:tblLook w:val="04A0" w:firstRow="1" w:lastRow="0" w:firstColumn="1" w:lastColumn="0" w:noHBand="0" w:noVBand="1"/>
      </w:tblPr>
      <w:tblGrid>
        <w:gridCol w:w="993"/>
        <w:gridCol w:w="1240"/>
        <w:gridCol w:w="1294"/>
        <w:gridCol w:w="1075"/>
        <w:gridCol w:w="1077"/>
        <w:gridCol w:w="1315"/>
        <w:gridCol w:w="1354"/>
        <w:gridCol w:w="1114"/>
      </w:tblGrid>
      <w:tr w:rsidR="00AC4151" w:rsidRPr="00AC4151" w14:paraId="5DFD0A3C" w14:textId="77777777" w:rsidTr="00AC4151">
        <w:trPr>
          <w:trHeight w:val="285"/>
          <w:jc w:val="center"/>
        </w:trPr>
        <w:tc>
          <w:tcPr>
            <w:tcW w:w="993" w:type="dxa"/>
            <w:tcBorders>
              <w:top w:val="single" w:sz="8" w:space="0" w:color="auto"/>
              <w:left w:val="nil"/>
              <w:bottom w:val="single" w:sz="4" w:space="0" w:color="auto"/>
              <w:right w:val="nil"/>
            </w:tcBorders>
            <w:shd w:val="clear" w:color="auto" w:fill="auto"/>
            <w:vAlign w:val="center"/>
            <w:hideMark/>
          </w:tcPr>
          <w:p w14:paraId="26DCCCAA" w14:textId="77777777" w:rsidR="00AC4151" w:rsidRPr="00AC4151" w:rsidRDefault="00AC4151" w:rsidP="00AC4151">
            <w:pPr>
              <w:spacing w:line="240" w:lineRule="auto"/>
              <w:ind w:firstLineChars="0" w:firstLine="361"/>
              <w:jc w:val="left"/>
              <w:rPr>
                <w:rFonts w:ascii="宋体" w:hAnsi="宋体" w:cs="宋体" w:hint="eastAsia"/>
                <w:b/>
                <w:bCs/>
                <w:color w:val="1B1C1D"/>
                <w:sz w:val="18"/>
                <w:szCs w:val="18"/>
              </w:rPr>
            </w:pPr>
            <w:r w:rsidRPr="00AC4151">
              <w:rPr>
                <w:rFonts w:ascii="宋体" w:hAnsi="宋体" w:cs="宋体" w:hint="eastAsia"/>
                <w:b/>
                <w:bCs/>
                <w:color w:val="1B1C1D"/>
                <w:sz w:val="18"/>
                <w:szCs w:val="18"/>
              </w:rPr>
              <w:t>分组</w:t>
            </w:r>
          </w:p>
        </w:tc>
        <w:tc>
          <w:tcPr>
            <w:tcW w:w="1240" w:type="dxa"/>
            <w:tcBorders>
              <w:top w:val="single" w:sz="8" w:space="0" w:color="auto"/>
              <w:left w:val="nil"/>
              <w:bottom w:val="single" w:sz="4" w:space="0" w:color="auto"/>
              <w:right w:val="nil"/>
            </w:tcBorders>
            <w:shd w:val="clear" w:color="auto" w:fill="auto"/>
            <w:vAlign w:val="center"/>
            <w:hideMark/>
          </w:tcPr>
          <w:p w14:paraId="7FA46DA5"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年化收益率</w:t>
            </w:r>
          </w:p>
        </w:tc>
        <w:tc>
          <w:tcPr>
            <w:tcW w:w="1294" w:type="dxa"/>
            <w:tcBorders>
              <w:top w:val="single" w:sz="8" w:space="0" w:color="auto"/>
              <w:left w:val="nil"/>
              <w:bottom w:val="single" w:sz="4" w:space="0" w:color="auto"/>
              <w:right w:val="nil"/>
            </w:tcBorders>
            <w:shd w:val="clear" w:color="auto" w:fill="auto"/>
            <w:vAlign w:val="center"/>
            <w:hideMark/>
          </w:tcPr>
          <w:p w14:paraId="620F559D"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年化波动率</w:t>
            </w:r>
          </w:p>
        </w:tc>
        <w:tc>
          <w:tcPr>
            <w:tcW w:w="1075" w:type="dxa"/>
            <w:tcBorders>
              <w:top w:val="single" w:sz="8" w:space="0" w:color="auto"/>
              <w:left w:val="nil"/>
              <w:bottom w:val="single" w:sz="4" w:space="0" w:color="auto"/>
              <w:right w:val="nil"/>
            </w:tcBorders>
            <w:shd w:val="clear" w:color="auto" w:fill="auto"/>
            <w:vAlign w:val="center"/>
            <w:hideMark/>
          </w:tcPr>
          <w:p w14:paraId="01545FDA"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夏普比率</w:t>
            </w:r>
          </w:p>
        </w:tc>
        <w:tc>
          <w:tcPr>
            <w:tcW w:w="1077" w:type="dxa"/>
            <w:tcBorders>
              <w:top w:val="single" w:sz="8" w:space="0" w:color="auto"/>
              <w:left w:val="nil"/>
              <w:bottom w:val="single" w:sz="4" w:space="0" w:color="auto"/>
              <w:right w:val="nil"/>
            </w:tcBorders>
            <w:shd w:val="clear" w:color="auto" w:fill="auto"/>
            <w:vAlign w:val="center"/>
            <w:hideMark/>
          </w:tcPr>
          <w:p w14:paraId="1CEDCC52"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最大回撤</w:t>
            </w:r>
          </w:p>
        </w:tc>
        <w:tc>
          <w:tcPr>
            <w:tcW w:w="1315" w:type="dxa"/>
            <w:tcBorders>
              <w:top w:val="single" w:sz="8" w:space="0" w:color="auto"/>
              <w:left w:val="nil"/>
              <w:bottom w:val="single" w:sz="4" w:space="0" w:color="auto"/>
              <w:right w:val="nil"/>
            </w:tcBorders>
            <w:shd w:val="clear" w:color="auto" w:fill="auto"/>
            <w:vAlign w:val="center"/>
            <w:hideMark/>
          </w:tcPr>
          <w:p w14:paraId="69C41A03"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年化换手率</w:t>
            </w:r>
          </w:p>
        </w:tc>
        <w:tc>
          <w:tcPr>
            <w:tcW w:w="1354" w:type="dxa"/>
            <w:tcBorders>
              <w:top w:val="single" w:sz="8" w:space="0" w:color="auto"/>
              <w:left w:val="nil"/>
              <w:bottom w:val="single" w:sz="4" w:space="0" w:color="auto"/>
              <w:right w:val="nil"/>
            </w:tcBorders>
            <w:shd w:val="clear" w:color="auto" w:fill="auto"/>
            <w:vAlign w:val="center"/>
            <w:hideMark/>
          </w:tcPr>
          <w:p w14:paraId="2326E196"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累计收益率</w:t>
            </w:r>
          </w:p>
        </w:tc>
        <w:tc>
          <w:tcPr>
            <w:tcW w:w="1114" w:type="dxa"/>
            <w:tcBorders>
              <w:top w:val="single" w:sz="8" w:space="0" w:color="auto"/>
              <w:left w:val="nil"/>
              <w:bottom w:val="single" w:sz="4" w:space="0" w:color="auto"/>
              <w:right w:val="nil"/>
            </w:tcBorders>
            <w:shd w:val="clear" w:color="auto" w:fill="auto"/>
            <w:vAlign w:val="center"/>
            <w:hideMark/>
          </w:tcPr>
          <w:p w14:paraId="25A8F649"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信息比率</w:t>
            </w:r>
          </w:p>
        </w:tc>
      </w:tr>
      <w:tr w:rsidR="00AC4151" w:rsidRPr="00AC4151" w14:paraId="107E927C" w14:textId="77777777" w:rsidTr="00AC4151">
        <w:trPr>
          <w:trHeight w:val="285"/>
          <w:jc w:val="center"/>
        </w:trPr>
        <w:tc>
          <w:tcPr>
            <w:tcW w:w="993" w:type="dxa"/>
            <w:tcBorders>
              <w:top w:val="nil"/>
              <w:left w:val="nil"/>
              <w:bottom w:val="nil"/>
              <w:right w:val="nil"/>
            </w:tcBorders>
            <w:shd w:val="clear" w:color="auto" w:fill="auto"/>
            <w:vAlign w:val="center"/>
            <w:hideMark/>
          </w:tcPr>
          <w:p w14:paraId="4F7E971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w:t>
            </w:r>
          </w:p>
        </w:tc>
        <w:tc>
          <w:tcPr>
            <w:tcW w:w="1240" w:type="dxa"/>
            <w:tcBorders>
              <w:top w:val="nil"/>
              <w:left w:val="nil"/>
              <w:bottom w:val="nil"/>
              <w:right w:val="nil"/>
            </w:tcBorders>
            <w:shd w:val="clear" w:color="auto" w:fill="auto"/>
            <w:vAlign w:val="center"/>
            <w:hideMark/>
          </w:tcPr>
          <w:p w14:paraId="4676E11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14.53%</w:t>
            </w:r>
          </w:p>
        </w:tc>
        <w:tc>
          <w:tcPr>
            <w:tcW w:w="1294" w:type="dxa"/>
            <w:tcBorders>
              <w:top w:val="nil"/>
              <w:left w:val="nil"/>
              <w:bottom w:val="nil"/>
              <w:right w:val="nil"/>
            </w:tcBorders>
            <w:shd w:val="clear" w:color="auto" w:fill="auto"/>
            <w:vAlign w:val="center"/>
            <w:hideMark/>
          </w:tcPr>
          <w:p w14:paraId="59A4F3E2"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25.00%</w:t>
            </w:r>
          </w:p>
        </w:tc>
        <w:tc>
          <w:tcPr>
            <w:tcW w:w="1075" w:type="dxa"/>
            <w:tcBorders>
              <w:top w:val="nil"/>
              <w:left w:val="nil"/>
              <w:bottom w:val="nil"/>
              <w:right w:val="nil"/>
            </w:tcBorders>
            <w:shd w:val="clear" w:color="auto" w:fill="auto"/>
            <w:vAlign w:val="center"/>
            <w:hideMark/>
          </w:tcPr>
          <w:p w14:paraId="282D137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0.461</w:t>
            </w:r>
          </w:p>
        </w:tc>
        <w:tc>
          <w:tcPr>
            <w:tcW w:w="1077" w:type="dxa"/>
            <w:tcBorders>
              <w:top w:val="nil"/>
              <w:left w:val="nil"/>
              <w:bottom w:val="nil"/>
              <w:right w:val="nil"/>
            </w:tcBorders>
            <w:shd w:val="clear" w:color="auto" w:fill="auto"/>
            <w:vAlign w:val="center"/>
            <w:hideMark/>
          </w:tcPr>
          <w:p w14:paraId="6450D1C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-32.66%</w:t>
            </w:r>
          </w:p>
        </w:tc>
        <w:tc>
          <w:tcPr>
            <w:tcW w:w="1315" w:type="dxa"/>
            <w:tcBorders>
              <w:top w:val="nil"/>
              <w:left w:val="nil"/>
              <w:bottom w:val="nil"/>
              <w:right w:val="nil"/>
            </w:tcBorders>
            <w:shd w:val="clear" w:color="auto" w:fill="auto"/>
            <w:vAlign w:val="center"/>
            <w:hideMark/>
          </w:tcPr>
          <w:p w14:paraId="0B8CFB24"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193.12%</w:t>
            </w:r>
          </w:p>
        </w:tc>
        <w:tc>
          <w:tcPr>
            <w:tcW w:w="1354" w:type="dxa"/>
            <w:tcBorders>
              <w:top w:val="nil"/>
              <w:left w:val="nil"/>
              <w:bottom w:val="nil"/>
              <w:right w:val="nil"/>
            </w:tcBorders>
            <w:shd w:val="clear" w:color="auto" w:fill="auto"/>
            <w:vAlign w:val="center"/>
            <w:hideMark/>
          </w:tcPr>
          <w:p w14:paraId="3A8B55DE"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665.64%</w:t>
            </w:r>
          </w:p>
        </w:tc>
        <w:tc>
          <w:tcPr>
            <w:tcW w:w="1114" w:type="dxa"/>
            <w:tcBorders>
              <w:top w:val="nil"/>
              <w:left w:val="nil"/>
              <w:bottom w:val="nil"/>
              <w:right w:val="nil"/>
            </w:tcBorders>
            <w:shd w:val="clear" w:color="auto" w:fill="auto"/>
            <w:vAlign w:val="center"/>
            <w:hideMark/>
          </w:tcPr>
          <w:p w14:paraId="0E69EB8F"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0.913</w:t>
            </w:r>
          </w:p>
        </w:tc>
      </w:tr>
      <w:tr w:rsidR="00AC4151" w:rsidRPr="00AC4151" w14:paraId="7DEA431E" w14:textId="77777777" w:rsidTr="00AC4151">
        <w:trPr>
          <w:trHeight w:val="285"/>
          <w:jc w:val="center"/>
        </w:trPr>
        <w:tc>
          <w:tcPr>
            <w:tcW w:w="993" w:type="dxa"/>
            <w:tcBorders>
              <w:top w:val="nil"/>
              <w:left w:val="nil"/>
              <w:bottom w:val="nil"/>
              <w:right w:val="nil"/>
            </w:tcBorders>
            <w:shd w:val="clear" w:color="auto" w:fill="auto"/>
            <w:vAlign w:val="center"/>
            <w:hideMark/>
          </w:tcPr>
          <w:p w14:paraId="62C6681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w:t>
            </w:r>
          </w:p>
        </w:tc>
        <w:tc>
          <w:tcPr>
            <w:tcW w:w="1240" w:type="dxa"/>
            <w:tcBorders>
              <w:top w:val="nil"/>
              <w:left w:val="nil"/>
              <w:bottom w:val="nil"/>
              <w:right w:val="nil"/>
            </w:tcBorders>
            <w:shd w:val="clear" w:color="auto" w:fill="auto"/>
            <w:vAlign w:val="center"/>
            <w:hideMark/>
          </w:tcPr>
          <w:p w14:paraId="70948B1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13.95%</w:t>
            </w:r>
          </w:p>
        </w:tc>
        <w:tc>
          <w:tcPr>
            <w:tcW w:w="1294" w:type="dxa"/>
            <w:tcBorders>
              <w:top w:val="nil"/>
              <w:left w:val="nil"/>
              <w:bottom w:val="nil"/>
              <w:right w:val="nil"/>
            </w:tcBorders>
            <w:shd w:val="clear" w:color="auto" w:fill="auto"/>
            <w:vAlign w:val="center"/>
            <w:hideMark/>
          </w:tcPr>
          <w:p w14:paraId="0DA9669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26.16%</w:t>
            </w:r>
          </w:p>
        </w:tc>
        <w:tc>
          <w:tcPr>
            <w:tcW w:w="1075" w:type="dxa"/>
            <w:tcBorders>
              <w:top w:val="nil"/>
              <w:left w:val="nil"/>
              <w:bottom w:val="nil"/>
              <w:right w:val="nil"/>
            </w:tcBorders>
            <w:shd w:val="clear" w:color="auto" w:fill="auto"/>
            <w:vAlign w:val="center"/>
            <w:hideMark/>
          </w:tcPr>
          <w:p w14:paraId="36D1C2B1"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0.419</w:t>
            </w:r>
          </w:p>
        </w:tc>
        <w:tc>
          <w:tcPr>
            <w:tcW w:w="1077" w:type="dxa"/>
            <w:tcBorders>
              <w:top w:val="nil"/>
              <w:left w:val="nil"/>
              <w:bottom w:val="nil"/>
              <w:right w:val="nil"/>
            </w:tcBorders>
            <w:shd w:val="clear" w:color="auto" w:fill="auto"/>
            <w:vAlign w:val="center"/>
            <w:hideMark/>
          </w:tcPr>
          <w:p w14:paraId="2826C23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-36.87%</w:t>
            </w:r>
          </w:p>
        </w:tc>
        <w:tc>
          <w:tcPr>
            <w:tcW w:w="1315" w:type="dxa"/>
            <w:tcBorders>
              <w:top w:val="nil"/>
              <w:left w:val="nil"/>
              <w:bottom w:val="nil"/>
              <w:right w:val="nil"/>
            </w:tcBorders>
            <w:shd w:val="clear" w:color="auto" w:fill="auto"/>
            <w:vAlign w:val="center"/>
            <w:hideMark/>
          </w:tcPr>
          <w:p w14:paraId="71F67201"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422.63%</w:t>
            </w:r>
          </w:p>
        </w:tc>
        <w:tc>
          <w:tcPr>
            <w:tcW w:w="1354" w:type="dxa"/>
            <w:tcBorders>
              <w:top w:val="nil"/>
              <w:left w:val="nil"/>
              <w:bottom w:val="nil"/>
              <w:right w:val="nil"/>
            </w:tcBorders>
            <w:shd w:val="clear" w:color="auto" w:fill="auto"/>
            <w:vAlign w:val="center"/>
            <w:hideMark/>
          </w:tcPr>
          <w:p w14:paraId="1680740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609.19%</w:t>
            </w:r>
          </w:p>
        </w:tc>
        <w:tc>
          <w:tcPr>
            <w:tcW w:w="1114" w:type="dxa"/>
            <w:tcBorders>
              <w:top w:val="nil"/>
              <w:left w:val="nil"/>
              <w:bottom w:val="nil"/>
              <w:right w:val="nil"/>
            </w:tcBorders>
            <w:shd w:val="clear" w:color="auto" w:fill="auto"/>
            <w:vAlign w:val="center"/>
            <w:hideMark/>
          </w:tcPr>
          <w:p w14:paraId="58EFADC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0.754</w:t>
            </w:r>
          </w:p>
        </w:tc>
      </w:tr>
      <w:tr w:rsidR="00AC4151" w:rsidRPr="00AC4151" w14:paraId="76E95BBB" w14:textId="77777777" w:rsidTr="00AC4151">
        <w:trPr>
          <w:trHeight w:val="285"/>
          <w:jc w:val="center"/>
        </w:trPr>
        <w:tc>
          <w:tcPr>
            <w:tcW w:w="993" w:type="dxa"/>
            <w:tcBorders>
              <w:top w:val="nil"/>
              <w:left w:val="nil"/>
              <w:bottom w:val="nil"/>
              <w:right w:val="nil"/>
            </w:tcBorders>
            <w:shd w:val="clear" w:color="auto" w:fill="auto"/>
            <w:vAlign w:val="center"/>
            <w:hideMark/>
          </w:tcPr>
          <w:p w14:paraId="1F1DCCF6"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w:t>
            </w:r>
          </w:p>
        </w:tc>
        <w:tc>
          <w:tcPr>
            <w:tcW w:w="1240" w:type="dxa"/>
            <w:tcBorders>
              <w:top w:val="nil"/>
              <w:left w:val="nil"/>
              <w:bottom w:val="nil"/>
              <w:right w:val="nil"/>
            </w:tcBorders>
            <w:shd w:val="clear" w:color="auto" w:fill="auto"/>
            <w:vAlign w:val="center"/>
            <w:hideMark/>
          </w:tcPr>
          <w:p w14:paraId="554CC4F8"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12.79%</w:t>
            </w:r>
          </w:p>
        </w:tc>
        <w:tc>
          <w:tcPr>
            <w:tcW w:w="1294" w:type="dxa"/>
            <w:tcBorders>
              <w:top w:val="nil"/>
              <w:left w:val="nil"/>
              <w:bottom w:val="nil"/>
              <w:right w:val="nil"/>
            </w:tcBorders>
            <w:shd w:val="clear" w:color="auto" w:fill="auto"/>
            <w:vAlign w:val="center"/>
            <w:hideMark/>
          </w:tcPr>
          <w:p w14:paraId="7D2D427F"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25.75%</w:t>
            </w:r>
          </w:p>
        </w:tc>
        <w:tc>
          <w:tcPr>
            <w:tcW w:w="1075" w:type="dxa"/>
            <w:tcBorders>
              <w:top w:val="nil"/>
              <w:left w:val="nil"/>
              <w:bottom w:val="nil"/>
              <w:right w:val="nil"/>
            </w:tcBorders>
            <w:shd w:val="clear" w:color="auto" w:fill="auto"/>
            <w:vAlign w:val="center"/>
            <w:hideMark/>
          </w:tcPr>
          <w:p w14:paraId="4C5CEB43"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0.380</w:t>
            </w:r>
          </w:p>
        </w:tc>
        <w:tc>
          <w:tcPr>
            <w:tcW w:w="1077" w:type="dxa"/>
            <w:tcBorders>
              <w:top w:val="nil"/>
              <w:left w:val="nil"/>
              <w:bottom w:val="nil"/>
              <w:right w:val="nil"/>
            </w:tcBorders>
            <w:shd w:val="clear" w:color="auto" w:fill="auto"/>
            <w:vAlign w:val="center"/>
            <w:hideMark/>
          </w:tcPr>
          <w:p w14:paraId="23BA3D3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-35.95%</w:t>
            </w:r>
          </w:p>
        </w:tc>
        <w:tc>
          <w:tcPr>
            <w:tcW w:w="1315" w:type="dxa"/>
            <w:tcBorders>
              <w:top w:val="nil"/>
              <w:left w:val="nil"/>
              <w:bottom w:val="nil"/>
              <w:right w:val="nil"/>
            </w:tcBorders>
            <w:shd w:val="clear" w:color="auto" w:fill="auto"/>
            <w:vAlign w:val="center"/>
            <w:hideMark/>
          </w:tcPr>
          <w:p w14:paraId="3ACA17BB"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533.48%</w:t>
            </w:r>
          </w:p>
        </w:tc>
        <w:tc>
          <w:tcPr>
            <w:tcW w:w="1354" w:type="dxa"/>
            <w:tcBorders>
              <w:top w:val="nil"/>
              <w:left w:val="nil"/>
              <w:bottom w:val="nil"/>
              <w:right w:val="nil"/>
            </w:tcBorders>
            <w:shd w:val="clear" w:color="auto" w:fill="auto"/>
            <w:vAlign w:val="center"/>
            <w:hideMark/>
          </w:tcPr>
          <w:p w14:paraId="75FD2AB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508.38%</w:t>
            </w:r>
          </w:p>
        </w:tc>
        <w:tc>
          <w:tcPr>
            <w:tcW w:w="1114" w:type="dxa"/>
            <w:tcBorders>
              <w:top w:val="nil"/>
              <w:left w:val="nil"/>
              <w:bottom w:val="nil"/>
              <w:right w:val="nil"/>
            </w:tcBorders>
            <w:shd w:val="clear" w:color="auto" w:fill="auto"/>
            <w:vAlign w:val="center"/>
            <w:hideMark/>
          </w:tcPr>
          <w:p w14:paraId="0C5D6B48"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0.660</w:t>
            </w:r>
          </w:p>
        </w:tc>
      </w:tr>
      <w:tr w:rsidR="00AC4151" w:rsidRPr="00AC4151" w14:paraId="366D4439" w14:textId="77777777" w:rsidTr="00AC4151">
        <w:trPr>
          <w:trHeight w:val="285"/>
          <w:jc w:val="center"/>
        </w:trPr>
        <w:tc>
          <w:tcPr>
            <w:tcW w:w="993" w:type="dxa"/>
            <w:tcBorders>
              <w:top w:val="nil"/>
              <w:left w:val="nil"/>
              <w:bottom w:val="nil"/>
              <w:right w:val="nil"/>
            </w:tcBorders>
            <w:shd w:val="clear" w:color="auto" w:fill="auto"/>
            <w:vAlign w:val="center"/>
            <w:hideMark/>
          </w:tcPr>
          <w:p w14:paraId="71710613"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w:t>
            </w:r>
          </w:p>
        </w:tc>
        <w:tc>
          <w:tcPr>
            <w:tcW w:w="1240" w:type="dxa"/>
            <w:tcBorders>
              <w:top w:val="nil"/>
              <w:left w:val="nil"/>
              <w:bottom w:val="nil"/>
              <w:right w:val="nil"/>
            </w:tcBorders>
            <w:shd w:val="clear" w:color="auto" w:fill="auto"/>
            <w:vAlign w:val="center"/>
            <w:hideMark/>
          </w:tcPr>
          <w:p w14:paraId="1802EB8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10.83%</w:t>
            </w:r>
          </w:p>
        </w:tc>
        <w:tc>
          <w:tcPr>
            <w:tcW w:w="1294" w:type="dxa"/>
            <w:tcBorders>
              <w:top w:val="nil"/>
              <w:left w:val="nil"/>
              <w:bottom w:val="nil"/>
              <w:right w:val="nil"/>
            </w:tcBorders>
            <w:shd w:val="clear" w:color="auto" w:fill="auto"/>
            <w:vAlign w:val="center"/>
            <w:hideMark/>
          </w:tcPr>
          <w:p w14:paraId="43129826"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26.72%</w:t>
            </w:r>
          </w:p>
        </w:tc>
        <w:tc>
          <w:tcPr>
            <w:tcW w:w="1075" w:type="dxa"/>
            <w:tcBorders>
              <w:top w:val="nil"/>
              <w:left w:val="nil"/>
              <w:bottom w:val="nil"/>
              <w:right w:val="nil"/>
            </w:tcBorders>
            <w:shd w:val="clear" w:color="auto" w:fill="auto"/>
            <w:vAlign w:val="center"/>
            <w:hideMark/>
          </w:tcPr>
          <w:p w14:paraId="3B63B82E"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0.293</w:t>
            </w:r>
          </w:p>
        </w:tc>
        <w:tc>
          <w:tcPr>
            <w:tcW w:w="1077" w:type="dxa"/>
            <w:tcBorders>
              <w:top w:val="nil"/>
              <w:left w:val="nil"/>
              <w:bottom w:val="nil"/>
              <w:right w:val="nil"/>
            </w:tcBorders>
            <w:shd w:val="clear" w:color="auto" w:fill="auto"/>
            <w:vAlign w:val="center"/>
            <w:hideMark/>
          </w:tcPr>
          <w:p w14:paraId="7B9D9666"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-42.87%</w:t>
            </w:r>
          </w:p>
        </w:tc>
        <w:tc>
          <w:tcPr>
            <w:tcW w:w="1315" w:type="dxa"/>
            <w:tcBorders>
              <w:top w:val="nil"/>
              <w:left w:val="nil"/>
              <w:bottom w:val="nil"/>
              <w:right w:val="nil"/>
            </w:tcBorders>
            <w:shd w:val="clear" w:color="auto" w:fill="auto"/>
            <w:vAlign w:val="center"/>
            <w:hideMark/>
          </w:tcPr>
          <w:p w14:paraId="679FB127"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583.67%</w:t>
            </w:r>
          </w:p>
        </w:tc>
        <w:tc>
          <w:tcPr>
            <w:tcW w:w="1354" w:type="dxa"/>
            <w:tcBorders>
              <w:top w:val="nil"/>
              <w:left w:val="nil"/>
              <w:bottom w:val="nil"/>
              <w:right w:val="nil"/>
            </w:tcBorders>
            <w:shd w:val="clear" w:color="auto" w:fill="auto"/>
            <w:vAlign w:val="center"/>
            <w:hideMark/>
          </w:tcPr>
          <w:p w14:paraId="745C06C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367.75%</w:t>
            </w:r>
          </w:p>
        </w:tc>
        <w:tc>
          <w:tcPr>
            <w:tcW w:w="1114" w:type="dxa"/>
            <w:tcBorders>
              <w:top w:val="nil"/>
              <w:left w:val="nil"/>
              <w:bottom w:val="nil"/>
              <w:right w:val="nil"/>
            </w:tcBorders>
            <w:shd w:val="clear" w:color="auto" w:fill="auto"/>
            <w:vAlign w:val="center"/>
            <w:hideMark/>
          </w:tcPr>
          <w:p w14:paraId="097DB3F4"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0.524</w:t>
            </w:r>
          </w:p>
        </w:tc>
      </w:tr>
      <w:tr w:rsidR="00AC4151" w:rsidRPr="00AC4151" w14:paraId="08860DD4" w14:textId="77777777" w:rsidTr="00AC4151">
        <w:trPr>
          <w:trHeight w:val="285"/>
          <w:jc w:val="center"/>
        </w:trPr>
        <w:tc>
          <w:tcPr>
            <w:tcW w:w="993" w:type="dxa"/>
            <w:tcBorders>
              <w:top w:val="nil"/>
              <w:left w:val="nil"/>
              <w:bottom w:val="nil"/>
              <w:right w:val="nil"/>
            </w:tcBorders>
            <w:shd w:val="clear" w:color="auto" w:fill="auto"/>
            <w:vAlign w:val="center"/>
            <w:hideMark/>
          </w:tcPr>
          <w:p w14:paraId="18DF1B7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w:t>
            </w:r>
          </w:p>
        </w:tc>
        <w:tc>
          <w:tcPr>
            <w:tcW w:w="1240" w:type="dxa"/>
            <w:tcBorders>
              <w:top w:val="nil"/>
              <w:left w:val="nil"/>
              <w:bottom w:val="nil"/>
              <w:right w:val="nil"/>
            </w:tcBorders>
            <w:shd w:val="clear" w:color="auto" w:fill="auto"/>
            <w:vAlign w:val="center"/>
            <w:hideMark/>
          </w:tcPr>
          <w:p w14:paraId="422D9F7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10.15%</w:t>
            </w:r>
          </w:p>
        </w:tc>
        <w:tc>
          <w:tcPr>
            <w:tcW w:w="1294" w:type="dxa"/>
            <w:tcBorders>
              <w:top w:val="nil"/>
              <w:left w:val="nil"/>
              <w:bottom w:val="nil"/>
              <w:right w:val="nil"/>
            </w:tcBorders>
            <w:shd w:val="clear" w:color="auto" w:fill="auto"/>
            <w:vAlign w:val="center"/>
            <w:hideMark/>
          </w:tcPr>
          <w:p w14:paraId="6B4C5087"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27.41%</w:t>
            </w:r>
          </w:p>
        </w:tc>
        <w:tc>
          <w:tcPr>
            <w:tcW w:w="1075" w:type="dxa"/>
            <w:tcBorders>
              <w:top w:val="nil"/>
              <w:left w:val="nil"/>
              <w:bottom w:val="nil"/>
              <w:right w:val="nil"/>
            </w:tcBorders>
            <w:shd w:val="clear" w:color="auto" w:fill="auto"/>
            <w:vAlign w:val="center"/>
            <w:hideMark/>
          </w:tcPr>
          <w:p w14:paraId="69BA4E3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0.261</w:t>
            </w:r>
          </w:p>
        </w:tc>
        <w:tc>
          <w:tcPr>
            <w:tcW w:w="1077" w:type="dxa"/>
            <w:tcBorders>
              <w:top w:val="nil"/>
              <w:left w:val="nil"/>
              <w:bottom w:val="nil"/>
              <w:right w:val="nil"/>
            </w:tcBorders>
            <w:shd w:val="clear" w:color="auto" w:fill="auto"/>
            <w:vAlign w:val="center"/>
            <w:hideMark/>
          </w:tcPr>
          <w:p w14:paraId="2B587C76"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-48.86%</w:t>
            </w:r>
          </w:p>
        </w:tc>
        <w:tc>
          <w:tcPr>
            <w:tcW w:w="1315" w:type="dxa"/>
            <w:tcBorders>
              <w:top w:val="nil"/>
              <w:left w:val="nil"/>
              <w:bottom w:val="nil"/>
              <w:right w:val="nil"/>
            </w:tcBorders>
            <w:shd w:val="clear" w:color="auto" w:fill="auto"/>
            <w:vAlign w:val="center"/>
            <w:hideMark/>
          </w:tcPr>
          <w:p w14:paraId="7CAB8FD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608.60%</w:t>
            </w:r>
          </w:p>
        </w:tc>
        <w:tc>
          <w:tcPr>
            <w:tcW w:w="1354" w:type="dxa"/>
            <w:tcBorders>
              <w:top w:val="nil"/>
              <w:left w:val="nil"/>
              <w:bottom w:val="nil"/>
              <w:right w:val="nil"/>
            </w:tcBorders>
            <w:shd w:val="clear" w:color="auto" w:fill="auto"/>
            <w:vAlign w:val="center"/>
            <w:hideMark/>
          </w:tcPr>
          <w:p w14:paraId="5CB9DDD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326.39%</w:t>
            </w:r>
          </w:p>
        </w:tc>
        <w:tc>
          <w:tcPr>
            <w:tcW w:w="1114" w:type="dxa"/>
            <w:tcBorders>
              <w:top w:val="nil"/>
              <w:left w:val="nil"/>
              <w:bottom w:val="nil"/>
              <w:right w:val="nil"/>
            </w:tcBorders>
            <w:shd w:val="clear" w:color="auto" w:fill="auto"/>
            <w:vAlign w:val="center"/>
            <w:hideMark/>
          </w:tcPr>
          <w:p w14:paraId="61800D2B"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0.470</w:t>
            </w:r>
          </w:p>
        </w:tc>
      </w:tr>
      <w:tr w:rsidR="00AC4151" w:rsidRPr="00AC4151" w14:paraId="047FACA1" w14:textId="77777777" w:rsidTr="00AC4151">
        <w:trPr>
          <w:trHeight w:val="285"/>
          <w:jc w:val="center"/>
        </w:trPr>
        <w:tc>
          <w:tcPr>
            <w:tcW w:w="993" w:type="dxa"/>
            <w:tcBorders>
              <w:top w:val="nil"/>
              <w:left w:val="nil"/>
              <w:bottom w:val="nil"/>
              <w:right w:val="nil"/>
            </w:tcBorders>
            <w:shd w:val="clear" w:color="auto" w:fill="auto"/>
            <w:vAlign w:val="center"/>
            <w:hideMark/>
          </w:tcPr>
          <w:p w14:paraId="19CD446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w:t>
            </w:r>
          </w:p>
        </w:tc>
        <w:tc>
          <w:tcPr>
            <w:tcW w:w="1240" w:type="dxa"/>
            <w:tcBorders>
              <w:top w:val="nil"/>
              <w:left w:val="nil"/>
              <w:bottom w:val="nil"/>
              <w:right w:val="nil"/>
            </w:tcBorders>
            <w:shd w:val="clear" w:color="auto" w:fill="auto"/>
            <w:vAlign w:val="center"/>
            <w:hideMark/>
          </w:tcPr>
          <w:p w14:paraId="72C4DFD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8.28%</w:t>
            </w:r>
          </w:p>
        </w:tc>
        <w:tc>
          <w:tcPr>
            <w:tcW w:w="1294" w:type="dxa"/>
            <w:tcBorders>
              <w:top w:val="nil"/>
              <w:left w:val="nil"/>
              <w:bottom w:val="nil"/>
              <w:right w:val="nil"/>
            </w:tcBorders>
            <w:shd w:val="clear" w:color="auto" w:fill="auto"/>
            <w:vAlign w:val="center"/>
            <w:hideMark/>
          </w:tcPr>
          <w:p w14:paraId="05CCAB41"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27.58%</w:t>
            </w:r>
          </w:p>
        </w:tc>
        <w:tc>
          <w:tcPr>
            <w:tcW w:w="1075" w:type="dxa"/>
            <w:tcBorders>
              <w:top w:val="nil"/>
              <w:left w:val="nil"/>
              <w:bottom w:val="nil"/>
              <w:right w:val="nil"/>
            </w:tcBorders>
            <w:shd w:val="clear" w:color="auto" w:fill="auto"/>
            <w:vAlign w:val="center"/>
            <w:hideMark/>
          </w:tcPr>
          <w:p w14:paraId="17D2963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0.191</w:t>
            </w:r>
          </w:p>
        </w:tc>
        <w:tc>
          <w:tcPr>
            <w:tcW w:w="1077" w:type="dxa"/>
            <w:tcBorders>
              <w:top w:val="nil"/>
              <w:left w:val="nil"/>
              <w:bottom w:val="nil"/>
              <w:right w:val="nil"/>
            </w:tcBorders>
            <w:shd w:val="clear" w:color="auto" w:fill="auto"/>
            <w:vAlign w:val="center"/>
            <w:hideMark/>
          </w:tcPr>
          <w:p w14:paraId="04DA496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-50.65%</w:t>
            </w:r>
          </w:p>
        </w:tc>
        <w:tc>
          <w:tcPr>
            <w:tcW w:w="1315" w:type="dxa"/>
            <w:tcBorders>
              <w:top w:val="nil"/>
              <w:left w:val="nil"/>
              <w:bottom w:val="nil"/>
              <w:right w:val="nil"/>
            </w:tcBorders>
            <w:shd w:val="clear" w:color="auto" w:fill="auto"/>
            <w:vAlign w:val="center"/>
            <w:hideMark/>
          </w:tcPr>
          <w:p w14:paraId="453F94F8"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617.38%</w:t>
            </w:r>
          </w:p>
        </w:tc>
        <w:tc>
          <w:tcPr>
            <w:tcW w:w="1354" w:type="dxa"/>
            <w:tcBorders>
              <w:top w:val="nil"/>
              <w:left w:val="nil"/>
              <w:bottom w:val="nil"/>
              <w:right w:val="nil"/>
            </w:tcBorders>
            <w:shd w:val="clear" w:color="auto" w:fill="auto"/>
            <w:vAlign w:val="center"/>
            <w:hideMark/>
          </w:tcPr>
          <w:p w14:paraId="3342B4A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229.68%</w:t>
            </w:r>
          </w:p>
        </w:tc>
        <w:tc>
          <w:tcPr>
            <w:tcW w:w="1114" w:type="dxa"/>
            <w:tcBorders>
              <w:top w:val="nil"/>
              <w:left w:val="nil"/>
              <w:bottom w:val="nil"/>
              <w:right w:val="nil"/>
            </w:tcBorders>
            <w:shd w:val="clear" w:color="auto" w:fill="auto"/>
            <w:vAlign w:val="center"/>
            <w:hideMark/>
          </w:tcPr>
          <w:p w14:paraId="211A2EB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0.354</w:t>
            </w:r>
          </w:p>
        </w:tc>
      </w:tr>
      <w:tr w:rsidR="00AC4151" w:rsidRPr="00AC4151" w14:paraId="3438AEDC" w14:textId="77777777" w:rsidTr="00AC4151">
        <w:trPr>
          <w:trHeight w:val="285"/>
          <w:jc w:val="center"/>
        </w:trPr>
        <w:tc>
          <w:tcPr>
            <w:tcW w:w="993" w:type="dxa"/>
            <w:tcBorders>
              <w:top w:val="nil"/>
              <w:left w:val="nil"/>
              <w:bottom w:val="nil"/>
              <w:right w:val="nil"/>
            </w:tcBorders>
            <w:shd w:val="clear" w:color="auto" w:fill="auto"/>
            <w:vAlign w:val="center"/>
            <w:hideMark/>
          </w:tcPr>
          <w:p w14:paraId="310E572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7</w:t>
            </w:r>
          </w:p>
        </w:tc>
        <w:tc>
          <w:tcPr>
            <w:tcW w:w="1240" w:type="dxa"/>
            <w:tcBorders>
              <w:top w:val="nil"/>
              <w:left w:val="nil"/>
              <w:bottom w:val="nil"/>
              <w:right w:val="nil"/>
            </w:tcBorders>
            <w:shd w:val="clear" w:color="auto" w:fill="auto"/>
            <w:vAlign w:val="center"/>
            <w:hideMark/>
          </w:tcPr>
          <w:p w14:paraId="0E327BFE"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6.25%</w:t>
            </w:r>
          </w:p>
        </w:tc>
        <w:tc>
          <w:tcPr>
            <w:tcW w:w="1294" w:type="dxa"/>
            <w:tcBorders>
              <w:top w:val="nil"/>
              <w:left w:val="nil"/>
              <w:bottom w:val="nil"/>
              <w:right w:val="nil"/>
            </w:tcBorders>
            <w:shd w:val="clear" w:color="auto" w:fill="auto"/>
            <w:vAlign w:val="center"/>
            <w:hideMark/>
          </w:tcPr>
          <w:p w14:paraId="41CB665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27.82%</w:t>
            </w:r>
          </w:p>
        </w:tc>
        <w:tc>
          <w:tcPr>
            <w:tcW w:w="1075" w:type="dxa"/>
            <w:tcBorders>
              <w:top w:val="nil"/>
              <w:left w:val="nil"/>
              <w:bottom w:val="nil"/>
              <w:right w:val="nil"/>
            </w:tcBorders>
            <w:shd w:val="clear" w:color="auto" w:fill="auto"/>
            <w:vAlign w:val="center"/>
            <w:hideMark/>
          </w:tcPr>
          <w:p w14:paraId="3320D6E4"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0.117</w:t>
            </w:r>
          </w:p>
        </w:tc>
        <w:tc>
          <w:tcPr>
            <w:tcW w:w="1077" w:type="dxa"/>
            <w:tcBorders>
              <w:top w:val="nil"/>
              <w:left w:val="nil"/>
              <w:bottom w:val="nil"/>
              <w:right w:val="nil"/>
            </w:tcBorders>
            <w:shd w:val="clear" w:color="auto" w:fill="auto"/>
            <w:vAlign w:val="center"/>
            <w:hideMark/>
          </w:tcPr>
          <w:p w14:paraId="0DE0BBC7"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-55.38%</w:t>
            </w:r>
          </w:p>
        </w:tc>
        <w:tc>
          <w:tcPr>
            <w:tcW w:w="1315" w:type="dxa"/>
            <w:tcBorders>
              <w:top w:val="nil"/>
              <w:left w:val="nil"/>
              <w:bottom w:val="nil"/>
              <w:right w:val="nil"/>
            </w:tcBorders>
            <w:shd w:val="clear" w:color="auto" w:fill="auto"/>
            <w:vAlign w:val="center"/>
            <w:hideMark/>
          </w:tcPr>
          <w:p w14:paraId="019077B2"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589.18%</w:t>
            </w:r>
          </w:p>
        </w:tc>
        <w:tc>
          <w:tcPr>
            <w:tcW w:w="1354" w:type="dxa"/>
            <w:tcBorders>
              <w:top w:val="nil"/>
              <w:left w:val="nil"/>
              <w:bottom w:val="nil"/>
              <w:right w:val="nil"/>
            </w:tcBorders>
            <w:shd w:val="clear" w:color="auto" w:fill="auto"/>
            <w:vAlign w:val="center"/>
            <w:hideMark/>
          </w:tcPr>
          <w:p w14:paraId="1E4C9632"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148.19%</w:t>
            </w:r>
          </w:p>
        </w:tc>
        <w:tc>
          <w:tcPr>
            <w:tcW w:w="1114" w:type="dxa"/>
            <w:tcBorders>
              <w:top w:val="nil"/>
              <w:left w:val="nil"/>
              <w:bottom w:val="nil"/>
              <w:right w:val="nil"/>
            </w:tcBorders>
            <w:shd w:val="clear" w:color="auto" w:fill="auto"/>
            <w:vAlign w:val="center"/>
            <w:hideMark/>
          </w:tcPr>
          <w:p w14:paraId="7B2ACE4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0.244</w:t>
            </w:r>
          </w:p>
        </w:tc>
      </w:tr>
      <w:tr w:rsidR="00AC4151" w:rsidRPr="00AC4151" w14:paraId="364E42DF" w14:textId="77777777" w:rsidTr="00AC4151">
        <w:trPr>
          <w:trHeight w:val="285"/>
          <w:jc w:val="center"/>
        </w:trPr>
        <w:tc>
          <w:tcPr>
            <w:tcW w:w="993" w:type="dxa"/>
            <w:tcBorders>
              <w:top w:val="nil"/>
              <w:left w:val="nil"/>
              <w:bottom w:val="nil"/>
              <w:right w:val="nil"/>
            </w:tcBorders>
            <w:shd w:val="clear" w:color="auto" w:fill="auto"/>
            <w:vAlign w:val="center"/>
            <w:hideMark/>
          </w:tcPr>
          <w:p w14:paraId="7D98F22E"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8</w:t>
            </w:r>
          </w:p>
        </w:tc>
        <w:tc>
          <w:tcPr>
            <w:tcW w:w="1240" w:type="dxa"/>
            <w:tcBorders>
              <w:top w:val="nil"/>
              <w:left w:val="nil"/>
              <w:bottom w:val="nil"/>
              <w:right w:val="nil"/>
            </w:tcBorders>
            <w:shd w:val="clear" w:color="auto" w:fill="auto"/>
            <w:vAlign w:val="center"/>
            <w:hideMark/>
          </w:tcPr>
          <w:p w14:paraId="6F8FBAC1"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4.90%</w:t>
            </w:r>
          </w:p>
        </w:tc>
        <w:tc>
          <w:tcPr>
            <w:tcW w:w="1294" w:type="dxa"/>
            <w:tcBorders>
              <w:top w:val="nil"/>
              <w:left w:val="nil"/>
              <w:bottom w:val="nil"/>
              <w:right w:val="nil"/>
            </w:tcBorders>
            <w:shd w:val="clear" w:color="auto" w:fill="auto"/>
            <w:vAlign w:val="center"/>
            <w:hideMark/>
          </w:tcPr>
          <w:p w14:paraId="77FC7B9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28.05%</w:t>
            </w:r>
          </w:p>
        </w:tc>
        <w:tc>
          <w:tcPr>
            <w:tcW w:w="1075" w:type="dxa"/>
            <w:tcBorders>
              <w:top w:val="nil"/>
              <w:left w:val="nil"/>
              <w:bottom w:val="nil"/>
              <w:right w:val="nil"/>
            </w:tcBorders>
            <w:shd w:val="clear" w:color="auto" w:fill="auto"/>
            <w:vAlign w:val="center"/>
            <w:hideMark/>
          </w:tcPr>
          <w:p w14:paraId="2C1F3FD4"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0.068</w:t>
            </w:r>
          </w:p>
        </w:tc>
        <w:tc>
          <w:tcPr>
            <w:tcW w:w="1077" w:type="dxa"/>
            <w:tcBorders>
              <w:top w:val="nil"/>
              <w:left w:val="nil"/>
              <w:bottom w:val="nil"/>
              <w:right w:val="nil"/>
            </w:tcBorders>
            <w:shd w:val="clear" w:color="auto" w:fill="auto"/>
            <w:vAlign w:val="center"/>
            <w:hideMark/>
          </w:tcPr>
          <w:p w14:paraId="45E0835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-59.16%</w:t>
            </w:r>
          </w:p>
        </w:tc>
        <w:tc>
          <w:tcPr>
            <w:tcW w:w="1315" w:type="dxa"/>
            <w:tcBorders>
              <w:top w:val="nil"/>
              <w:left w:val="nil"/>
              <w:bottom w:val="nil"/>
              <w:right w:val="nil"/>
            </w:tcBorders>
            <w:shd w:val="clear" w:color="auto" w:fill="auto"/>
            <w:vAlign w:val="center"/>
            <w:hideMark/>
          </w:tcPr>
          <w:p w14:paraId="511BFDA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533.71%</w:t>
            </w:r>
          </w:p>
        </w:tc>
        <w:tc>
          <w:tcPr>
            <w:tcW w:w="1354" w:type="dxa"/>
            <w:tcBorders>
              <w:top w:val="nil"/>
              <w:left w:val="nil"/>
              <w:bottom w:val="nil"/>
              <w:right w:val="nil"/>
            </w:tcBorders>
            <w:shd w:val="clear" w:color="auto" w:fill="auto"/>
            <w:vAlign w:val="center"/>
            <w:hideMark/>
          </w:tcPr>
          <w:p w14:paraId="39DE76A3"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104.83%</w:t>
            </w:r>
          </w:p>
        </w:tc>
        <w:tc>
          <w:tcPr>
            <w:tcW w:w="1114" w:type="dxa"/>
            <w:tcBorders>
              <w:top w:val="nil"/>
              <w:left w:val="nil"/>
              <w:bottom w:val="nil"/>
              <w:right w:val="nil"/>
            </w:tcBorders>
            <w:shd w:val="clear" w:color="auto" w:fill="auto"/>
            <w:vAlign w:val="center"/>
            <w:hideMark/>
          </w:tcPr>
          <w:p w14:paraId="267A20EF"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0.173</w:t>
            </w:r>
          </w:p>
        </w:tc>
      </w:tr>
      <w:tr w:rsidR="00AC4151" w:rsidRPr="00AC4151" w14:paraId="1D661FEE" w14:textId="77777777" w:rsidTr="00AC4151">
        <w:trPr>
          <w:trHeight w:val="285"/>
          <w:jc w:val="center"/>
        </w:trPr>
        <w:tc>
          <w:tcPr>
            <w:tcW w:w="993" w:type="dxa"/>
            <w:tcBorders>
              <w:top w:val="nil"/>
              <w:left w:val="nil"/>
              <w:bottom w:val="nil"/>
              <w:right w:val="nil"/>
            </w:tcBorders>
            <w:shd w:val="clear" w:color="auto" w:fill="auto"/>
            <w:vAlign w:val="center"/>
            <w:hideMark/>
          </w:tcPr>
          <w:p w14:paraId="73683AE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9</w:t>
            </w:r>
          </w:p>
        </w:tc>
        <w:tc>
          <w:tcPr>
            <w:tcW w:w="1240" w:type="dxa"/>
            <w:tcBorders>
              <w:top w:val="nil"/>
              <w:left w:val="nil"/>
              <w:bottom w:val="nil"/>
              <w:right w:val="nil"/>
            </w:tcBorders>
            <w:shd w:val="clear" w:color="auto" w:fill="auto"/>
            <w:vAlign w:val="center"/>
            <w:hideMark/>
          </w:tcPr>
          <w:p w14:paraId="00A7A9B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4.95%</w:t>
            </w:r>
          </w:p>
        </w:tc>
        <w:tc>
          <w:tcPr>
            <w:tcW w:w="1294" w:type="dxa"/>
            <w:tcBorders>
              <w:top w:val="nil"/>
              <w:left w:val="nil"/>
              <w:bottom w:val="nil"/>
              <w:right w:val="nil"/>
            </w:tcBorders>
            <w:shd w:val="clear" w:color="auto" w:fill="auto"/>
            <w:vAlign w:val="center"/>
            <w:hideMark/>
          </w:tcPr>
          <w:p w14:paraId="3B26EBE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28.33%</w:t>
            </w:r>
          </w:p>
        </w:tc>
        <w:tc>
          <w:tcPr>
            <w:tcW w:w="1075" w:type="dxa"/>
            <w:tcBorders>
              <w:top w:val="nil"/>
              <w:left w:val="nil"/>
              <w:bottom w:val="nil"/>
              <w:right w:val="nil"/>
            </w:tcBorders>
            <w:shd w:val="clear" w:color="auto" w:fill="auto"/>
            <w:vAlign w:val="center"/>
            <w:hideMark/>
          </w:tcPr>
          <w:p w14:paraId="5F350AFB"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0.069</w:t>
            </w:r>
          </w:p>
        </w:tc>
        <w:tc>
          <w:tcPr>
            <w:tcW w:w="1077" w:type="dxa"/>
            <w:tcBorders>
              <w:top w:val="nil"/>
              <w:left w:val="nil"/>
              <w:bottom w:val="nil"/>
              <w:right w:val="nil"/>
            </w:tcBorders>
            <w:shd w:val="clear" w:color="auto" w:fill="auto"/>
            <w:vAlign w:val="center"/>
            <w:hideMark/>
          </w:tcPr>
          <w:p w14:paraId="10F3337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-62.73%</w:t>
            </w:r>
          </w:p>
        </w:tc>
        <w:tc>
          <w:tcPr>
            <w:tcW w:w="1315" w:type="dxa"/>
            <w:tcBorders>
              <w:top w:val="nil"/>
              <w:left w:val="nil"/>
              <w:bottom w:val="nil"/>
              <w:right w:val="nil"/>
            </w:tcBorders>
            <w:shd w:val="clear" w:color="auto" w:fill="auto"/>
            <w:vAlign w:val="center"/>
            <w:hideMark/>
          </w:tcPr>
          <w:p w14:paraId="5D0A7F33"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427.01%</w:t>
            </w:r>
          </w:p>
        </w:tc>
        <w:tc>
          <w:tcPr>
            <w:tcW w:w="1354" w:type="dxa"/>
            <w:tcBorders>
              <w:top w:val="nil"/>
              <w:left w:val="nil"/>
              <w:bottom w:val="nil"/>
              <w:right w:val="nil"/>
            </w:tcBorders>
            <w:shd w:val="clear" w:color="auto" w:fill="auto"/>
            <w:vAlign w:val="center"/>
            <w:hideMark/>
          </w:tcPr>
          <w:p w14:paraId="76BEA3F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106.30%</w:t>
            </w:r>
          </w:p>
        </w:tc>
        <w:tc>
          <w:tcPr>
            <w:tcW w:w="1114" w:type="dxa"/>
            <w:tcBorders>
              <w:top w:val="nil"/>
              <w:left w:val="nil"/>
              <w:bottom w:val="nil"/>
              <w:right w:val="nil"/>
            </w:tcBorders>
            <w:shd w:val="clear" w:color="auto" w:fill="auto"/>
            <w:vAlign w:val="center"/>
            <w:hideMark/>
          </w:tcPr>
          <w:p w14:paraId="0AA6004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0.171</w:t>
            </w:r>
          </w:p>
        </w:tc>
      </w:tr>
      <w:tr w:rsidR="00AC4151" w:rsidRPr="00AC4151" w14:paraId="5D83AAD2" w14:textId="77777777" w:rsidTr="00AC4151">
        <w:trPr>
          <w:trHeight w:val="300"/>
          <w:jc w:val="center"/>
        </w:trPr>
        <w:tc>
          <w:tcPr>
            <w:tcW w:w="993" w:type="dxa"/>
            <w:tcBorders>
              <w:top w:val="nil"/>
              <w:left w:val="nil"/>
              <w:bottom w:val="single" w:sz="8" w:space="0" w:color="auto"/>
              <w:right w:val="nil"/>
            </w:tcBorders>
            <w:shd w:val="clear" w:color="auto" w:fill="auto"/>
            <w:vAlign w:val="center"/>
            <w:hideMark/>
          </w:tcPr>
          <w:p w14:paraId="71E3A967"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10</w:t>
            </w:r>
          </w:p>
        </w:tc>
        <w:tc>
          <w:tcPr>
            <w:tcW w:w="1240" w:type="dxa"/>
            <w:tcBorders>
              <w:top w:val="nil"/>
              <w:left w:val="nil"/>
              <w:bottom w:val="single" w:sz="8" w:space="0" w:color="auto"/>
              <w:right w:val="nil"/>
            </w:tcBorders>
            <w:shd w:val="clear" w:color="auto" w:fill="auto"/>
            <w:vAlign w:val="center"/>
            <w:hideMark/>
          </w:tcPr>
          <w:p w14:paraId="45E6BA3F"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-1.50%</w:t>
            </w:r>
          </w:p>
        </w:tc>
        <w:tc>
          <w:tcPr>
            <w:tcW w:w="1294" w:type="dxa"/>
            <w:tcBorders>
              <w:top w:val="nil"/>
              <w:left w:val="nil"/>
              <w:bottom w:val="single" w:sz="8" w:space="0" w:color="auto"/>
              <w:right w:val="nil"/>
            </w:tcBorders>
            <w:shd w:val="clear" w:color="auto" w:fill="auto"/>
            <w:vAlign w:val="center"/>
            <w:hideMark/>
          </w:tcPr>
          <w:p w14:paraId="3F83D708"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28.42%</w:t>
            </w:r>
          </w:p>
        </w:tc>
        <w:tc>
          <w:tcPr>
            <w:tcW w:w="1075" w:type="dxa"/>
            <w:tcBorders>
              <w:top w:val="nil"/>
              <w:left w:val="nil"/>
              <w:bottom w:val="single" w:sz="8" w:space="0" w:color="auto"/>
              <w:right w:val="nil"/>
            </w:tcBorders>
            <w:shd w:val="clear" w:color="auto" w:fill="auto"/>
            <w:vAlign w:val="center"/>
            <w:hideMark/>
          </w:tcPr>
          <w:p w14:paraId="3FDD2712"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-0.158</w:t>
            </w:r>
          </w:p>
        </w:tc>
        <w:tc>
          <w:tcPr>
            <w:tcW w:w="1077" w:type="dxa"/>
            <w:tcBorders>
              <w:top w:val="nil"/>
              <w:left w:val="nil"/>
              <w:bottom w:val="single" w:sz="8" w:space="0" w:color="auto"/>
              <w:right w:val="nil"/>
            </w:tcBorders>
            <w:shd w:val="clear" w:color="auto" w:fill="auto"/>
            <w:vAlign w:val="center"/>
            <w:hideMark/>
          </w:tcPr>
          <w:p w14:paraId="2230BD3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-76.09%</w:t>
            </w:r>
          </w:p>
        </w:tc>
        <w:tc>
          <w:tcPr>
            <w:tcW w:w="1315" w:type="dxa"/>
            <w:tcBorders>
              <w:top w:val="nil"/>
              <w:left w:val="nil"/>
              <w:bottom w:val="single" w:sz="8" w:space="0" w:color="auto"/>
              <w:right w:val="nil"/>
            </w:tcBorders>
            <w:shd w:val="clear" w:color="auto" w:fill="auto"/>
            <w:vAlign w:val="center"/>
            <w:hideMark/>
          </w:tcPr>
          <w:p w14:paraId="42D80BD3"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198.99%</w:t>
            </w:r>
          </w:p>
        </w:tc>
        <w:tc>
          <w:tcPr>
            <w:tcW w:w="1354" w:type="dxa"/>
            <w:tcBorders>
              <w:top w:val="nil"/>
              <w:left w:val="nil"/>
              <w:bottom w:val="single" w:sz="8" w:space="0" w:color="auto"/>
              <w:right w:val="nil"/>
            </w:tcBorders>
            <w:shd w:val="clear" w:color="auto" w:fill="auto"/>
            <w:vAlign w:val="center"/>
            <w:hideMark/>
          </w:tcPr>
          <w:p w14:paraId="754A6881"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-20.29%</w:t>
            </w:r>
          </w:p>
        </w:tc>
        <w:tc>
          <w:tcPr>
            <w:tcW w:w="1114" w:type="dxa"/>
            <w:tcBorders>
              <w:top w:val="nil"/>
              <w:left w:val="nil"/>
              <w:bottom w:val="single" w:sz="8" w:space="0" w:color="auto"/>
              <w:right w:val="nil"/>
            </w:tcBorders>
            <w:shd w:val="clear" w:color="auto" w:fill="auto"/>
            <w:vAlign w:val="center"/>
            <w:hideMark/>
          </w:tcPr>
          <w:p w14:paraId="4298085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-0.137</w:t>
            </w:r>
          </w:p>
        </w:tc>
      </w:tr>
    </w:tbl>
    <w:p w14:paraId="531C120F" w14:textId="77777777" w:rsidR="000712C6" w:rsidRPr="000712C6" w:rsidRDefault="000712C6" w:rsidP="000712C6">
      <w:pPr>
        <w:ind w:firstLine="480"/>
        <w:rPr>
          <w:rFonts w:ascii="Arial" w:hAnsi="Arial" w:cs="Arial"/>
          <w:color w:val="1B1C1D"/>
        </w:rPr>
      </w:pPr>
      <w:r w:rsidRPr="000712C6">
        <w:rPr>
          <w:rFonts w:ascii="Arial" w:hAnsi="Arial" w:cs="Arial"/>
          <w:color w:val="1B1C1D"/>
        </w:rPr>
        <w:t>数据分析揭示了以下几个关键点：</w:t>
      </w:r>
    </w:p>
    <w:p w14:paraId="76EDA8FB" w14:textId="77777777" w:rsidR="000712C6" w:rsidRPr="000712C6" w:rsidRDefault="000712C6" w:rsidP="000712C6">
      <w:pPr>
        <w:numPr>
          <w:ilvl w:val="0"/>
          <w:numId w:val="16"/>
        </w:numPr>
        <w:ind w:firstLine="482"/>
        <w:rPr>
          <w:rFonts w:ascii="Arial" w:hAnsi="Arial" w:cs="Arial"/>
          <w:color w:val="1B1C1D"/>
        </w:rPr>
      </w:pPr>
      <w:r w:rsidRPr="000712C6">
        <w:rPr>
          <w:rFonts w:ascii="Arial" w:hAnsi="Arial" w:cs="Arial"/>
          <w:b/>
          <w:bCs/>
          <w:color w:val="1B1C1D"/>
        </w:rPr>
        <w:t>多头策略（第一组）表现优异</w:t>
      </w:r>
      <w:r w:rsidRPr="000712C6">
        <w:rPr>
          <w:rFonts w:ascii="Arial" w:hAnsi="Arial" w:cs="Arial"/>
          <w:color w:val="1B1C1D"/>
        </w:rPr>
        <w:t>：作为核心的多头策略，第一组的年化收益率达到</w:t>
      </w:r>
      <w:r w:rsidRPr="000712C6">
        <w:rPr>
          <w:rFonts w:ascii="Arial" w:hAnsi="Arial" w:cs="Arial"/>
          <w:color w:val="1B1C1D"/>
        </w:rPr>
        <w:t>14.53%</w:t>
      </w:r>
      <w:r w:rsidRPr="000712C6">
        <w:rPr>
          <w:rFonts w:ascii="Arial" w:hAnsi="Arial" w:cs="Arial"/>
          <w:color w:val="1B1C1D"/>
        </w:rPr>
        <w:t>，夏普比率为</w:t>
      </w:r>
      <w:r w:rsidRPr="000712C6">
        <w:rPr>
          <w:rFonts w:ascii="Arial" w:hAnsi="Arial" w:cs="Arial"/>
          <w:color w:val="1B1C1D"/>
        </w:rPr>
        <w:t>0.461</w:t>
      </w:r>
      <w:r w:rsidRPr="000712C6">
        <w:rPr>
          <w:rFonts w:ascii="Arial" w:hAnsi="Arial" w:cs="Arial"/>
          <w:color w:val="1B1C1D"/>
        </w:rPr>
        <w:t>，显著超越市场基准。同时，其最大回撤（</w:t>
      </w:r>
      <w:r w:rsidRPr="000712C6">
        <w:rPr>
          <w:rFonts w:ascii="Arial" w:hAnsi="Arial" w:cs="Arial"/>
          <w:color w:val="1B1C1D"/>
        </w:rPr>
        <w:t>-32.66%</w:t>
      </w:r>
      <w:r w:rsidRPr="000712C6">
        <w:rPr>
          <w:rFonts w:ascii="Arial" w:hAnsi="Arial" w:cs="Arial"/>
          <w:color w:val="1B1C1D"/>
        </w:rPr>
        <w:t>）相比于本书此前的任何策略版本都有所改善，显示出更优的风险控制能力。</w:t>
      </w:r>
    </w:p>
    <w:p w14:paraId="167895BB" w14:textId="77777777" w:rsidR="000712C6" w:rsidRPr="000712C6" w:rsidRDefault="000712C6" w:rsidP="000712C6">
      <w:pPr>
        <w:numPr>
          <w:ilvl w:val="0"/>
          <w:numId w:val="16"/>
        </w:numPr>
        <w:ind w:firstLine="482"/>
        <w:rPr>
          <w:rFonts w:ascii="Arial" w:hAnsi="Arial" w:cs="Arial"/>
          <w:color w:val="1B1C1D"/>
        </w:rPr>
      </w:pPr>
      <w:r w:rsidRPr="000712C6">
        <w:rPr>
          <w:rFonts w:ascii="Arial" w:hAnsi="Arial" w:cs="Arial"/>
          <w:b/>
          <w:bCs/>
          <w:color w:val="1B1C1D"/>
        </w:rPr>
        <w:t>空头策略（第十组）的有效性</w:t>
      </w:r>
      <w:r w:rsidRPr="000712C6">
        <w:rPr>
          <w:rFonts w:ascii="Arial" w:hAnsi="Arial" w:cs="Arial"/>
          <w:color w:val="1B1C1D"/>
        </w:rPr>
        <w:t>：第十组的年化收益率为负（</w:t>
      </w:r>
      <w:r w:rsidRPr="000712C6">
        <w:rPr>
          <w:rFonts w:ascii="Arial" w:hAnsi="Arial" w:cs="Arial"/>
          <w:color w:val="1B1C1D"/>
        </w:rPr>
        <w:t>-1.50%</w:t>
      </w:r>
      <w:r w:rsidRPr="000712C6">
        <w:rPr>
          <w:rFonts w:ascii="Arial" w:hAnsi="Arial" w:cs="Arial"/>
          <w:color w:val="1B1C1D"/>
        </w:rPr>
        <w:t>），这是模型有效性的另一项关键验证。它证明了模型能够有效识别出未来表现不佳的股票，为构建市场中性的多空策略（</w:t>
      </w:r>
      <w:r w:rsidRPr="000712C6">
        <w:rPr>
          <w:rFonts w:ascii="Arial" w:hAnsi="Arial" w:cs="Arial"/>
          <w:color w:val="1B1C1D"/>
        </w:rPr>
        <w:t>Long-Short Strategy</w:t>
      </w:r>
      <w:r w:rsidRPr="000712C6">
        <w:rPr>
          <w:rFonts w:ascii="Arial" w:hAnsi="Arial" w:cs="Arial"/>
          <w:color w:val="1B1C1D"/>
        </w:rPr>
        <w:t>）提供了坚实基础。</w:t>
      </w:r>
    </w:p>
    <w:p w14:paraId="2B14D3D1" w14:textId="77777777" w:rsidR="000712C6" w:rsidRPr="000712C6" w:rsidRDefault="000712C6" w:rsidP="000712C6">
      <w:pPr>
        <w:numPr>
          <w:ilvl w:val="0"/>
          <w:numId w:val="16"/>
        </w:numPr>
        <w:ind w:firstLine="482"/>
        <w:rPr>
          <w:rFonts w:ascii="Arial" w:hAnsi="Arial" w:cs="Arial"/>
          <w:color w:val="1B1C1D"/>
        </w:rPr>
      </w:pPr>
      <w:r w:rsidRPr="000712C6">
        <w:rPr>
          <w:rFonts w:ascii="Arial" w:hAnsi="Arial" w:cs="Arial"/>
          <w:b/>
          <w:bCs/>
          <w:color w:val="1B1C1D"/>
        </w:rPr>
        <w:t>多空组合的潜力</w:t>
      </w:r>
      <w:r w:rsidRPr="000712C6">
        <w:rPr>
          <w:rFonts w:ascii="Arial" w:hAnsi="Arial" w:cs="Arial"/>
          <w:color w:val="1B1C1D"/>
        </w:rPr>
        <w:t>：第一组与第十组之间高达</w:t>
      </w:r>
      <w:r w:rsidRPr="000712C6">
        <w:rPr>
          <w:rFonts w:ascii="Arial" w:hAnsi="Arial" w:cs="Arial"/>
          <w:color w:val="1B1C1D"/>
        </w:rPr>
        <w:t>16.03%</w:t>
      </w:r>
      <w:r w:rsidRPr="000712C6">
        <w:rPr>
          <w:rFonts w:ascii="Arial" w:hAnsi="Arial" w:cs="Arial"/>
          <w:color w:val="1B1C1D"/>
        </w:rPr>
        <w:t>的年化收益率差额，是衡量因子强弱的重要</w:t>
      </w:r>
      <w:r w:rsidRPr="000712C6">
        <w:rPr>
          <w:rFonts w:ascii="Arial" w:hAnsi="Arial" w:cs="Arial"/>
          <w:color w:val="1B1C1D"/>
        </w:rPr>
        <w:t>“</w:t>
      </w:r>
      <w:r w:rsidRPr="000712C6">
        <w:rPr>
          <w:rFonts w:ascii="Arial" w:hAnsi="Arial" w:cs="Arial"/>
          <w:color w:val="1B1C1D"/>
        </w:rPr>
        <w:t>试金石</w:t>
      </w:r>
      <w:r w:rsidRPr="000712C6">
        <w:rPr>
          <w:rFonts w:ascii="Arial" w:hAnsi="Arial" w:cs="Arial"/>
          <w:color w:val="1B1C1D"/>
        </w:rPr>
        <w:t>”</w:t>
      </w:r>
      <w:r w:rsidRPr="000712C6">
        <w:rPr>
          <w:rFonts w:ascii="Arial" w:hAnsi="Arial" w:cs="Arial"/>
          <w:color w:val="1B1C1D"/>
        </w:rPr>
        <w:t>。如此显著的收益率差，表明估值残差是一个区分能力非常强大的</w:t>
      </w:r>
      <w:r w:rsidRPr="000712C6">
        <w:rPr>
          <w:rFonts w:ascii="Arial" w:hAnsi="Arial" w:cs="Arial"/>
          <w:color w:val="1B1C1D"/>
        </w:rPr>
        <w:t>Alpha</w:t>
      </w:r>
      <w:r w:rsidRPr="000712C6">
        <w:rPr>
          <w:rFonts w:ascii="Arial" w:hAnsi="Arial" w:cs="Arial"/>
          <w:color w:val="1B1C1D"/>
        </w:rPr>
        <w:t>因子。</w:t>
      </w:r>
    </w:p>
    <w:p w14:paraId="7C219011" w14:textId="77777777" w:rsidR="0066062E" w:rsidRPr="0066062E" w:rsidRDefault="0066062E" w:rsidP="0066062E">
      <w:pPr>
        <w:ind w:firstLine="482"/>
        <w:rPr>
          <w:b/>
          <w:bCs/>
        </w:rPr>
      </w:pPr>
      <w:r w:rsidRPr="0066062E">
        <w:rPr>
          <w:b/>
          <w:bCs/>
        </w:rPr>
        <w:t xml:space="preserve">3.4.2 </w:t>
      </w:r>
      <w:r w:rsidRPr="0066062E">
        <w:rPr>
          <w:b/>
          <w:bCs/>
        </w:rPr>
        <w:t>最优持有期探究：收益、风险与换手率的权衡</w:t>
      </w:r>
    </w:p>
    <w:p w14:paraId="2EA0E466" w14:textId="48470458" w:rsidR="0066062E" w:rsidRDefault="0066062E" w:rsidP="0066062E">
      <w:pPr>
        <w:ind w:firstLine="480"/>
      </w:pPr>
      <w:r w:rsidRPr="0066062E">
        <w:t>一个优秀的</w:t>
      </w:r>
      <w:r w:rsidRPr="0066062E">
        <w:t>Alpha</w:t>
      </w:r>
      <w:r w:rsidRPr="0066062E">
        <w:t>因子，其选股能力不应仅仅局限于短期，而应在更长的时间维度上持续有效。为了探寻最优的策略持有期，我们首先分析了不同残差分组在未来不同持有期（从</w:t>
      </w:r>
      <w:r w:rsidRPr="0066062E">
        <w:t>1</w:t>
      </w:r>
      <w:r w:rsidRPr="0066062E">
        <w:t>个月到</w:t>
      </w:r>
      <w:r w:rsidR="000712C6">
        <w:rPr>
          <w:rFonts w:hint="eastAsia"/>
        </w:rPr>
        <w:t>12</w:t>
      </w:r>
      <w:r w:rsidRPr="0066062E">
        <w:t>个月）内的平均月收益率表现。</w:t>
      </w:r>
    </w:p>
    <w:p w14:paraId="218B1DEC" w14:textId="03856D0E" w:rsidR="0066062E" w:rsidRDefault="0066062E" w:rsidP="0066062E">
      <w:pPr>
        <w:ind w:firstLineChars="0" w:firstLine="0"/>
        <w:jc w:val="center"/>
      </w:pPr>
      <w:r>
        <w:rPr>
          <w:rFonts w:hint="eastAsia"/>
          <w:noProof/>
        </w:rPr>
        <w:drawing>
          <wp:inline distT="0" distB="0" distL="0" distR="0" wp14:anchorId="30B5718D" wp14:editId="03AAA358">
            <wp:extent cx="6188710" cy="4284980"/>
            <wp:effectExtent l="0" t="0" r="2540" b="1270"/>
            <wp:docPr id="83496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6827" name="图片 834968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4284980"/>
                    </a:xfrm>
                    <a:prstGeom prst="rect">
                      <a:avLst/>
                    </a:prstGeom>
                  </pic:spPr>
                </pic:pic>
              </a:graphicData>
            </a:graphic>
          </wp:inline>
        </w:drawing>
      </w:r>
    </w:p>
    <w:p w14:paraId="6F105E49" w14:textId="77777777" w:rsidR="0066062E" w:rsidRPr="00BE5560" w:rsidRDefault="0066062E" w:rsidP="0066062E">
      <w:pPr>
        <w:ind w:firstLineChars="0" w:firstLine="0"/>
        <w:jc w:val="center"/>
        <w:rPr>
          <w:b/>
          <w:bCs/>
        </w:rPr>
      </w:pPr>
      <w:r w:rsidRPr="00BE5560">
        <w:rPr>
          <w:b/>
          <w:bCs/>
        </w:rPr>
        <w:t>估值残差与未来不同持有期平均月收益率关系</w:t>
      </w:r>
      <w:r w:rsidRPr="0066062E">
        <w:rPr>
          <w:rFonts w:hint="eastAsia"/>
          <w:b/>
          <w:bCs/>
        </w:rPr>
        <w:t>热力图</w:t>
      </w:r>
    </w:p>
    <w:p w14:paraId="6D66D938" w14:textId="77777777" w:rsidR="0066062E" w:rsidRPr="0066062E" w:rsidRDefault="0066062E" w:rsidP="0066062E">
      <w:pPr>
        <w:ind w:firstLine="480"/>
      </w:pPr>
      <w:r w:rsidRPr="0066062E">
        <w:t>这张热力图清晰地表明，估值残差因子的单调性具备长期有效性。无论持有期是一个月、六个月还是一年，从上到下（即从最低估组到最高估组），热力图的颜色都呈现出清晰的、由亮到暗的渐变。这说明，低估值残差的股票组合，在未来相当长的一段时间内，都系统性地跑赢了高估值残差的股票组合。</w:t>
      </w:r>
    </w:p>
    <w:p w14:paraId="1DA83414" w14:textId="4115F7A3" w:rsidR="0066062E" w:rsidRPr="0066062E" w:rsidRDefault="0066062E" w:rsidP="0066062E">
      <w:pPr>
        <w:ind w:firstLine="480"/>
      </w:pPr>
      <w:r w:rsidRPr="0066062E">
        <w:t>然而，这并不意味着持有期越长越好。为了做出最终决策，我们采用重叠投资组合的方法，对第一组（最低估组）构建了一系列采用不同持有期限的策略，并对其绩效进行了详细的回测。</w:t>
      </w:r>
    </w:p>
    <w:p w14:paraId="5683F202" w14:textId="77777777" w:rsidR="000712C6" w:rsidRPr="000712C6" w:rsidRDefault="000712C6" w:rsidP="000712C6">
      <w:pPr>
        <w:ind w:firstLine="482"/>
        <w:jc w:val="left"/>
      </w:pPr>
      <w:r w:rsidRPr="000712C6">
        <w:rPr>
          <w:b/>
          <w:bCs/>
        </w:rPr>
        <w:t>方法论：重叠投资组合的构建</w:t>
      </w:r>
    </w:p>
    <w:p w14:paraId="1EE81969" w14:textId="77777777" w:rsidR="000712C6" w:rsidRPr="000712C6" w:rsidRDefault="000712C6" w:rsidP="000712C6">
      <w:pPr>
        <w:ind w:firstLine="480"/>
        <w:jc w:val="left"/>
      </w:pPr>
      <w:r w:rsidRPr="000712C6">
        <w:t>为检验不同持有期限对最低估值组合（第一组）长期表现的影响，我们构建了一系列采用不同持有期的投资策略。这些策略并非简单地延长调仓周期，而是采用一种更为平滑的重叠投资组合方法，旨在降低换手率并捕捉因子的中期有效性。其核心构建逻辑如下：</w:t>
      </w:r>
    </w:p>
    <w:p w14:paraId="49238D16" w14:textId="77777777" w:rsidR="000712C6" w:rsidRPr="000712C6" w:rsidRDefault="000712C6" w:rsidP="000712C6">
      <w:pPr>
        <w:numPr>
          <w:ilvl w:val="0"/>
          <w:numId w:val="17"/>
        </w:numPr>
        <w:ind w:firstLine="482"/>
        <w:jc w:val="left"/>
      </w:pPr>
      <w:r w:rsidRPr="000712C6">
        <w:rPr>
          <w:b/>
          <w:bCs/>
        </w:rPr>
        <w:t>1</w:t>
      </w:r>
      <w:r w:rsidRPr="000712C6">
        <w:rPr>
          <w:b/>
          <w:bCs/>
        </w:rPr>
        <w:t>个月持有期策略（基准）</w:t>
      </w:r>
      <w:r w:rsidRPr="000712C6">
        <w:t>：与我们之前的月度调仓策略一致。在每个月初，组合完全由上一个月底选出的最新一期</w:t>
      </w:r>
      <w:r w:rsidRPr="000712C6">
        <w:t>“</w:t>
      </w:r>
      <w:r w:rsidRPr="000712C6">
        <w:t>最低估</w:t>
      </w:r>
      <w:r w:rsidRPr="000712C6">
        <w:t>”</w:t>
      </w:r>
      <w:r w:rsidRPr="000712C6">
        <w:t>股票构成。</w:t>
      </w:r>
    </w:p>
    <w:p w14:paraId="73E86AD1" w14:textId="77777777" w:rsidR="000712C6" w:rsidRPr="000712C6" w:rsidRDefault="000712C6" w:rsidP="000712C6">
      <w:pPr>
        <w:numPr>
          <w:ilvl w:val="0"/>
          <w:numId w:val="17"/>
        </w:numPr>
        <w:ind w:firstLine="482"/>
        <w:jc w:val="left"/>
      </w:pPr>
      <w:r w:rsidRPr="000712C6">
        <w:rPr>
          <w:b/>
          <w:bCs/>
        </w:rPr>
        <w:t>N</w:t>
      </w:r>
      <w:r w:rsidRPr="000712C6">
        <w:rPr>
          <w:b/>
          <w:bCs/>
        </w:rPr>
        <w:t>个月持有期策略（</w:t>
      </w:r>
      <w:r w:rsidRPr="000712C6">
        <w:rPr>
          <w:b/>
          <w:bCs/>
        </w:rPr>
        <w:t>N &gt; 1</w:t>
      </w:r>
      <w:r w:rsidRPr="000712C6">
        <w:rPr>
          <w:b/>
          <w:bCs/>
        </w:rPr>
        <w:t>）</w:t>
      </w:r>
      <w:r w:rsidRPr="000712C6">
        <w:t>：在每个月初，投资组合由过去</w:t>
      </w:r>
      <w:r w:rsidRPr="000712C6">
        <w:t>N</w:t>
      </w:r>
      <w:r w:rsidRPr="000712C6">
        <w:t>个月选出的所有</w:t>
      </w:r>
      <w:r w:rsidRPr="000712C6">
        <w:t>“</w:t>
      </w:r>
      <w:r w:rsidRPr="000712C6">
        <w:t>最低估</w:t>
      </w:r>
      <w:r w:rsidRPr="000712C6">
        <w:t>”</w:t>
      </w:r>
      <w:r w:rsidRPr="000712C6">
        <w:t>股票池合并构成，并对合并后的股票池进行等权重投资。</w:t>
      </w:r>
    </w:p>
    <w:p w14:paraId="3656CE5C" w14:textId="77777777" w:rsidR="000712C6" w:rsidRPr="000712C6" w:rsidRDefault="000712C6" w:rsidP="000712C6">
      <w:pPr>
        <w:numPr>
          <w:ilvl w:val="1"/>
          <w:numId w:val="17"/>
        </w:numPr>
        <w:ind w:firstLine="480"/>
        <w:jc w:val="left"/>
      </w:pPr>
      <w:r w:rsidRPr="000712C6">
        <w:t>例如，对于</w:t>
      </w:r>
      <w:r w:rsidRPr="000712C6">
        <w:t>3</w:t>
      </w:r>
      <w:r w:rsidRPr="000712C6">
        <w:t>个月持有期的策略，在</w:t>
      </w:r>
      <w:r w:rsidRPr="000712C6">
        <w:t>2010</w:t>
      </w:r>
      <w:r w:rsidRPr="000712C6">
        <w:t>年</w:t>
      </w:r>
      <w:r w:rsidRPr="000712C6">
        <w:t>6</w:t>
      </w:r>
      <w:r w:rsidRPr="000712C6">
        <w:t>月初的持仓，将由</w:t>
      </w:r>
      <w:r w:rsidRPr="000712C6">
        <w:t>2010</w:t>
      </w:r>
      <w:r w:rsidRPr="000712C6">
        <w:t>年</w:t>
      </w:r>
      <w:r w:rsidRPr="000712C6">
        <w:t>5</w:t>
      </w:r>
      <w:r w:rsidRPr="000712C6">
        <w:t>月底、</w:t>
      </w:r>
      <w:r w:rsidRPr="000712C6">
        <w:t>4</w:t>
      </w:r>
      <w:r w:rsidRPr="000712C6">
        <w:t>月底和</w:t>
      </w:r>
      <w:r w:rsidRPr="000712C6">
        <w:t>3</w:t>
      </w:r>
      <w:r w:rsidRPr="000712C6">
        <w:t>月底选出的三批股票共同组成。</w:t>
      </w:r>
    </w:p>
    <w:p w14:paraId="3B3771C5" w14:textId="77777777" w:rsidR="000712C6" w:rsidRPr="000712C6" w:rsidRDefault="000712C6" w:rsidP="000712C6">
      <w:pPr>
        <w:numPr>
          <w:ilvl w:val="1"/>
          <w:numId w:val="17"/>
        </w:numPr>
        <w:ind w:firstLine="480"/>
        <w:jc w:val="left"/>
      </w:pPr>
      <w:r w:rsidRPr="000712C6">
        <w:t>同样，在</w:t>
      </w:r>
      <w:r w:rsidRPr="000712C6">
        <w:t>2010</w:t>
      </w:r>
      <w:r w:rsidRPr="000712C6">
        <w:t>年</w:t>
      </w:r>
      <w:r w:rsidRPr="000712C6">
        <w:t>7</w:t>
      </w:r>
      <w:r w:rsidRPr="000712C6">
        <w:t>月初，持仓将由</w:t>
      </w:r>
      <w:r w:rsidRPr="000712C6">
        <w:t>6</w:t>
      </w:r>
      <w:r w:rsidRPr="000712C6">
        <w:t>月底、</w:t>
      </w:r>
      <w:r w:rsidRPr="000712C6">
        <w:t>5</w:t>
      </w:r>
      <w:r w:rsidRPr="000712C6">
        <w:t>月底和</w:t>
      </w:r>
      <w:r w:rsidRPr="000712C6">
        <w:t>4</w:t>
      </w:r>
      <w:r w:rsidRPr="000712C6">
        <w:t>月底选出的三批股票构成。</w:t>
      </w:r>
    </w:p>
    <w:p w14:paraId="59145DF1" w14:textId="77777777" w:rsidR="000712C6" w:rsidRPr="000712C6" w:rsidRDefault="000712C6" w:rsidP="000712C6">
      <w:pPr>
        <w:ind w:firstLine="480"/>
        <w:jc w:val="left"/>
      </w:pPr>
      <w:r w:rsidRPr="000712C6">
        <w:t>通过这种方式，每个月仅有约</w:t>
      </w:r>
      <w:r w:rsidRPr="000712C6">
        <w:t xml:space="preserve"> 1/N </w:t>
      </w:r>
      <w:r w:rsidRPr="000712C6">
        <w:t>的组合成分被替换，有效地平滑了组合的调整过程。这种方法不仅能够检验因子在更长维度上的有效性，也更贴近部分机构投资者在实际操作中，为控制交易成本而采用的滚动调仓模式。</w:t>
      </w:r>
    </w:p>
    <w:p w14:paraId="7106F9FD" w14:textId="77777777" w:rsidR="0066062E" w:rsidRPr="000712C6" w:rsidRDefault="0066062E" w:rsidP="0066062E">
      <w:pPr>
        <w:ind w:firstLine="480"/>
        <w:jc w:val="left"/>
      </w:pPr>
    </w:p>
    <w:p w14:paraId="00E297FD" w14:textId="77777777" w:rsidR="0066062E" w:rsidRDefault="0066062E" w:rsidP="0066062E">
      <w:pPr>
        <w:ind w:firstLineChars="0" w:firstLine="0"/>
        <w:jc w:val="center"/>
      </w:pPr>
      <w:r>
        <w:rPr>
          <w:noProof/>
        </w:rPr>
        <w:drawing>
          <wp:inline distT="0" distB="0" distL="0" distR="0" wp14:anchorId="0FE4C4CF" wp14:editId="565EF152">
            <wp:extent cx="6188710" cy="3427095"/>
            <wp:effectExtent l="0" t="0" r="2540" b="1905"/>
            <wp:docPr id="6209853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85393" name="图片 6209853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3427095"/>
                    </a:xfrm>
                    <a:prstGeom prst="rect">
                      <a:avLst/>
                    </a:prstGeom>
                  </pic:spPr>
                </pic:pic>
              </a:graphicData>
            </a:graphic>
          </wp:inline>
        </w:drawing>
      </w:r>
    </w:p>
    <w:p w14:paraId="49E56D07" w14:textId="77777777" w:rsidR="000712C6" w:rsidRPr="000712C6" w:rsidRDefault="000712C6" w:rsidP="000712C6">
      <w:pPr>
        <w:ind w:firstLine="480"/>
        <w:jc w:val="left"/>
      </w:pPr>
      <w:r w:rsidRPr="000712C6">
        <w:t>上图直观地展示了不同持有期策略的长期表现。可以清晰地看到，持有期为</w:t>
      </w:r>
      <w:r w:rsidRPr="000712C6">
        <w:t>1</w:t>
      </w:r>
      <w:r w:rsidRPr="000712C6">
        <w:t>个月的策略，其最终累计收益最高，并且在整个回测期间，其净值曲线几乎都处于所有策略的最上沿。随着持有期的延长，策略的最终累计收益呈现出递减的趋势。</w:t>
      </w:r>
    </w:p>
    <w:p w14:paraId="01949471" w14:textId="77777777" w:rsidR="000712C6" w:rsidRPr="000712C6" w:rsidRDefault="000712C6" w:rsidP="000712C6">
      <w:pPr>
        <w:ind w:firstLine="480"/>
        <w:jc w:val="left"/>
      </w:pPr>
      <w:r w:rsidRPr="000712C6">
        <w:t>为了更精确地进行决策，我们进一步分析了各策略的详细绩效指标。</w:t>
      </w:r>
    </w:p>
    <w:tbl>
      <w:tblPr>
        <w:tblStyle w:val="11"/>
        <w:tblW w:w="0" w:type="auto"/>
        <w:jc w:val="center"/>
        <w:tblLook w:val="04A0" w:firstRow="1" w:lastRow="0" w:firstColumn="1" w:lastColumn="0" w:noHBand="0" w:noVBand="1"/>
      </w:tblPr>
      <w:tblGrid>
        <w:gridCol w:w="1367"/>
        <w:gridCol w:w="1341"/>
        <w:gridCol w:w="1341"/>
        <w:gridCol w:w="1180"/>
        <w:gridCol w:w="1180"/>
        <w:gridCol w:w="1341"/>
        <w:gridCol w:w="1180"/>
      </w:tblGrid>
      <w:tr w:rsidR="0066062E" w:rsidRPr="00A1432E" w14:paraId="5A8A5632" w14:textId="77777777" w:rsidTr="000F5B02">
        <w:trPr>
          <w:jc w:val="center"/>
        </w:trPr>
        <w:tc>
          <w:tcPr>
            <w:tcW w:w="0" w:type="auto"/>
            <w:hideMark/>
          </w:tcPr>
          <w:p w14:paraId="17B390F8" w14:textId="77777777" w:rsidR="0066062E" w:rsidRPr="00A1432E" w:rsidRDefault="0066062E" w:rsidP="000F5B02">
            <w:pPr>
              <w:spacing w:line="300" w:lineRule="auto"/>
              <w:ind w:firstLineChars="200" w:firstLine="321"/>
              <w:jc w:val="both"/>
              <w:rPr>
                <w:sz w:val="16"/>
                <w:szCs w:val="16"/>
              </w:rPr>
            </w:pPr>
            <w:r w:rsidRPr="00A1432E">
              <w:rPr>
                <w:b/>
                <w:bCs/>
                <w:sz w:val="16"/>
                <w:szCs w:val="16"/>
              </w:rPr>
              <w:t>持有期</w:t>
            </w:r>
            <w:r w:rsidRPr="00A1432E">
              <w:rPr>
                <w:b/>
                <w:bCs/>
                <w:sz w:val="16"/>
                <w:szCs w:val="16"/>
              </w:rPr>
              <w:t xml:space="preserve"> (</w:t>
            </w:r>
            <w:r w:rsidRPr="00A1432E">
              <w:rPr>
                <w:b/>
                <w:bCs/>
                <w:sz w:val="16"/>
                <w:szCs w:val="16"/>
              </w:rPr>
              <w:t>月</w:t>
            </w:r>
            <w:r w:rsidRPr="00A1432E">
              <w:rPr>
                <w:b/>
                <w:bCs/>
                <w:sz w:val="16"/>
                <w:szCs w:val="16"/>
              </w:rPr>
              <w:t>)</w:t>
            </w:r>
          </w:p>
        </w:tc>
        <w:tc>
          <w:tcPr>
            <w:tcW w:w="0" w:type="auto"/>
            <w:hideMark/>
          </w:tcPr>
          <w:p w14:paraId="5ECD4A0A" w14:textId="77777777" w:rsidR="0066062E" w:rsidRPr="00A1432E" w:rsidRDefault="0066062E" w:rsidP="000F5B02">
            <w:pPr>
              <w:spacing w:line="300" w:lineRule="auto"/>
              <w:ind w:firstLineChars="200" w:firstLine="321"/>
              <w:jc w:val="both"/>
              <w:rPr>
                <w:sz w:val="16"/>
                <w:szCs w:val="16"/>
              </w:rPr>
            </w:pPr>
            <w:r w:rsidRPr="00A1432E">
              <w:rPr>
                <w:b/>
                <w:bCs/>
                <w:sz w:val="16"/>
                <w:szCs w:val="16"/>
              </w:rPr>
              <w:t>年化收益率</w:t>
            </w:r>
          </w:p>
        </w:tc>
        <w:tc>
          <w:tcPr>
            <w:tcW w:w="0" w:type="auto"/>
            <w:hideMark/>
          </w:tcPr>
          <w:p w14:paraId="049E5A92" w14:textId="77777777" w:rsidR="0066062E" w:rsidRPr="00A1432E" w:rsidRDefault="0066062E" w:rsidP="000F5B02">
            <w:pPr>
              <w:spacing w:line="300" w:lineRule="auto"/>
              <w:ind w:firstLineChars="200" w:firstLine="321"/>
              <w:jc w:val="both"/>
              <w:rPr>
                <w:sz w:val="16"/>
                <w:szCs w:val="16"/>
              </w:rPr>
            </w:pPr>
            <w:r w:rsidRPr="00A1432E">
              <w:rPr>
                <w:b/>
                <w:bCs/>
                <w:sz w:val="16"/>
                <w:szCs w:val="16"/>
              </w:rPr>
              <w:t>年化波动率</w:t>
            </w:r>
          </w:p>
        </w:tc>
        <w:tc>
          <w:tcPr>
            <w:tcW w:w="0" w:type="auto"/>
            <w:hideMark/>
          </w:tcPr>
          <w:p w14:paraId="4A054CF5" w14:textId="77777777" w:rsidR="0066062E" w:rsidRPr="00A1432E" w:rsidRDefault="0066062E" w:rsidP="000F5B02">
            <w:pPr>
              <w:spacing w:line="300" w:lineRule="auto"/>
              <w:ind w:firstLineChars="200" w:firstLine="321"/>
              <w:jc w:val="both"/>
              <w:rPr>
                <w:sz w:val="16"/>
                <w:szCs w:val="16"/>
              </w:rPr>
            </w:pPr>
            <w:r w:rsidRPr="00A1432E">
              <w:rPr>
                <w:b/>
                <w:bCs/>
                <w:sz w:val="16"/>
                <w:szCs w:val="16"/>
              </w:rPr>
              <w:t>夏普比率</w:t>
            </w:r>
          </w:p>
        </w:tc>
        <w:tc>
          <w:tcPr>
            <w:tcW w:w="0" w:type="auto"/>
            <w:hideMark/>
          </w:tcPr>
          <w:p w14:paraId="48663C81" w14:textId="77777777" w:rsidR="0066062E" w:rsidRPr="00A1432E" w:rsidRDefault="0066062E" w:rsidP="000F5B02">
            <w:pPr>
              <w:spacing w:line="300" w:lineRule="auto"/>
              <w:ind w:firstLineChars="200" w:firstLine="321"/>
              <w:jc w:val="both"/>
              <w:rPr>
                <w:sz w:val="16"/>
                <w:szCs w:val="16"/>
              </w:rPr>
            </w:pPr>
            <w:r w:rsidRPr="00A1432E">
              <w:rPr>
                <w:b/>
                <w:bCs/>
                <w:sz w:val="16"/>
                <w:szCs w:val="16"/>
              </w:rPr>
              <w:t>最大回撤</w:t>
            </w:r>
          </w:p>
        </w:tc>
        <w:tc>
          <w:tcPr>
            <w:tcW w:w="0" w:type="auto"/>
            <w:hideMark/>
          </w:tcPr>
          <w:p w14:paraId="152BF11D" w14:textId="77777777" w:rsidR="0066062E" w:rsidRPr="00A1432E" w:rsidRDefault="0066062E" w:rsidP="000F5B02">
            <w:pPr>
              <w:spacing w:line="300" w:lineRule="auto"/>
              <w:ind w:firstLineChars="200" w:firstLine="321"/>
              <w:jc w:val="both"/>
              <w:rPr>
                <w:sz w:val="16"/>
                <w:szCs w:val="16"/>
              </w:rPr>
            </w:pPr>
            <w:r w:rsidRPr="00A1432E">
              <w:rPr>
                <w:b/>
                <w:bCs/>
                <w:sz w:val="16"/>
                <w:szCs w:val="16"/>
              </w:rPr>
              <w:t>年化换手率</w:t>
            </w:r>
          </w:p>
        </w:tc>
        <w:tc>
          <w:tcPr>
            <w:tcW w:w="0" w:type="auto"/>
            <w:hideMark/>
          </w:tcPr>
          <w:p w14:paraId="51CDAD9E" w14:textId="77777777" w:rsidR="0066062E" w:rsidRPr="00A1432E" w:rsidRDefault="0066062E" w:rsidP="000F5B02">
            <w:pPr>
              <w:spacing w:line="300" w:lineRule="auto"/>
              <w:ind w:firstLineChars="200" w:firstLine="321"/>
              <w:jc w:val="both"/>
              <w:rPr>
                <w:sz w:val="16"/>
                <w:szCs w:val="16"/>
              </w:rPr>
            </w:pPr>
            <w:r w:rsidRPr="00A1432E">
              <w:rPr>
                <w:b/>
                <w:bCs/>
                <w:sz w:val="16"/>
                <w:szCs w:val="16"/>
              </w:rPr>
              <w:t>信息比率</w:t>
            </w:r>
          </w:p>
        </w:tc>
      </w:tr>
      <w:tr w:rsidR="0066062E" w:rsidRPr="00A1432E" w14:paraId="37D979E1" w14:textId="77777777" w:rsidTr="000F5B02">
        <w:trPr>
          <w:jc w:val="center"/>
        </w:trPr>
        <w:tc>
          <w:tcPr>
            <w:tcW w:w="0" w:type="auto"/>
            <w:hideMark/>
          </w:tcPr>
          <w:p w14:paraId="0819A72A" w14:textId="77777777" w:rsidR="0066062E" w:rsidRPr="00A1432E" w:rsidRDefault="0066062E" w:rsidP="000F5B02">
            <w:pPr>
              <w:spacing w:line="300" w:lineRule="auto"/>
              <w:ind w:firstLineChars="200" w:firstLine="320"/>
              <w:jc w:val="both"/>
              <w:rPr>
                <w:sz w:val="16"/>
                <w:szCs w:val="16"/>
              </w:rPr>
            </w:pPr>
            <w:r w:rsidRPr="00A1432E">
              <w:rPr>
                <w:sz w:val="16"/>
                <w:szCs w:val="16"/>
              </w:rPr>
              <w:t>1</w:t>
            </w:r>
          </w:p>
        </w:tc>
        <w:tc>
          <w:tcPr>
            <w:tcW w:w="0" w:type="auto"/>
            <w:hideMark/>
          </w:tcPr>
          <w:p w14:paraId="5B2EB86B" w14:textId="77777777" w:rsidR="0066062E" w:rsidRPr="00A1432E" w:rsidRDefault="0066062E" w:rsidP="000F5B02">
            <w:pPr>
              <w:spacing w:line="300" w:lineRule="auto"/>
              <w:ind w:firstLineChars="200" w:firstLine="321"/>
              <w:jc w:val="both"/>
              <w:rPr>
                <w:sz w:val="16"/>
                <w:szCs w:val="16"/>
              </w:rPr>
            </w:pPr>
            <w:r w:rsidRPr="00A1432E">
              <w:rPr>
                <w:b/>
                <w:bCs/>
                <w:sz w:val="16"/>
                <w:szCs w:val="16"/>
              </w:rPr>
              <w:t>14.53%</w:t>
            </w:r>
          </w:p>
        </w:tc>
        <w:tc>
          <w:tcPr>
            <w:tcW w:w="0" w:type="auto"/>
            <w:hideMark/>
          </w:tcPr>
          <w:p w14:paraId="2A65C99F" w14:textId="77777777" w:rsidR="0066062E" w:rsidRPr="00A1432E" w:rsidRDefault="0066062E" w:rsidP="000F5B02">
            <w:pPr>
              <w:spacing w:line="300" w:lineRule="auto"/>
              <w:ind w:firstLineChars="200" w:firstLine="320"/>
              <w:jc w:val="both"/>
              <w:rPr>
                <w:sz w:val="16"/>
                <w:szCs w:val="16"/>
              </w:rPr>
            </w:pPr>
            <w:r w:rsidRPr="00A1432E">
              <w:rPr>
                <w:sz w:val="16"/>
                <w:szCs w:val="16"/>
              </w:rPr>
              <w:t>25.00%</w:t>
            </w:r>
          </w:p>
        </w:tc>
        <w:tc>
          <w:tcPr>
            <w:tcW w:w="0" w:type="auto"/>
            <w:hideMark/>
          </w:tcPr>
          <w:p w14:paraId="1DF4B00E" w14:textId="77777777" w:rsidR="0066062E" w:rsidRPr="00A1432E" w:rsidRDefault="0066062E" w:rsidP="000F5B02">
            <w:pPr>
              <w:spacing w:line="300" w:lineRule="auto"/>
              <w:ind w:firstLineChars="200" w:firstLine="321"/>
              <w:jc w:val="both"/>
              <w:rPr>
                <w:sz w:val="16"/>
                <w:szCs w:val="16"/>
              </w:rPr>
            </w:pPr>
            <w:r w:rsidRPr="00A1432E">
              <w:rPr>
                <w:b/>
                <w:bCs/>
                <w:sz w:val="16"/>
                <w:szCs w:val="16"/>
              </w:rPr>
              <w:t>0.461</w:t>
            </w:r>
          </w:p>
        </w:tc>
        <w:tc>
          <w:tcPr>
            <w:tcW w:w="0" w:type="auto"/>
            <w:hideMark/>
          </w:tcPr>
          <w:p w14:paraId="4F12D403" w14:textId="77777777" w:rsidR="0066062E" w:rsidRPr="00A1432E" w:rsidRDefault="0066062E" w:rsidP="000F5B02">
            <w:pPr>
              <w:spacing w:line="300" w:lineRule="auto"/>
              <w:ind w:firstLineChars="200" w:firstLine="321"/>
              <w:jc w:val="both"/>
              <w:rPr>
                <w:sz w:val="16"/>
                <w:szCs w:val="16"/>
              </w:rPr>
            </w:pPr>
            <w:r w:rsidRPr="00A1432E">
              <w:rPr>
                <w:b/>
                <w:bCs/>
                <w:sz w:val="16"/>
                <w:szCs w:val="16"/>
              </w:rPr>
              <w:t>-32.66%</w:t>
            </w:r>
          </w:p>
        </w:tc>
        <w:tc>
          <w:tcPr>
            <w:tcW w:w="0" w:type="auto"/>
            <w:hideMark/>
          </w:tcPr>
          <w:p w14:paraId="205C6982" w14:textId="77777777" w:rsidR="0066062E" w:rsidRPr="00A1432E" w:rsidRDefault="0066062E" w:rsidP="000F5B02">
            <w:pPr>
              <w:spacing w:line="300" w:lineRule="auto"/>
              <w:ind w:firstLineChars="200" w:firstLine="320"/>
              <w:jc w:val="both"/>
              <w:rPr>
                <w:sz w:val="16"/>
                <w:szCs w:val="16"/>
              </w:rPr>
            </w:pPr>
            <w:r w:rsidRPr="00A1432E">
              <w:rPr>
                <w:sz w:val="16"/>
                <w:szCs w:val="16"/>
              </w:rPr>
              <w:t>193.1%</w:t>
            </w:r>
          </w:p>
        </w:tc>
        <w:tc>
          <w:tcPr>
            <w:tcW w:w="0" w:type="auto"/>
            <w:hideMark/>
          </w:tcPr>
          <w:p w14:paraId="144861B8" w14:textId="77777777" w:rsidR="0066062E" w:rsidRPr="00A1432E" w:rsidRDefault="0066062E" w:rsidP="000F5B02">
            <w:pPr>
              <w:spacing w:line="300" w:lineRule="auto"/>
              <w:ind w:firstLineChars="200" w:firstLine="321"/>
              <w:jc w:val="both"/>
              <w:rPr>
                <w:sz w:val="16"/>
                <w:szCs w:val="16"/>
              </w:rPr>
            </w:pPr>
            <w:r w:rsidRPr="00A1432E">
              <w:rPr>
                <w:b/>
                <w:bCs/>
                <w:sz w:val="16"/>
                <w:szCs w:val="16"/>
              </w:rPr>
              <w:t>0.913</w:t>
            </w:r>
          </w:p>
        </w:tc>
      </w:tr>
      <w:tr w:rsidR="0066062E" w:rsidRPr="00A1432E" w14:paraId="2C6C7078" w14:textId="77777777" w:rsidTr="000F5B02">
        <w:trPr>
          <w:jc w:val="center"/>
        </w:trPr>
        <w:tc>
          <w:tcPr>
            <w:tcW w:w="0" w:type="auto"/>
            <w:hideMark/>
          </w:tcPr>
          <w:p w14:paraId="2D2582C2" w14:textId="77777777" w:rsidR="0066062E" w:rsidRPr="00A1432E" w:rsidRDefault="0066062E" w:rsidP="000F5B02">
            <w:pPr>
              <w:spacing w:line="300" w:lineRule="auto"/>
              <w:ind w:firstLineChars="200" w:firstLine="320"/>
              <w:jc w:val="both"/>
              <w:rPr>
                <w:sz w:val="16"/>
                <w:szCs w:val="16"/>
              </w:rPr>
            </w:pPr>
            <w:r w:rsidRPr="00A1432E">
              <w:rPr>
                <w:sz w:val="16"/>
                <w:szCs w:val="16"/>
              </w:rPr>
              <w:t>2</w:t>
            </w:r>
          </w:p>
        </w:tc>
        <w:tc>
          <w:tcPr>
            <w:tcW w:w="0" w:type="auto"/>
            <w:hideMark/>
          </w:tcPr>
          <w:p w14:paraId="13161409" w14:textId="77777777" w:rsidR="0066062E" w:rsidRPr="00A1432E" w:rsidRDefault="0066062E" w:rsidP="000F5B02">
            <w:pPr>
              <w:spacing w:line="300" w:lineRule="auto"/>
              <w:ind w:firstLineChars="200" w:firstLine="320"/>
              <w:jc w:val="both"/>
              <w:rPr>
                <w:sz w:val="16"/>
                <w:szCs w:val="16"/>
              </w:rPr>
            </w:pPr>
            <w:r w:rsidRPr="00A1432E">
              <w:rPr>
                <w:sz w:val="16"/>
                <w:szCs w:val="16"/>
              </w:rPr>
              <w:t>12.93%</w:t>
            </w:r>
          </w:p>
        </w:tc>
        <w:tc>
          <w:tcPr>
            <w:tcW w:w="0" w:type="auto"/>
            <w:hideMark/>
          </w:tcPr>
          <w:p w14:paraId="510B62A7" w14:textId="77777777" w:rsidR="0066062E" w:rsidRPr="00A1432E" w:rsidRDefault="0066062E" w:rsidP="000F5B02">
            <w:pPr>
              <w:spacing w:line="300" w:lineRule="auto"/>
              <w:ind w:firstLineChars="200" w:firstLine="320"/>
              <w:jc w:val="both"/>
              <w:rPr>
                <w:sz w:val="16"/>
                <w:szCs w:val="16"/>
              </w:rPr>
            </w:pPr>
            <w:r w:rsidRPr="00A1432E">
              <w:rPr>
                <w:sz w:val="16"/>
                <w:szCs w:val="16"/>
              </w:rPr>
              <w:t>24.94%</w:t>
            </w:r>
          </w:p>
        </w:tc>
        <w:tc>
          <w:tcPr>
            <w:tcW w:w="0" w:type="auto"/>
            <w:hideMark/>
          </w:tcPr>
          <w:p w14:paraId="3CD48226" w14:textId="77777777" w:rsidR="0066062E" w:rsidRPr="00A1432E" w:rsidRDefault="0066062E" w:rsidP="000F5B02">
            <w:pPr>
              <w:spacing w:line="300" w:lineRule="auto"/>
              <w:ind w:firstLineChars="200" w:firstLine="320"/>
              <w:jc w:val="both"/>
              <w:rPr>
                <w:sz w:val="16"/>
                <w:szCs w:val="16"/>
              </w:rPr>
            </w:pPr>
            <w:r w:rsidRPr="00A1432E">
              <w:rPr>
                <w:sz w:val="16"/>
                <w:szCs w:val="16"/>
              </w:rPr>
              <w:t>0.398</w:t>
            </w:r>
          </w:p>
        </w:tc>
        <w:tc>
          <w:tcPr>
            <w:tcW w:w="0" w:type="auto"/>
            <w:hideMark/>
          </w:tcPr>
          <w:p w14:paraId="3F91D1B5" w14:textId="77777777" w:rsidR="0066062E" w:rsidRPr="00A1432E" w:rsidRDefault="0066062E" w:rsidP="000F5B02">
            <w:pPr>
              <w:spacing w:line="300" w:lineRule="auto"/>
              <w:ind w:firstLineChars="200" w:firstLine="320"/>
              <w:jc w:val="both"/>
              <w:rPr>
                <w:sz w:val="16"/>
                <w:szCs w:val="16"/>
              </w:rPr>
            </w:pPr>
            <w:r w:rsidRPr="00A1432E">
              <w:rPr>
                <w:sz w:val="16"/>
                <w:szCs w:val="16"/>
              </w:rPr>
              <w:t>-33.38%</w:t>
            </w:r>
          </w:p>
        </w:tc>
        <w:tc>
          <w:tcPr>
            <w:tcW w:w="0" w:type="auto"/>
            <w:hideMark/>
          </w:tcPr>
          <w:p w14:paraId="5826E7CA" w14:textId="77777777" w:rsidR="0066062E" w:rsidRPr="00A1432E" w:rsidRDefault="0066062E" w:rsidP="000F5B02">
            <w:pPr>
              <w:spacing w:line="300" w:lineRule="auto"/>
              <w:ind w:firstLineChars="200" w:firstLine="320"/>
              <w:jc w:val="both"/>
              <w:rPr>
                <w:sz w:val="16"/>
                <w:szCs w:val="16"/>
              </w:rPr>
            </w:pPr>
            <w:r w:rsidRPr="00A1432E">
              <w:rPr>
                <w:sz w:val="16"/>
                <w:szCs w:val="16"/>
              </w:rPr>
              <w:t>126.3%</w:t>
            </w:r>
          </w:p>
        </w:tc>
        <w:tc>
          <w:tcPr>
            <w:tcW w:w="0" w:type="auto"/>
            <w:hideMark/>
          </w:tcPr>
          <w:p w14:paraId="679724D2" w14:textId="77777777" w:rsidR="0066062E" w:rsidRPr="00A1432E" w:rsidRDefault="0066062E" w:rsidP="000F5B02">
            <w:pPr>
              <w:spacing w:line="300" w:lineRule="auto"/>
              <w:ind w:firstLineChars="200" w:firstLine="320"/>
              <w:jc w:val="both"/>
              <w:rPr>
                <w:sz w:val="16"/>
                <w:szCs w:val="16"/>
              </w:rPr>
            </w:pPr>
            <w:r w:rsidRPr="00A1432E">
              <w:rPr>
                <w:sz w:val="16"/>
                <w:szCs w:val="16"/>
              </w:rPr>
              <w:t>0.799</w:t>
            </w:r>
          </w:p>
        </w:tc>
      </w:tr>
      <w:tr w:rsidR="0066062E" w:rsidRPr="00A1432E" w14:paraId="78AD433B" w14:textId="77777777" w:rsidTr="000F5B02">
        <w:trPr>
          <w:jc w:val="center"/>
        </w:trPr>
        <w:tc>
          <w:tcPr>
            <w:tcW w:w="0" w:type="auto"/>
            <w:hideMark/>
          </w:tcPr>
          <w:p w14:paraId="57237FD0" w14:textId="77777777" w:rsidR="0066062E" w:rsidRPr="00A1432E" w:rsidRDefault="0066062E" w:rsidP="000F5B02">
            <w:pPr>
              <w:spacing w:line="300" w:lineRule="auto"/>
              <w:ind w:firstLineChars="200" w:firstLine="320"/>
              <w:jc w:val="both"/>
              <w:rPr>
                <w:sz w:val="16"/>
                <w:szCs w:val="16"/>
              </w:rPr>
            </w:pPr>
            <w:r w:rsidRPr="00A1432E">
              <w:rPr>
                <w:sz w:val="16"/>
                <w:szCs w:val="16"/>
              </w:rPr>
              <w:t>3</w:t>
            </w:r>
          </w:p>
        </w:tc>
        <w:tc>
          <w:tcPr>
            <w:tcW w:w="0" w:type="auto"/>
            <w:hideMark/>
          </w:tcPr>
          <w:p w14:paraId="07EB2EB3" w14:textId="77777777" w:rsidR="0066062E" w:rsidRPr="00A1432E" w:rsidRDefault="0066062E" w:rsidP="000F5B02">
            <w:pPr>
              <w:spacing w:line="300" w:lineRule="auto"/>
              <w:ind w:firstLineChars="200" w:firstLine="320"/>
              <w:jc w:val="both"/>
              <w:rPr>
                <w:sz w:val="16"/>
                <w:szCs w:val="16"/>
              </w:rPr>
            </w:pPr>
            <w:r w:rsidRPr="00A1432E">
              <w:rPr>
                <w:sz w:val="16"/>
                <w:szCs w:val="16"/>
              </w:rPr>
              <w:t>11.65%</w:t>
            </w:r>
          </w:p>
        </w:tc>
        <w:tc>
          <w:tcPr>
            <w:tcW w:w="0" w:type="auto"/>
            <w:hideMark/>
          </w:tcPr>
          <w:p w14:paraId="646B3E39" w14:textId="77777777" w:rsidR="0066062E" w:rsidRPr="00A1432E" w:rsidRDefault="0066062E" w:rsidP="000F5B02">
            <w:pPr>
              <w:spacing w:line="300" w:lineRule="auto"/>
              <w:ind w:firstLineChars="200" w:firstLine="320"/>
              <w:jc w:val="both"/>
              <w:rPr>
                <w:sz w:val="16"/>
                <w:szCs w:val="16"/>
              </w:rPr>
            </w:pPr>
            <w:r w:rsidRPr="00A1432E">
              <w:rPr>
                <w:sz w:val="16"/>
                <w:szCs w:val="16"/>
              </w:rPr>
              <w:t>25.01%</w:t>
            </w:r>
          </w:p>
        </w:tc>
        <w:tc>
          <w:tcPr>
            <w:tcW w:w="0" w:type="auto"/>
            <w:hideMark/>
          </w:tcPr>
          <w:p w14:paraId="013F0F91" w14:textId="77777777" w:rsidR="0066062E" w:rsidRPr="00A1432E" w:rsidRDefault="0066062E" w:rsidP="000F5B02">
            <w:pPr>
              <w:spacing w:line="300" w:lineRule="auto"/>
              <w:ind w:firstLineChars="200" w:firstLine="320"/>
              <w:jc w:val="both"/>
              <w:rPr>
                <w:sz w:val="16"/>
                <w:szCs w:val="16"/>
              </w:rPr>
            </w:pPr>
            <w:r w:rsidRPr="00A1432E">
              <w:rPr>
                <w:sz w:val="16"/>
                <w:szCs w:val="16"/>
              </w:rPr>
              <w:t>0.346</w:t>
            </w:r>
          </w:p>
        </w:tc>
        <w:tc>
          <w:tcPr>
            <w:tcW w:w="0" w:type="auto"/>
            <w:hideMark/>
          </w:tcPr>
          <w:p w14:paraId="6B44CEA4" w14:textId="77777777" w:rsidR="0066062E" w:rsidRPr="00A1432E" w:rsidRDefault="0066062E" w:rsidP="000F5B02">
            <w:pPr>
              <w:spacing w:line="300" w:lineRule="auto"/>
              <w:ind w:firstLineChars="200" w:firstLine="320"/>
              <w:jc w:val="both"/>
              <w:rPr>
                <w:sz w:val="16"/>
                <w:szCs w:val="16"/>
              </w:rPr>
            </w:pPr>
            <w:r w:rsidRPr="00A1432E">
              <w:rPr>
                <w:sz w:val="16"/>
                <w:szCs w:val="16"/>
              </w:rPr>
              <w:t>-35.01%</w:t>
            </w:r>
          </w:p>
        </w:tc>
        <w:tc>
          <w:tcPr>
            <w:tcW w:w="0" w:type="auto"/>
            <w:hideMark/>
          </w:tcPr>
          <w:p w14:paraId="49B866C9" w14:textId="77777777" w:rsidR="0066062E" w:rsidRPr="00A1432E" w:rsidRDefault="0066062E" w:rsidP="000F5B02">
            <w:pPr>
              <w:spacing w:line="300" w:lineRule="auto"/>
              <w:ind w:firstLineChars="200" w:firstLine="320"/>
              <w:jc w:val="both"/>
              <w:rPr>
                <w:sz w:val="16"/>
                <w:szCs w:val="16"/>
              </w:rPr>
            </w:pPr>
            <w:r w:rsidRPr="00A1432E">
              <w:rPr>
                <w:sz w:val="16"/>
                <w:szCs w:val="16"/>
              </w:rPr>
              <w:t>99.5%</w:t>
            </w:r>
          </w:p>
        </w:tc>
        <w:tc>
          <w:tcPr>
            <w:tcW w:w="0" w:type="auto"/>
            <w:hideMark/>
          </w:tcPr>
          <w:p w14:paraId="424C001D" w14:textId="77777777" w:rsidR="0066062E" w:rsidRPr="00A1432E" w:rsidRDefault="0066062E" w:rsidP="000F5B02">
            <w:pPr>
              <w:spacing w:line="300" w:lineRule="auto"/>
              <w:ind w:firstLineChars="200" w:firstLine="320"/>
              <w:jc w:val="both"/>
              <w:rPr>
                <w:sz w:val="16"/>
                <w:szCs w:val="16"/>
              </w:rPr>
            </w:pPr>
            <w:r w:rsidRPr="00A1432E">
              <w:rPr>
                <w:sz w:val="16"/>
                <w:szCs w:val="16"/>
              </w:rPr>
              <w:t>0.702</w:t>
            </w:r>
          </w:p>
        </w:tc>
      </w:tr>
      <w:tr w:rsidR="0066062E" w:rsidRPr="00A1432E" w14:paraId="00DF7BAC" w14:textId="77777777" w:rsidTr="000F5B02">
        <w:trPr>
          <w:jc w:val="center"/>
        </w:trPr>
        <w:tc>
          <w:tcPr>
            <w:tcW w:w="0" w:type="auto"/>
            <w:hideMark/>
          </w:tcPr>
          <w:p w14:paraId="29F92173" w14:textId="77777777" w:rsidR="0066062E" w:rsidRPr="00A1432E" w:rsidRDefault="0066062E" w:rsidP="000F5B02">
            <w:pPr>
              <w:spacing w:line="300" w:lineRule="auto"/>
              <w:ind w:firstLineChars="200" w:firstLine="320"/>
              <w:jc w:val="both"/>
              <w:rPr>
                <w:sz w:val="16"/>
                <w:szCs w:val="16"/>
              </w:rPr>
            </w:pPr>
            <w:r w:rsidRPr="00A1432E">
              <w:rPr>
                <w:sz w:val="16"/>
                <w:szCs w:val="16"/>
              </w:rPr>
              <w:t>6</w:t>
            </w:r>
          </w:p>
        </w:tc>
        <w:tc>
          <w:tcPr>
            <w:tcW w:w="0" w:type="auto"/>
            <w:hideMark/>
          </w:tcPr>
          <w:p w14:paraId="55850BB9" w14:textId="77777777" w:rsidR="0066062E" w:rsidRPr="00A1432E" w:rsidRDefault="0066062E" w:rsidP="000F5B02">
            <w:pPr>
              <w:spacing w:line="300" w:lineRule="auto"/>
              <w:ind w:firstLineChars="200" w:firstLine="320"/>
              <w:jc w:val="both"/>
              <w:rPr>
                <w:sz w:val="16"/>
                <w:szCs w:val="16"/>
              </w:rPr>
            </w:pPr>
            <w:r w:rsidRPr="00A1432E">
              <w:rPr>
                <w:sz w:val="16"/>
                <w:szCs w:val="16"/>
              </w:rPr>
              <w:t>10.47%</w:t>
            </w:r>
          </w:p>
        </w:tc>
        <w:tc>
          <w:tcPr>
            <w:tcW w:w="0" w:type="auto"/>
            <w:hideMark/>
          </w:tcPr>
          <w:p w14:paraId="6C1F94F7" w14:textId="77777777" w:rsidR="0066062E" w:rsidRPr="00A1432E" w:rsidRDefault="0066062E" w:rsidP="000F5B02">
            <w:pPr>
              <w:spacing w:line="300" w:lineRule="auto"/>
              <w:ind w:firstLineChars="200" w:firstLine="320"/>
              <w:jc w:val="both"/>
              <w:rPr>
                <w:sz w:val="16"/>
                <w:szCs w:val="16"/>
              </w:rPr>
            </w:pPr>
            <w:r w:rsidRPr="00A1432E">
              <w:rPr>
                <w:sz w:val="16"/>
                <w:szCs w:val="16"/>
              </w:rPr>
              <w:t>25.15%</w:t>
            </w:r>
          </w:p>
        </w:tc>
        <w:tc>
          <w:tcPr>
            <w:tcW w:w="0" w:type="auto"/>
            <w:hideMark/>
          </w:tcPr>
          <w:p w14:paraId="12A2C2FE" w14:textId="77777777" w:rsidR="0066062E" w:rsidRPr="00A1432E" w:rsidRDefault="0066062E" w:rsidP="000F5B02">
            <w:pPr>
              <w:spacing w:line="300" w:lineRule="auto"/>
              <w:ind w:firstLineChars="200" w:firstLine="320"/>
              <w:jc w:val="both"/>
              <w:rPr>
                <w:sz w:val="16"/>
                <w:szCs w:val="16"/>
              </w:rPr>
            </w:pPr>
            <w:r w:rsidRPr="00A1432E">
              <w:rPr>
                <w:sz w:val="16"/>
                <w:szCs w:val="16"/>
              </w:rPr>
              <w:t>0.297</w:t>
            </w:r>
          </w:p>
        </w:tc>
        <w:tc>
          <w:tcPr>
            <w:tcW w:w="0" w:type="auto"/>
            <w:hideMark/>
          </w:tcPr>
          <w:p w14:paraId="091F361C" w14:textId="77777777" w:rsidR="0066062E" w:rsidRPr="00A1432E" w:rsidRDefault="0066062E" w:rsidP="000F5B02">
            <w:pPr>
              <w:spacing w:line="300" w:lineRule="auto"/>
              <w:ind w:firstLineChars="200" w:firstLine="320"/>
              <w:jc w:val="both"/>
              <w:rPr>
                <w:sz w:val="16"/>
                <w:szCs w:val="16"/>
              </w:rPr>
            </w:pPr>
            <w:r w:rsidRPr="00A1432E">
              <w:rPr>
                <w:sz w:val="16"/>
                <w:szCs w:val="16"/>
              </w:rPr>
              <w:t>-37.42%</w:t>
            </w:r>
          </w:p>
        </w:tc>
        <w:tc>
          <w:tcPr>
            <w:tcW w:w="0" w:type="auto"/>
            <w:hideMark/>
          </w:tcPr>
          <w:p w14:paraId="0D6B8D9E" w14:textId="77777777" w:rsidR="0066062E" w:rsidRPr="00A1432E" w:rsidRDefault="0066062E" w:rsidP="000F5B02">
            <w:pPr>
              <w:spacing w:line="300" w:lineRule="auto"/>
              <w:ind w:firstLineChars="200" w:firstLine="320"/>
              <w:jc w:val="both"/>
              <w:rPr>
                <w:sz w:val="16"/>
                <w:szCs w:val="16"/>
              </w:rPr>
            </w:pPr>
            <w:r w:rsidRPr="00A1432E">
              <w:rPr>
                <w:sz w:val="16"/>
                <w:szCs w:val="16"/>
              </w:rPr>
              <w:t>61.6%</w:t>
            </w:r>
          </w:p>
        </w:tc>
        <w:tc>
          <w:tcPr>
            <w:tcW w:w="0" w:type="auto"/>
            <w:hideMark/>
          </w:tcPr>
          <w:p w14:paraId="722497C6" w14:textId="77777777" w:rsidR="0066062E" w:rsidRPr="00A1432E" w:rsidRDefault="0066062E" w:rsidP="000F5B02">
            <w:pPr>
              <w:spacing w:line="300" w:lineRule="auto"/>
              <w:ind w:firstLineChars="200" w:firstLine="320"/>
              <w:jc w:val="both"/>
              <w:rPr>
                <w:sz w:val="16"/>
                <w:szCs w:val="16"/>
              </w:rPr>
            </w:pPr>
            <w:r w:rsidRPr="00A1432E">
              <w:rPr>
                <w:sz w:val="16"/>
                <w:szCs w:val="16"/>
              </w:rPr>
              <w:t>0.601</w:t>
            </w:r>
          </w:p>
        </w:tc>
      </w:tr>
      <w:tr w:rsidR="0066062E" w:rsidRPr="00A1432E" w14:paraId="5BBA699F" w14:textId="77777777" w:rsidTr="000F5B02">
        <w:trPr>
          <w:jc w:val="center"/>
        </w:trPr>
        <w:tc>
          <w:tcPr>
            <w:tcW w:w="0" w:type="auto"/>
            <w:hideMark/>
          </w:tcPr>
          <w:p w14:paraId="189828F6" w14:textId="77777777" w:rsidR="0066062E" w:rsidRPr="00A1432E" w:rsidRDefault="0066062E" w:rsidP="000F5B02">
            <w:pPr>
              <w:spacing w:line="300" w:lineRule="auto"/>
              <w:ind w:firstLineChars="200" w:firstLine="320"/>
              <w:jc w:val="both"/>
              <w:rPr>
                <w:sz w:val="16"/>
                <w:szCs w:val="16"/>
              </w:rPr>
            </w:pPr>
            <w:r w:rsidRPr="00A1432E">
              <w:rPr>
                <w:sz w:val="16"/>
                <w:szCs w:val="16"/>
              </w:rPr>
              <w:t>9</w:t>
            </w:r>
          </w:p>
        </w:tc>
        <w:tc>
          <w:tcPr>
            <w:tcW w:w="0" w:type="auto"/>
            <w:hideMark/>
          </w:tcPr>
          <w:p w14:paraId="2068370B" w14:textId="77777777" w:rsidR="0066062E" w:rsidRPr="00A1432E" w:rsidRDefault="0066062E" w:rsidP="000F5B02">
            <w:pPr>
              <w:spacing w:line="300" w:lineRule="auto"/>
              <w:ind w:firstLineChars="200" w:firstLine="320"/>
              <w:jc w:val="both"/>
              <w:rPr>
                <w:sz w:val="16"/>
                <w:szCs w:val="16"/>
              </w:rPr>
            </w:pPr>
            <w:r w:rsidRPr="00A1432E">
              <w:rPr>
                <w:sz w:val="16"/>
                <w:szCs w:val="16"/>
              </w:rPr>
              <w:t>10.04%</w:t>
            </w:r>
          </w:p>
        </w:tc>
        <w:tc>
          <w:tcPr>
            <w:tcW w:w="0" w:type="auto"/>
            <w:hideMark/>
          </w:tcPr>
          <w:p w14:paraId="59145F86" w14:textId="77777777" w:rsidR="0066062E" w:rsidRPr="00A1432E" w:rsidRDefault="0066062E" w:rsidP="000F5B02">
            <w:pPr>
              <w:spacing w:line="300" w:lineRule="auto"/>
              <w:ind w:firstLineChars="200" w:firstLine="320"/>
              <w:jc w:val="both"/>
              <w:rPr>
                <w:sz w:val="16"/>
                <w:szCs w:val="16"/>
              </w:rPr>
            </w:pPr>
            <w:r w:rsidRPr="00A1432E">
              <w:rPr>
                <w:sz w:val="16"/>
                <w:szCs w:val="16"/>
              </w:rPr>
              <w:t>25.19%</w:t>
            </w:r>
          </w:p>
        </w:tc>
        <w:tc>
          <w:tcPr>
            <w:tcW w:w="0" w:type="auto"/>
            <w:hideMark/>
          </w:tcPr>
          <w:p w14:paraId="7DA1748D" w14:textId="77777777" w:rsidR="0066062E" w:rsidRPr="00A1432E" w:rsidRDefault="0066062E" w:rsidP="000F5B02">
            <w:pPr>
              <w:spacing w:line="300" w:lineRule="auto"/>
              <w:ind w:firstLineChars="200" w:firstLine="320"/>
              <w:jc w:val="both"/>
              <w:rPr>
                <w:sz w:val="16"/>
                <w:szCs w:val="16"/>
              </w:rPr>
            </w:pPr>
            <w:r w:rsidRPr="00A1432E">
              <w:rPr>
                <w:sz w:val="16"/>
                <w:szCs w:val="16"/>
              </w:rPr>
              <w:t>0.280</w:t>
            </w:r>
          </w:p>
        </w:tc>
        <w:tc>
          <w:tcPr>
            <w:tcW w:w="0" w:type="auto"/>
            <w:hideMark/>
          </w:tcPr>
          <w:p w14:paraId="360137B7" w14:textId="77777777" w:rsidR="0066062E" w:rsidRPr="00A1432E" w:rsidRDefault="0066062E" w:rsidP="000F5B02">
            <w:pPr>
              <w:spacing w:line="300" w:lineRule="auto"/>
              <w:ind w:firstLineChars="200" w:firstLine="320"/>
              <w:jc w:val="both"/>
              <w:rPr>
                <w:sz w:val="16"/>
                <w:szCs w:val="16"/>
              </w:rPr>
            </w:pPr>
            <w:r w:rsidRPr="00A1432E">
              <w:rPr>
                <w:sz w:val="16"/>
                <w:szCs w:val="16"/>
              </w:rPr>
              <w:t>-39.16%</w:t>
            </w:r>
          </w:p>
        </w:tc>
        <w:tc>
          <w:tcPr>
            <w:tcW w:w="0" w:type="auto"/>
            <w:hideMark/>
          </w:tcPr>
          <w:p w14:paraId="67C32FEF" w14:textId="77777777" w:rsidR="0066062E" w:rsidRPr="00A1432E" w:rsidRDefault="0066062E" w:rsidP="000F5B02">
            <w:pPr>
              <w:spacing w:line="300" w:lineRule="auto"/>
              <w:ind w:firstLineChars="200" w:firstLine="320"/>
              <w:jc w:val="both"/>
              <w:rPr>
                <w:sz w:val="16"/>
                <w:szCs w:val="16"/>
              </w:rPr>
            </w:pPr>
            <w:r w:rsidRPr="00A1432E">
              <w:rPr>
                <w:sz w:val="16"/>
                <w:szCs w:val="16"/>
              </w:rPr>
              <w:t>41.6%</w:t>
            </w:r>
          </w:p>
        </w:tc>
        <w:tc>
          <w:tcPr>
            <w:tcW w:w="0" w:type="auto"/>
            <w:hideMark/>
          </w:tcPr>
          <w:p w14:paraId="4612D677" w14:textId="77777777" w:rsidR="0066062E" w:rsidRPr="00A1432E" w:rsidRDefault="0066062E" w:rsidP="000F5B02">
            <w:pPr>
              <w:spacing w:line="300" w:lineRule="auto"/>
              <w:ind w:firstLineChars="200" w:firstLine="320"/>
              <w:jc w:val="both"/>
              <w:rPr>
                <w:sz w:val="16"/>
                <w:szCs w:val="16"/>
              </w:rPr>
            </w:pPr>
            <w:r w:rsidRPr="00A1432E">
              <w:rPr>
                <w:sz w:val="16"/>
                <w:szCs w:val="16"/>
              </w:rPr>
              <w:t>0.564</w:t>
            </w:r>
          </w:p>
        </w:tc>
      </w:tr>
      <w:tr w:rsidR="0066062E" w:rsidRPr="00A1432E" w14:paraId="262D9253" w14:textId="77777777" w:rsidTr="000F5B02">
        <w:trPr>
          <w:jc w:val="center"/>
        </w:trPr>
        <w:tc>
          <w:tcPr>
            <w:tcW w:w="0" w:type="auto"/>
            <w:hideMark/>
          </w:tcPr>
          <w:p w14:paraId="1972E32A" w14:textId="77777777" w:rsidR="0066062E" w:rsidRPr="00A1432E" w:rsidRDefault="0066062E" w:rsidP="000F5B02">
            <w:pPr>
              <w:spacing w:line="300" w:lineRule="auto"/>
              <w:ind w:firstLineChars="200" w:firstLine="320"/>
              <w:jc w:val="both"/>
              <w:rPr>
                <w:sz w:val="16"/>
                <w:szCs w:val="16"/>
              </w:rPr>
            </w:pPr>
            <w:r w:rsidRPr="00A1432E">
              <w:rPr>
                <w:sz w:val="16"/>
                <w:szCs w:val="16"/>
              </w:rPr>
              <w:t>12</w:t>
            </w:r>
          </w:p>
        </w:tc>
        <w:tc>
          <w:tcPr>
            <w:tcW w:w="0" w:type="auto"/>
            <w:hideMark/>
          </w:tcPr>
          <w:p w14:paraId="67817309" w14:textId="77777777" w:rsidR="0066062E" w:rsidRPr="00A1432E" w:rsidRDefault="0066062E" w:rsidP="000F5B02">
            <w:pPr>
              <w:spacing w:line="300" w:lineRule="auto"/>
              <w:ind w:firstLineChars="200" w:firstLine="320"/>
              <w:jc w:val="both"/>
              <w:rPr>
                <w:sz w:val="16"/>
                <w:szCs w:val="16"/>
              </w:rPr>
            </w:pPr>
            <w:r w:rsidRPr="00A1432E">
              <w:rPr>
                <w:sz w:val="16"/>
                <w:szCs w:val="16"/>
              </w:rPr>
              <w:t>10.13%</w:t>
            </w:r>
          </w:p>
        </w:tc>
        <w:tc>
          <w:tcPr>
            <w:tcW w:w="0" w:type="auto"/>
            <w:hideMark/>
          </w:tcPr>
          <w:p w14:paraId="6C27039F" w14:textId="77777777" w:rsidR="0066062E" w:rsidRPr="00A1432E" w:rsidRDefault="0066062E" w:rsidP="000F5B02">
            <w:pPr>
              <w:spacing w:line="300" w:lineRule="auto"/>
              <w:ind w:firstLineChars="200" w:firstLine="320"/>
              <w:jc w:val="both"/>
              <w:rPr>
                <w:sz w:val="16"/>
                <w:szCs w:val="16"/>
              </w:rPr>
            </w:pPr>
            <w:r w:rsidRPr="00A1432E">
              <w:rPr>
                <w:sz w:val="16"/>
                <w:szCs w:val="16"/>
              </w:rPr>
              <w:t>25.31%</w:t>
            </w:r>
          </w:p>
        </w:tc>
        <w:tc>
          <w:tcPr>
            <w:tcW w:w="0" w:type="auto"/>
            <w:hideMark/>
          </w:tcPr>
          <w:p w14:paraId="2FC2E56C" w14:textId="77777777" w:rsidR="0066062E" w:rsidRPr="00A1432E" w:rsidRDefault="0066062E" w:rsidP="000F5B02">
            <w:pPr>
              <w:spacing w:line="300" w:lineRule="auto"/>
              <w:ind w:firstLineChars="200" w:firstLine="320"/>
              <w:jc w:val="both"/>
              <w:rPr>
                <w:sz w:val="16"/>
                <w:szCs w:val="16"/>
              </w:rPr>
            </w:pPr>
            <w:r w:rsidRPr="00A1432E">
              <w:rPr>
                <w:sz w:val="16"/>
                <w:szCs w:val="16"/>
              </w:rPr>
              <w:t>0.282</w:t>
            </w:r>
          </w:p>
        </w:tc>
        <w:tc>
          <w:tcPr>
            <w:tcW w:w="0" w:type="auto"/>
            <w:hideMark/>
          </w:tcPr>
          <w:p w14:paraId="62E8210C" w14:textId="77777777" w:rsidR="0066062E" w:rsidRPr="00A1432E" w:rsidRDefault="0066062E" w:rsidP="000F5B02">
            <w:pPr>
              <w:spacing w:line="300" w:lineRule="auto"/>
              <w:ind w:firstLineChars="200" w:firstLine="320"/>
              <w:jc w:val="both"/>
              <w:rPr>
                <w:sz w:val="16"/>
                <w:szCs w:val="16"/>
              </w:rPr>
            </w:pPr>
            <w:r w:rsidRPr="00A1432E">
              <w:rPr>
                <w:sz w:val="16"/>
                <w:szCs w:val="16"/>
              </w:rPr>
              <w:t>-39.85%</w:t>
            </w:r>
          </w:p>
        </w:tc>
        <w:tc>
          <w:tcPr>
            <w:tcW w:w="0" w:type="auto"/>
            <w:hideMark/>
          </w:tcPr>
          <w:p w14:paraId="7E48A7C4" w14:textId="77777777" w:rsidR="0066062E" w:rsidRPr="00A1432E" w:rsidRDefault="0066062E" w:rsidP="000F5B02">
            <w:pPr>
              <w:spacing w:line="300" w:lineRule="auto"/>
              <w:ind w:firstLineChars="200" w:firstLine="320"/>
              <w:jc w:val="both"/>
              <w:rPr>
                <w:sz w:val="16"/>
                <w:szCs w:val="16"/>
              </w:rPr>
            </w:pPr>
            <w:r w:rsidRPr="00A1432E">
              <w:rPr>
                <w:sz w:val="16"/>
                <w:szCs w:val="16"/>
              </w:rPr>
              <w:t>32.0%</w:t>
            </w:r>
          </w:p>
        </w:tc>
        <w:tc>
          <w:tcPr>
            <w:tcW w:w="0" w:type="auto"/>
            <w:hideMark/>
          </w:tcPr>
          <w:p w14:paraId="4459054F" w14:textId="77777777" w:rsidR="0066062E" w:rsidRPr="00A1432E" w:rsidRDefault="0066062E" w:rsidP="000F5B02">
            <w:pPr>
              <w:spacing w:line="300" w:lineRule="auto"/>
              <w:ind w:firstLineChars="200" w:firstLine="320"/>
              <w:jc w:val="both"/>
              <w:rPr>
                <w:sz w:val="16"/>
                <w:szCs w:val="16"/>
              </w:rPr>
            </w:pPr>
            <w:r w:rsidRPr="00A1432E">
              <w:rPr>
                <w:sz w:val="16"/>
                <w:szCs w:val="16"/>
              </w:rPr>
              <w:t>0.562</w:t>
            </w:r>
          </w:p>
        </w:tc>
      </w:tr>
    </w:tbl>
    <w:p w14:paraId="3D533FD6" w14:textId="77777777" w:rsidR="0066062E" w:rsidRPr="00A1432E" w:rsidRDefault="0066062E" w:rsidP="0066062E">
      <w:pPr>
        <w:ind w:firstLine="480"/>
      </w:pPr>
      <w:r w:rsidRPr="00A1432E">
        <w:t>上表的绩效数据为我们提供了几个关键的洞见：</w:t>
      </w:r>
    </w:p>
    <w:p w14:paraId="3DC4CBBC" w14:textId="77777777" w:rsidR="0066062E" w:rsidRPr="00A1432E" w:rsidRDefault="0066062E" w:rsidP="0066062E">
      <w:pPr>
        <w:numPr>
          <w:ilvl w:val="0"/>
          <w:numId w:val="14"/>
        </w:numPr>
        <w:ind w:firstLine="482"/>
      </w:pPr>
      <w:r w:rsidRPr="00A1432E">
        <w:rPr>
          <w:b/>
          <w:bCs/>
        </w:rPr>
        <w:t>收益的</w:t>
      </w:r>
      <w:r w:rsidRPr="00A1432E">
        <w:rPr>
          <w:b/>
          <w:bCs/>
        </w:rPr>
        <w:t>“</w:t>
      </w:r>
      <w:r w:rsidRPr="00A1432E">
        <w:rPr>
          <w:b/>
          <w:bCs/>
        </w:rPr>
        <w:t>时效性</w:t>
      </w:r>
      <w:r w:rsidRPr="00A1432E">
        <w:rPr>
          <w:b/>
          <w:bCs/>
        </w:rPr>
        <w:t>”</w:t>
      </w:r>
      <w:r w:rsidRPr="00A1432E">
        <w:rPr>
          <w:b/>
          <w:bCs/>
        </w:rPr>
        <w:t>与</w:t>
      </w:r>
      <w:r w:rsidRPr="00A1432E">
        <w:rPr>
          <w:b/>
          <w:bCs/>
        </w:rPr>
        <w:t>Alpha</w:t>
      </w:r>
      <w:r w:rsidRPr="00A1432E">
        <w:rPr>
          <w:b/>
          <w:bCs/>
        </w:rPr>
        <w:t>衰减</w:t>
      </w:r>
      <w:r w:rsidRPr="00A1432E">
        <w:t>：年化收益率随着持有期的延长呈现出明显的衰减趋势。持有期为</w:t>
      </w:r>
      <w:r w:rsidRPr="00A1432E">
        <w:t>1</w:t>
      </w:r>
      <w:r w:rsidRPr="00A1432E">
        <w:t>个月时，策略的年化收益率最高，达到</w:t>
      </w:r>
      <w:r w:rsidRPr="00A1432E">
        <w:t>14.53%</w:t>
      </w:r>
      <w:r w:rsidRPr="00A1432E">
        <w:t>。这表明，由模型发现的</w:t>
      </w:r>
      <w:r w:rsidRPr="00A1432E">
        <w:t>“</w:t>
      </w:r>
      <w:r w:rsidRPr="00A1432E">
        <w:t>错误定价</w:t>
      </w:r>
      <w:r w:rsidRPr="00A1432E">
        <w:t>”</w:t>
      </w:r>
      <w:r w:rsidRPr="00A1432E">
        <w:t>机会，其价值回归的过程在短期内最为迅猛。随着时间的推移，因子的</w:t>
      </w:r>
      <w:r w:rsidRPr="00A1432E">
        <w:t>Alpha</w:t>
      </w:r>
      <w:r w:rsidRPr="00A1432E">
        <w:t>效应会逐渐减弱。</w:t>
      </w:r>
    </w:p>
    <w:p w14:paraId="41C8C0B7" w14:textId="77777777" w:rsidR="0066062E" w:rsidRPr="00A1432E" w:rsidRDefault="0066062E" w:rsidP="0066062E">
      <w:pPr>
        <w:numPr>
          <w:ilvl w:val="0"/>
          <w:numId w:val="14"/>
        </w:numPr>
        <w:ind w:firstLine="482"/>
      </w:pPr>
      <w:r w:rsidRPr="00A1432E">
        <w:rPr>
          <w:b/>
          <w:bCs/>
        </w:rPr>
        <w:t>换手率的显著降低</w:t>
      </w:r>
      <w:r w:rsidRPr="00A1432E">
        <w:t>：延长持有期最直接的好处是大幅降低了换手率。从</w:t>
      </w:r>
      <w:r w:rsidRPr="00A1432E">
        <w:t>1</w:t>
      </w:r>
      <w:r w:rsidRPr="00A1432E">
        <w:t>个月持有期的</w:t>
      </w:r>
      <w:r w:rsidRPr="00A1432E">
        <w:t>193.1%</w:t>
      </w:r>
      <w:r w:rsidRPr="00A1432E">
        <w:t>，下降到</w:t>
      </w:r>
      <w:r w:rsidRPr="00A1432E">
        <w:t>12</w:t>
      </w:r>
      <w:r w:rsidRPr="00A1432E">
        <w:t>个月持有期的</w:t>
      </w:r>
      <w:r w:rsidRPr="00A1432E">
        <w:t>32.0%</w:t>
      </w:r>
      <w:r w:rsidRPr="00A1432E">
        <w:t>。在实际投资中，更低的换手率意味着更低的交易成本，这是一个重要的优势。</w:t>
      </w:r>
    </w:p>
    <w:p w14:paraId="4D960904" w14:textId="77777777" w:rsidR="0066062E" w:rsidRPr="00A1432E" w:rsidRDefault="0066062E" w:rsidP="0066062E">
      <w:pPr>
        <w:numPr>
          <w:ilvl w:val="0"/>
          <w:numId w:val="14"/>
        </w:numPr>
        <w:ind w:firstLine="482"/>
      </w:pPr>
      <w:r w:rsidRPr="00A1432E">
        <w:rPr>
          <w:b/>
          <w:bCs/>
        </w:rPr>
        <w:t>风险调整后收益的权衡</w:t>
      </w:r>
      <w:r w:rsidRPr="00A1432E">
        <w:t>：尽管换手率降低，但从风险调整后收益的核心指标</w:t>
      </w:r>
      <w:r w:rsidRPr="00A1432E">
        <w:t>——</w:t>
      </w:r>
      <w:r w:rsidRPr="00A1432E">
        <w:rPr>
          <w:b/>
          <w:bCs/>
        </w:rPr>
        <w:t>夏普比率</w:t>
      </w:r>
      <w:r w:rsidRPr="00A1432E">
        <w:t>和</w:t>
      </w:r>
      <w:r w:rsidRPr="00A1432E">
        <w:rPr>
          <w:b/>
          <w:bCs/>
        </w:rPr>
        <w:t>信息比率</w:t>
      </w:r>
      <w:r w:rsidRPr="00A1432E">
        <w:t>来看，</w:t>
      </w:r>
      <w:r w:rsidRPr="00A1432E">
        <w:rPr>
          <w:b/>
          <w:bCs/>
        </w:rPr>
        <w:t>1</w:t>
      </w:r>
      <w:r w:rsidRPr="00A1432E">
        <w:rPr>
          <w:b/>
          <w:bCs/>
        </w:rPr>
        <w:t>个月持有期的策略依然是最佳选择</w:t>
      </w:r>
      <w:r w:rsidRPr="00A1432E">
        <w:t>。其夏普比率（</w:t>
      </w:r>
      <w:r w:rsidRPr="00A1432E">
        <w:t>0.461</w:t>
      </w:r>
      <w:r w:rsidRPr="00A1432E">
        <w:t>）和信息比率（</w:t>
      </w:r>
      <w:r w:rsidRPr="00A1432E">
        <w:t>0.913</w:t>
      </w:r>
      <w:r w:rsidRPr="00A1432E">
        <w:t>）均显著高于其他所有持有期策略。这说明，虽然延长持有期降低了交易频率，但其带来的收益衰减效应，超过了换手率降低可能带来的好处。</w:t>
      </w:r>
    </w:p>
    <w:p w14:paraId="23406D5E" w14:textId="68636A7F" w:rsidR="0066062E" w:rsidRPr="0066062E" w:rsidRDefault="0066062E" w:rsidP="0066062E">
      <w:pPr>
        <w:ind w:firstLine="482"/>
        <w:jc w:val="left"/>
      </w:pPr>
      <w:r w:rsidRPr="0066062E">
        <w:rPr>
          <w:b/>
          <w:bCs/>
        </w:rPr>
        <w:t>结论：最优持有期的选择</w:t>
      </w:r>
      <w:r w:rsidRPr="0066062E">
        <w:t xml:space="preserve"> </w:t>
      </w:r>
      <w:r w:rsidRPr="0066062E">
        <w:t>综合来看，尽管延长持有期能够有效降低交易成本，但从获取最强</w:t>
      </w:r>
      <w:r w:rsidRPr="0066062E">
        <w:t>Alpha</w:t>
      </w:r>
      <w:r w:rsidRPr="0066062E">
        <w:t>和最高风险调整后收益（夏普比率）的角度出发，</w:t>
      </w:r>
      <w:r w:rsidRPr="0066062E">
        <w:rPr>
          <w:b/>
          <w:bCs/>
        </w:rPr>
        <w:t>1</w:t>
      </w:r>
      <w:r w:rsidRPr="0066062E">
        <w:rPr>
          <w:b/>
          <w:bCs/>
        </w:rPr>
        <w:t>个月的持有期（即月度调仓）是估值残差模型的最优选择</w:t>
      </w:r>
      <w:r w:rsidRPr="0066062E">
        <w:t>。它最高效地捕捉了因子价值回归的核心过程。因此，在本书后续的讨论中，我们将以</w:t>
      </w:r>
      <w:r w:rsidRPr="0066062E">
        <w:t>**pbroe3.1</w:t>
      </w:r>
      <w:r w:rsidRPr="0066062E">
        <w:t>（即第一组，</w:t>
      </w:r>
      <w:r w:rsidRPr="0066062E">
        <w:t>1</w:t>
      </w:r>
      <w:r w:rsidRPr="0066062E">
        <w:t>个月持有期）</w:t>
      </w:r>
      <w:r w:rsidRPr="0066062E">
        <w:t>**</w:t>
      </w:r>
      <w:r w:rsidRPr="0066062E">
        <w:t>作为我们最终的、最优的</w:t>
      </w:r>
      <w:r w:rsidRPr="0066062E">
        <w:t>PB-ROE</w:t>
      </w:r>
      <w:r w:rsidRPr="0066062E">
        <w:t>策略版本。</w:t>
      </w:r>
    </w:p>
    <w:p w14:paraId="0CE229BD" w14:textId="77777777" w:rsidR="00A1432E" w:rsidRPr="00223A83" w:rsidRDefault="00A1432E" w:rsidP="00A1432E">
      <w:pPr>
        <w:ind w:firstLine="482"/>
        <w:rPr>
          <w:b/>
          <w:bCs/>
        </w:rPr>
      </w:pPr>
      <w:r w:rsidRPr="00223A83">
        <w:rPr>
          <w:b/>
          <w:bCs/>
        </w:rPr>
        <w:t xml:space="preserve">3.5 </w:t>
      </w:r>
      <w:r w:rsidRPr="00223A83">
        <w:rPr>
          <w:b/>
          <w:bCs/>
        </w:rPr>
        <w:t>最终策略对比与评估</w:t>
      </w:r>
    </w:p>
    <w:p w14:paraId="5B67E30B" w14:textId="77777777" w:rsidR="00A1432E" w:rsidRDefault="00A1432E" w:rsidP="00A1432E">
      <w:pPr>
        <w:spacing w:line="240" w:lineRule="auto"/>
        <w:ind w:firstLineChars="0" w:firstLine="482"/>
        <w:jc w:val="left"/>
        <w:rPr>
          <w:rFonts w:ascii="Arial" w:hAnsi="Arial" w:cs="Arial"/>
          <w:color w:val="1B1C1D"/>
        </w:rPr>
      </w:pPr>
      <w:r w:rsidRPr="00223A83">
        <w:rPr>
          <w:rFonts w:ascii="Arial" w:hAnsi="Arial" w:cs="Arial"/>
          <w:color w:val="1B1C1D"/>
        </w:rPr>
        <w:t>我们将第一组（最低估组合）作为最终的估值残差模型策略（</w:t>
      </w:r>
      <w:r w:rsidRPr="00223A83">
        <w:rPr>
          <w:rFonts w:ascii="Arial" w:hAnsi="Arial" w:cs="Arial"/>
          <w:color w:val="1B1C1D"/>
        </w:rPr>
        <w:t>pbroe3.1</w:t>
      </w:r>
      <w:r w:rsidRPr="00223A83">
        <w:rPr>
          <w:rFonts w:ascii="Arial" w:hAnsi="Arial" w:cs="Arial"/>
          <w:color w:val="1B1C1D"/>
        </w:rPr>
        <w:t>），并将其与前一阶段最优的月度再平衡策略（</w:t>
      </w:r>
      <w:r w:rsidRPr="00223A83">
        <w:rPr>
          <w:rFonts w:ascii="Arial" w:hAnsi="Arial" w:cs="Arial"/>
          <w:color w:val="1B1C1D"/>
        </w:rPr>
        <w:t>pbroe2.3</w:t>
      </w:r>
      <w:r w:rsidRPr="00223A83">
        <w:rPr>
          <w:rFonts w:ascii="Arial" w:hAnsi="Arial" w:cs="Arial"/>
          <w:color w:val="1B1C1D"/>
        </w:rPr>
        <w:t>）进行对比。</w:t>
      </w:r>
    </w:p>
    <w:p w14:paraId="4A62E186" w14:textId="5B9C60F8" w:rsidR="000712C6" w:rsidRDefault="000712C6" w:rsidP="00A1432E">
      <w:pPr>
        <w:spacing w:line="240" w:lineRule="auto"/>
        <w:ind w:firstLineChars="0" w:firstLine="482"/>
        <w:jc w:val="left"/>
        <w:rPr>
          <w:rFonts w:ascii="Arial" w:hAnsi="Arial" w:cs="Arial"/>
          <w:color w:val="1B1C1D"/>
        </w:rPr>
      </w:pPr>
      <w:r w:rsidRPr="000712C6">
        <w:rPr>
          <w:rFonts w:ascii="Arial" w:hAnsi="Arial" w:cs="Arial"/>
          <w:color w:val="1B1C1D"/>
        </w:rPr>
        <w:t>表：估值残差模型（</w:t>
      </w:r>
      <w:r w:rsidRPr="000712C6">
        <w:rPr>
          <w:rFonts w:ascii="Arial" w:hAnsi="Arial" w:cs="Arial"/>
          <w:color w:val="1B1C1D"/>
        </w:rPr>
        <w:t>pbroe3.1</w:t>
      </w:r>
      <w:r w:rsidRPr="000712C6">
        <w:rPr>
          <w:rFonts w:ascii="Arial" w:hAnsi="Arial" w:cs="Arial"/>
          <w:color w:val="1B1C1D"/>
        </w:rPr>
        <w:t>）</w:t>
      </w:r>
      <w:r w:rsidRPr="000712C6">
        <w:rPr>
          <w:rFonts w:ascii="Arial" w:hAnsi="Arial" w:cs="Arial"/>
          <w:color w:val="1B1C1D"/>
        </w:rPr>
        <w:t xml:space="preserve"> vs. </w:t>
      </w:r>
      <w:r w:rsidRPr="000712C6">
        <w:rPr>
          <w:rFonts w:ascii="Arial" w:hAnsi="Arial" w:cs="Arial"/>
          <w:color w:val="1B1C1D"/>
        </w:rPr>
        <w:t>月度再平衡策略（</w:t>
      </w:r>
      <w:r w:rsidRPr="000712C6">
        <w:rPr>
          <w:rFonts w:ascii="Arial" w:hAnsi="Arial" w:cs="Arial"/>
          <w:color w:val="1B1C1D"/>
        </w:rPr>
        <w:t>pbroe2.3</w:t>
      </w:r>
      <w:r w:rsidRPr="000712C6">
        <w:rPr>
          <w:rFonts w:ascii="Arial" w:hAnsi="Arial" w:cs="Arial"/>
          <w:color w:val="1B1C1D"/>
        </w:rPr>
        <w:t>）</w:t>
      </w:r>
    </w:p>
    <w:tbl>
      <w:tblPr>
        <w:tblStyle w:val="11"/>
        <w:tblW w:w="0" w:type="auto"/>
        <w:jc w:val="center"/>
        <w:tblLook w:val="04A0" w:firstRow="1" w:lastRow="0" w:firstColumn="1" w:lastColumn="0" w:noHBand="0" w:noVBand="1"/>
      </w:tblPr>
      <w:tblGrid>
        <w:gridCol w:w="1622"/>
        <w:gridCol w:w="1823"/>
        <w:gridCol w:w="2024"/>
        <w:gridCol w:w="3028"/>
      </w:tblGrid>
      <w:tr w:rsidR="00A1432E" w:rsidRPr="007242CC" w14:paraId="76E41E82" w14:textId="77777777" w:rsidTr="000F5B02">
        <w:trPr>
          <w:cantSplit/>
          <w:jc w:val="center"/>
        </w:trPr>
        <w:tc>
          <w:tcPr>
            <w:tcW w:w="0" w:type="auto"/>
            <w:tcBorders>
              <w:top w:val="single" w:sz="12" w:space="0" w:color="auto"/>
              <w:bottom w:val="single" w:sz="6" w:space="0" w:color="auto"/>
            </w:tcBorders>
            <w:hideMark/>
          </w:tcPr>
          <w:p w14:paraId="3B7DFD5B"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绩效指标</w:t>
            </w:r>
          </w:p>
        </w:tc>
        <w:tc>
          <w:tcPr>
            <w:tcW w:w="0" w:type="auto"/>
            <w:tcBorders>
              <w:top w:val="single" w:sz="12" w:space="0" w:color="auto"/>
              <w:bottom w:val="single" w:sz="6" w:space="0" w:color="auto"/>
            </w:tcBorders>
            <w:hideMark/>
          </w:tcPr>
          <w:p w14:paraId="6B6D5629"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估值残差模型</w:t>
            </w:r>
            <w:r w:rsidRPr="00CD116D">
              <w:rPr>
                <w:rFonts w:ascii="Arial" w:hAnsi="Arial" w:cs="Arial"/>
                <w:b/>
                <w:bCs/>
                <w:color w:val="1B1C1D"/>
                <w:sz w:val="20"/>
                <w:szCs w:val="20"/>
                <w:bdr w:val="none" w:sz="0" w:space="0" w:color="auto" w:frame="1"/>
              </w:rPr>
              <w:t xml:space="preserve"> </w:t>
            </w:r>
          </w:p>
        </w:tc>
        <w:tc>
          <w:tcPr>
            <w:tcW w:w="0" w:type="auto"/>
            <w:tcBorders>
              <w:top w:val="single" w:sz="12" w:space="0" w:color="auto"/>
              <w:bottom w:val="single" w:sz="6" w:space="0" w:color="auto"/>
            </w:tcBorders>
            <w:hideMark/>
          </w:tcPr>
          <w:p w14:paraId="5C8F5562"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月度再平衡策略</w:t>
            </w:r>
            <w:r w:rsidRPr="00CD116D">
              <w:rPr>
                <w:rFonts w:ascii="Arial" w:hAnsi="Arial" w:cs="Arial"/>
                <w:b/>
                <w:bCs/>
                <w:color w:val="1B1C1D"/>
                <w:sz w:val="20"/>
                <w:szCs w:val="20"/>
                <w:bdr w:val="none" w:sz="0" w:space="0" w:color="auto" w:frame="1"/>
              </w:rPr>
              <w:t xml:space="preserve"> </w:t>
            </w:r>
          </w:p>
        </w:tc>
        <w:tc>
          <w:tcPr>
            <w:tcW w:w="0" w:type="auto"/>
            <w:tcBorders>
              <w:top w:val="single" w:sz="12" w:space="0" w:color="auto"/>
              <w:bottom w:val="single" w:sz="6" w:space="0" w:color="auto"/>
            </w:tcBorders>
            <w:hideMark/>
          </w:tcPr>
          <w:p w14:paraId="01CB7F6D"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变化分析</w:t>
            </w:r>
          </w:p>
        </w:tc>
      </w:tr>
      <w:tr w:rsidR="00A1432E" w:rsidRPr="007242CC" w14:paraId="0B1D5686" w14:textId="77777777" w:rsidTr="000F5B02">
        <w:trPr>
          <w:cantSplit/>
          <w:jc w:val="center"/>
        </w:trPr>
        <w:tc>
          <w:tcPr>
            <w:tcW w:w="0" w:type="auto"/>
            <w:tcBorders>
              <w:top w:val="single" w:sz="6" w:space="0" w:color="auto"/>
            </w:tcBorders>
            <w:hideMark/>
          </w:tcPr>
          <w:p w14:paraId="28735DFC"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年化收益率</w:t>
            </w:r>
          </w:p>
        </w:tc>
        <w:tc>
          <w:tcPr>
            <w:tcW w:w="0" w:type="auto"/>
            <w:tcBorders>
              <w:top w:val="single" w:sz="6" w:space="0" w:color="auto"/>
            </w:tcBorders>
            <w:hideMark/>
          </w:tcPr>
          <w:p w14:paraId="6CE96795"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14.53%</w:t>
            </w:r>
          </w:p>
        </w:tc>
        <w:tc>
          <w:tcPr>
            <w:tcW w:w="0" w:type="auto"/>
            <w:tcBorders>
              <w:top w:val="single" w:sz="6" w:space="0" w:color="auto"/>
            </w:tcBorders>
            <w:hideMark/>
          </w:tcPr>
          <w:p w14:paraId="5137B391"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11.78%</w:t>
            </w:r>
          </w:p>
        </w:tc>
        <w:tc>
          <w:tcPr>
            <w:tcW w:w="0" w:type="auto"/>
            <w:tcBorders>
              <w:top w:val="single" w:sz="6" w:space="0" w:color="auto"/>
            </w:tcBorders>
            <w:hideMark/>
          </w:tcPr>
          <w:p w14:paraId="60F0A601"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提升</w:t>
            </w:r>
            <w:r w:rsidRPr="00CD116D">
              <w:rPr>
                <w:rFonts w:ascii="Arial" w:hAnsi="Arial" w:cs="Arial"/>
                <w:b/>
                <w:bCs/>
                <w:color w:val="1B1C1D"/>
                <w:sz w:val="20"/>
                <w:szCs w:val="20"/>
                <w:bdr w:val="none" w:sz="0" w:space="0" w:color="auto" w:frame="1"/>
              </w:rPr>
              <w:t>2.75</w:t>
            </w:r>
            <w:r w:rsidRPr="00CD116D">
              <w:rPr>
                <w:rFonts w:ascii="Arial" w:hAnsi="Arial" w:cs="Arial"/>
                <w:b/>
                <w:bCs/>
                <w:color w:val="1B1C1D"/>
                <w:sz w:val="20"/>
                <w:szCs w:val="20"/>
                <w:bdr w:val="none" w:sz="0" w:space="0" w:color="auto" w:frame="1"/>
              </w:rPr>
              <w:t>个百分点</w:t>
            </w:r>
          </w:p>
        </w:tc>
      </w:tr>
      <w:tr w:rsidR="00A1432E" w:rsidRPr="007242CC" w14:paraId="6C9A8DC2" w14:textId="77777777" w:rsidTr="000F5B02">
        <w:trPr>
          <w:cantSplit/>
          <w:jc w:val="center"/>
        </w:trPr>
        <w:tc>
          <w:tcPr>
            <w:tcW w:w="0" w:type="auto"/>
            <w:hideMark/>
          </w:tcPr>
          <w:p w14:paraId="7F8D0434"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年化波动率</w:t>
            </w:r>
          </w:p>
        </w:tc>
        <w:tc>
          <w:tcPr>
            <w:tcW w:w="0" w:type="auto"/>
            <w:hideMark/>
          </w:tcPr>
          <w:p w14:paraId="5FE74190"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25.00%</w:t>
            </w:r>
          </w:p>
        </w:tc>
        <w:tc>
          <w:tcPr>
            <w:tcW w:w="0" w:type="auto"/>
            <w:hideMark/>
          </w:tcPr>
          <w:p w14:paraId="45CB291F"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24.70%</w:t>
            </w:r>
          </w:p>
        </w:tc>
        <w:tc>
          <w:tcPr>
            <w:tcW w:w="0" w:type="auto"/>
            <w:hideMark/>
          </w:tcPr>
          <w:p w14:paraId="1DF5751D"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基本持平，风险水平相当</w:t>
            </w:r>
          </w:p>
        </w:tc>
      </w:tr>
      <w:tr w:rsidR="00A1432E" w:rsidRPr="007242CC" w14:paraId="592F3904" w14:textId="77777777" w:rsidTr="000F5B02">
        <w:trPr>
          <w:cantSplit/>
          <w:jc w:val="center"/>
        </w:trPr>
        <w:tc>
          <w:tcPr>
            <w:tcW w:w="0" w:type="auto"/>
            <w:hideMark/>
          </w:tcPr>
          <w:p w14:paraId="003D3C79"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夏普比率</w:t>
            </w:r>
          </w:p>
        </w:tc>
        <w:tc>
          <w:tcPr>
            <w:tcW w:w="0" w:type="auto"/>
            <w:hideMark/>
          </w:tcPr>
          <w:p w14:paraId="48459E23"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0.461</w:t>
            </w:r>
          </w:p>
        </w:tc>
        <w:tc>
          <w:tcPr>
            <w:tcW w:w="0" w:type="auto"/>
            <w:hideMark/>
          </w:tcPr>
          <w:p w14:paraId="31D076B0"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0.355</w:t>
            </w:r>
          </w:p>
        </w:tc>
        <w:tc>
          <w:tcPr>
            <w:tcW w:w="0" w:type="auto"/>
            <w:hideMark/>
          </w:tcPr>
          <w:p w14:paraId="25661B3A"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显著提升</w:t>
            </w:r>
            <w:r w:rsidRPr="00CD116D">
              <w:rPr>
                <w:rFonts w:ascii="Arial" w:hAnsi="Arial" w:cs="Arial"/>
                <w:b/>
                <w:bCs/>
                <w:color w:val="1B1C1D"/>
                <w:sz w:val="20"/>
                <w:szCs w:val="20"/>
                <w:bdr w:val="none" w:sz="0" w:space="0" w:color="auto" w:frame="1"/>
              </w:rPr>
              <w:t>30%</w:t>
            </w:r>
          </w:p>
        </w:tc>
      </w:tr>
      <w:tr w:rsidR="00A1432E" w:rsidRPr="007242CC" w14:paraId="523A91C9" w14:textId="77777777" w:rsidTr="000F5B02">
        <w:trPr>
          <w:cantSplit/>
          <w:jc w:val="center"/>
        </w:trPr>
        <w:tc>
          <w:tcPr>
            <w:tcW w:w="0" w:type="auto"/>
            <w:hideMark/>
          </w:tcPr>
          <w:p w14:paraId="03AB2A18"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最大回撤</w:t>
            </w:r>
          </w:p>
        </w:tc>
        <w:tc>
          <w:tcPr>
            <w:tcW w:w="0" w:type="auto"/>
            <w:hideMark/>
          </w:tcPr>
          <w:p w14:paraId="587A93D0"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-32.66%</w:t>
            </w:r>
          </w:p>
        </w:tc>
        <w:tc>
          <w:tcPr>
            <w:tcW w:w="0" w:type="auto"/>
            <w:hideMark/>
          </w:tcPr>
          <w:p w14:paraId="71857C22"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-35.04%</w:t>
            </w:r>
          </w:p>
        </w:tc>
        <w:tc>
          <w:tcPr>
            <w:tcW w:w="0" w:type="auto"/>
            <w:hideMark/>
          </w:tcPr>
          <w:p w14:paraId="28F821EF"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显著改善</w:t>
            </w:r>
            <w:r w:rsidRPr="00CD116D">
              <w:rPr>
                <w:rFonts w:ascii="Arial" w:hAnsi="Arial" w:cs="Arial"/>
                <w:b/>
                <w:bCs/>
                <w:color w:val="1B1C1D"/>
                <w:sz w:val="20"/>
                <w:szCs w:val="20"/>
              </w:rPr>
              <w:t>，风险控制更优</w:t>
            </w:r>
          </w:p>
        </w:tc>
      </w:tr>
      <w:tr w:rsidR="00A1432E" w:rsidRPr="007242CC" w14:paraId="1BB1B4B6" w14:textId="77777777" w:rsidTr="000F5B02">
        <w:trPr>
          <w:cantSplit/>
          <w:jc w:val="center"/>
        </w:trPr>
        <w:tc>
          <w:tcPr>
            <w:tcW w:w="0" w:type="auto"/>
            <w:hideMark/>
          </w:tcPr>
          <w:p w14:paraId="2BF79C32"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年化换手率</w:t>
            </w:r>
          </w:p>
        </w:tc>
        <w:tc>
          <w:tcPr>
            <w:tcW w:w="0" w:type="auto"/>
            <w:hideMark/>
          </w:tcPr>
          <w:p w14:paraId="552FEB47"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193.12%</w:t>
            </w:r>
          </w:p>
        </w:tc>
        <w:tc>
          <w:tcPr>
            <w:tcW w:w="0" w:type="auto"/>
            <w:hideMark/>
          </w:tcPr>
          <w:p w14:paraId="2A61D6B7"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198.43%</w:t>
            </w:r>
          </w:p>
        </w:tc>
        <w:tc>
          <w:tcPr>
            <w:tcW w:w="0" w:type="auto"/>
            <w:hideMark/>
          </w:tcPr>
          <w:p w14:paraId="0676EEBE"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基本持平</w:t>
            </w:r>
          </w:p>
        </w:tc>
      </w:tr>
      <w:tr w:rsidR="00A1432E" w:rsidRPr="007242CC" w14:paraId="2036E7C6" w14:textId="77777777" w:rsidTr="000F5B02">
        <w:trPr>
          <w:cantSplit/>
          <w:jc w:val="center"/>
        </w:trPr>
        <w:tc>
          <w:tcPr>
            <w:tcW w:w="0" w:type="auto"/>
            <w:tcBorders>
              <w:bottom w:val="single" w:sz="12" w:space="0" w:color="auto"/>
            </w:tcBorders>
            <w:hideMark/>
          </w:tcPr>
          <w:p w14:paraId="0B6E5AC0"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信息比率</w:t>
            </w:r>
          </w:p>
        </w:tc>
        <w:tc>
          <w:tcPr>
            <w:tcW w:w="0" w:type="auto"/>
            <w:tcBorders>
              <w:bottom w:val="single" w:sz="12" w:space="0" w:color="auto"/>
            </w:tcBorders>
            <w:hideMark/>
          </w:tcPr>
          <w:p w14:paraId="239C26CF"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0.913</w:t>
            </w:r>
          </w:p>
        </w:tc>
        <w:tc>
          <w:tcPr>
            <w:tcW w:w="0" w:type="auto"/>
            <w:tcBorders>
              <w:bottom w:val="single" w:sz="12" w:space="0" w:color="auto"/>
            </w:tcBorders>
            <w:hideMark/>
          </w:tcPr>
          <w:p w14:paraId="38898960"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0.766</w:t>
            </w:r>
          </w:p>
        </w:tc>
        <w:tc>
          <w:tcPr>
            <w:tcW w:w="0" w:type="auto"/>
            <w:tcBorders>
              <w:bottom w:val="single" w:sz="12" w:space="0" w:color="auto"/>
            </w:tcBorders>
            <w:hideMark/>
          </w:tcPr>
          <w:p w14:paraId="0F67E7DE"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显著提升</w:t>
            </w:r>
            <w:r w:rsidRPr="00CD116D">
              <w:rPr>
                <w:rFonts w:ascii="Arial" w:hAnsi="Arial" w:cs="Arial"/>
                <w:b/>
                <w:bCs/>
                <w:color w:val="1B1C1D"/>
                <w:sz w:val="20"/>
                <w:szCs w:val="20"/>
              </w:rPr>
              <w:t>，超额收益更稳定</w:t>
            </w:r>
          </w:p>
        </w:tc>
      </w:tr>
    </w:tbl>
    <w:p w14:paraId="75664C47" w14:textId="77777777" w:rsidR="00A1432E" w:rsidRPr="00223A83" w:rsidRDefault="00A1432E" w:rsidP="00A1432E">
      <w:pPr>
        <w:spacing w:line="240" w:lineRule="auto"/>
        <w:ind w:firstLineChars="0" w:firstLine="482"/>
        <w:jc w:val="left"/>
        <w:rPr>
          <w:rFonts w:ascii="Arial" w:hAnsi="Arial" w:cs="Arial"/>
          <w:color w:val="1B1C1D"/>
        </w:rPr>
      </w:pPr>
    </w:p>
    <w:p w14:paraId="70892638" w14:textId="77777777" w:rsidR="00A1432E" w:rsidRPr="007242CC" w:rsidRDefault="00A1432E" w:rsidP="00A1432E">
      <w:pPr>
        <w:spacing w:after="240" w:line="240" w:lineRule="auto"/>
        <w:ind w:firstLineChars="0" w:firstLine="0"/>
        <w:jc w:val="left"/>
        <w:rPr>
          <w:rFonts w:ascii="Arial" w:hAnsi="Arial" w:cs="Arial"/>
          <w:color w:val="1B1C1D"/>
        </w:rPr>
      </w:pPr>
      <w:r>
        <w:rPr>
          <w:rFonts w:ascii="Arial" w:hAnsi="Arial" w:cs="Arial" w:hint="eastAsia"/>
          <w:noProof/>
          <w:color w:val="1B1C1D"/>
        </w:rPr>
        <w:drawing>
          <wp:inline distT="0" distB="0" distL="0" distR="0" wp14:anchorId="74C7B0B3" wp14:editId="2BD2B6A5">
            <wp:extent cx="6188710" cy="3426460"/>
            <wp:effectExtent l="0" t="0" r="2540" b="2540"/>
            <wp:docPr id="9724049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04984" name="图片 97240498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426460"/>
                    </a:xfrm>
                    <a:prstGeom prst="rect">
                      <a:avLst/>
                    </a:prstGeom>
                  </pic:spPr>
                </pic:pic>
              </a:graphicData>
            </a:graphic>
          </wp:inline>
        </w:drawing>
      </w:r>
    </w:p>
    <w:p w14:paraId="3F503665" w14:textId="77777777" w:rsidR="000712C6" w:rsidRPr="000712C6" w:rsidRDefault="000712C6" w:rsidP="000712C6">
      <w:pPr>
        <w:ind w:firstLine="480"/>
        <w:rPr>
          <w:rFonts w:ascii="Arial" w:hAnsi="Arial" w:cs="Arial"/>
          <w:color w:val="1B1C1D"/>
        </w:rPr>
      </w:pPr>
      <w:r w:rsidRPr="000712C6">
        <w:rPr>
          <w:rFonts w:ascii="Arial" w:hAnsi="Arial" w:cs="Arial"/>
          <w:color w:val="1B1C1D"/>
        </w:rPr>
        <w:t>对比结果清晰地揭示了估值残差模型的全面优势：</w:t>
      </w:r>
    </w:p>
    <w:p w14:paraId="0343A5EC" w14:textId="77777777" w:rsidR="000712C6" w:rsidRPr="000712C6" w:rsidRDefault="000712C6" w:rsidP="000712C6">
      <w:pPr>
        <w:numPr>
          <w:ilvl w:val="0"/>
          <w:numId w:val="18"/>
        </w:numPr>
        <w:ind w:left="0" w:firstLine="482"/>
        <w:rPr>
          <w:rFonts w:ascii="Arial" w:hAnsi="Arial" w:cs="Arial"/>
          <w:color w:val="1B1C1D"/>
        </w:rPr>
      </w:pPr>
      <w:r w:rsidRPr="000712C6">
        <w:rPr>
          <w:rFonts w:ascii="Arial" w:hAnsi="Arial" w:cs="Arial"/>
          <w:b/>
          <w:bCs/>
          <w:color w:val="1B1C1D"/>
        </w:rPr>
        <w:t>收益与效率的再次飞跃</w:t>
      </w:r>
      <w:r w:rsidRPr="000712C6">
        <w:rPr>
          <w:rFonts w:ascii="Arial" w:hAnsi="Arial" w:cs="Arial"/>
          <w:color w:val="1B1C1D"/>
        </w:rPr>
        <w:t>：估值残差模型的年化收益率和夏普比率均实现了显著提升，证明了模型在识别</w:t>
      </w:r>
      <w:r w:rsidRPr="000712C6">
        <w:rPr>
          <w:rFonts w:ascii="Arial" w:hAnsi="Arial" w:cs="Arial"/>
          <w:color w:val="1B1C1D"/>
        </w:rPr>
        <w:t>“</w:t>
      </w:r>
      <w:r w:rsidRPr="000712C6">
        <w:rPr>
          <w:rFonts w:ascii="Arial" w:hAnsi="Arial" w:cs="Arial"/>
          <w:color w:val="1B1C1D"/>
        </w:rPr>
        <w:t>错误定价</w:t>
      </w:r>
      <w:r w:rsidRPr="000712C6">
        <w:rPr>
          <w:rFonts w:ascii="Arial" w:hAnsi="Arial" w:cs="Arial"/>
          <w:color w:val="1B1C1D"/>
        </w:rPr>
        <w:t>”</w:t>
      </w:r>
      <w:r w:rsidRPr="000712C6">
        <w:rPr>
          <w:rFonts w:ascii="Arial" w:hAnsi="Arial" w:cs="Arial"/>
          <w:color w:val="1B1C1D"/>
        </w:rPr>
        <w:t>机会上具备更高的效率。</w:t>
      </w:r>
    </w:p>
    <w:p w14:paraId="5541116B" w14:textId="77777777" w:rsidR="000712C6" w:rsidRPr="000712C6" w:rsidRDefault="000712C6" w:rsidP="000712C6">
      <w:pPr>
        <w:numPr>
          <w:ilvl w:val="0"/>
          <w:numId w:val="18"/>
        </w:numPr>
        <w:ind w:left="0" w:firstLine="482"/>
        <w:rPr>
          <w:rFonts w:ascii="Arial" w:hAnsi="Arial" w:cs="Arial"/>
          <w:color w:val="1B1C1D"/>
        </w:rPr>
      </w:pPr>
      <w:r w:rsidRPr="000712C6">
        <w:rPr>
          <w:rFonts w:ascii="Arial" w:hAnsi="Arial" w:cs="Arial"/>
          <w:b/>
          <w:bCs/>
          <w:color w:val="1B1C1D"/>
        </w:rPr>
        <w:t>卓越的风险控制</w:t>
      </w:r>
      <w:r w:rsidRPr="000712C6">
        <w:rPr>
          <w:rFonts w:ascii="Arial" w:hAnsi="Arial" w:cs="Arial"/>
          <w:color w:val="1B1C1D"/>
        </w:rPr>
        <w:t>：模型的最大回撤进一步优化，展现出更强的风险防御能力。</w:t>
      </w:r>
    </w:p>
    <w:p w14:paraId="3C46290A" w14:textId="77777777" w:rsidR="000712C6" w:rsidRPr="000712C6" w:rsidRDefault="000712C6" w:rsidP="000712C6">
      <w:pPr>
        <w:numPr>
          <w:ilvl w:val="0"/>
          <w:numId w:val="18"/>
        </w:numPr>
        <w:ind w:left="0" w:firstLine="482"/>
        <w:rPr>
          <w:rFonts w:ascii="Arial" w:hAnsi="Arial" w:cs="Arial"/>
          <w:color w:val="1B1C1D"/>
        </w:rPr>
      </w:pPr>
      <w:r w:rsidRPr="000712C6">
        <w:rPr>
          <w:rFonts w:ascii="Arial" w:hAnsi="Arial" w:cs="Arial"/>
          <w:b/>
          <w:bCs/>
          <w:color w:val="1B1C1D"/>
        </w:rPr>
        <w:t>效率提升的根源</w:t>
      </w:r>
      <w:r w:rsidRPr="000712C6">
        <w:rPr>
          <w:rFonts w:ascii="Arial" w:hAnsi="Arial" w:cs="Arial"/>
          <w:color w:val="1B1C1D"/>
        </w:rPr>
        <w:t>：两个策略的年化换手率基本持平，这说明估值残差模型带来的绩效提升，并非源于更频繁的交易，而是源于</w:t>
      </w:r>
      <w:r w:rsidRPr="000712C6">
        <w:rPr>
          <w:rFonts w:ascii="Arial" w:hAnsi="Arial" w:cs="Arial"/>
          <w:b/>
          <w:bCs/>
          <w:color w:val="1B1C1D"/>
        </w:rPr>
        <w:t>选股质量的根本性提高</w:t>
      </w:r>
      <w:r w:rsidRPr="000712C6">
        <w:rPr>
          <w:rFonts w:ascii="Arial" w:hAnsi="Arial" w:cs="Arial"/>
          <w:color w:val="1B1C1D"/>
        </w:rPr>
        <w:t>。模型更精准地捕捉了价值与质量的相互关系，从而选出了更具上涨潜力的股票组合。</w:t>
      </w:r>
    </w:p>
    <w:p w14:paraId="6AA13614" w14:textId="77777777" w:rsidR="000712C6" w:rsidRPr="000712C6" w:rsidRDefault="000712C6" w:rsidP="000712C6">
      <w:pPr>
        <w:numPr>
          <w:ilvl w:val="0"/>
          <w:numId w:val="18"/>
        </w:numPr>
        <w:ind w:left="0" w:firstLine="482"/>
        <w:rPr>
          <w:rFonts w:ascii="Arial" w:hAnsi="Arial" w:cs="Arial"/>
          <w:color w:val="1B1C1D"/>
        </w:rPr>
      </w:pPr>
      <w:r w:rsidRPr="000712C6">
        <w:rPr>
          <w:rFonts w:ascii="Arial" w:hAnsi="Arial" w:cs="Arial"/>
          <w:b/>
          <w:bCs/>
          <w:color w:val="1B1C1D"/>
        </w:rPr>
        <w:t>更强的市场适应性</w:t>
      </w:r>
      <w:r w:rsidRPr="000712C6">
        <w:rPr>
          <w:rFonts w:ascii="Arial" w:hAnsi="Arial" w:cs="Arial"/>
          <w:color w:val="1B1C1D"/>
        </w:rPr>
        <w:t>：从年度收益对比来看，估值残差模型在多数年份，无论牛熊，都表现出更强的适应能力和更高的超额收益。</w:t>
      </w:r>
    </w:p>
    <w:p w14:paraId="3FD516D1" w14:textId="77777777" w:rsidR="000712C6" w:rsidRPr="000712C6" w:rsidRDefault="000712C6" w:rsidP="000712C6">
      <w:pPr>
        <w:ind w:firstLine="482"/>
        <w:rPr>
          <w:rFonts w:ascii="Arial" w:hAnsi="Arial" w:cs="Arial"/>
          <w:b/>
          <w:bCs/>
          <w:color w:val="1B1C1D"/>
        </w:rPr>
      </w:pPr>
      <w:r w:rsidRPr="000712C6">
        <w:rPr>
          <w:rFonts w:ascii="Arial" w:hAnsi="Arial" w:cs="Arial" w:hint="eastAsia"/>
          <w:b/>
          <w:bCs/>
          <w:color w:val="1B1C1D"/>
        </w:rPr>
        <w:t xml:space="preserve">3.6 </w:t>
      </w:r>
      <w:r w:rsidRPr="000712C6">
        <w:rPr>
          <w:rFonts w:ascii="Arial" w:hAnsi="Arial" w:cs="Arial" w:hint="eastAsia"/>
          <w:b/>
          <w:bCs/>
          <w:color w:val="1B1C1D"/>
        </w:rPr>
        <w:t>本章小结</w:t>
      </w:r>
    </w:p>
    <w:p w14:paraId="6CD92F9B" w14:textId="77777777" w:rsidR="000712C6" w:rsidRPr="000712C6" w:rsidRDefault="000712C6" w:rsidP="000712C6">
      <w:pPr>
        <w:ind w:firstLine="480"/>
      </w:pPr>
      <w:r w:rsidRPr="000712C6">
        <w:rPr>
          <w:rFonts w:hint="eastAsia"/>
        </w:rPr>
        <w:t>通过本章一系列详尽的分析与回测，我们可以得出结论：基于回归残差的价值发现模型，是本书迄今为止最优的策略版本。</w:t>
      </w:r>
    </w:p>
    <w:p w14:paraId="36DC4F3D" w14:textId="77777777" w:rsidR="000712C6" w:rsidRPr="000712C6" w:rsidRDefault="000712C6" w:rsidP="000712C6">
      <w:pPr>
        <w:ind w:firstLine="480"/>
      </w:pPr>
      <w:r w:rsidRPr="000712C6">
        <w:rPr>
          <w:rFonts w:hint="eastAsia"/>
        </w:rPr>
        <w:t>它在理论上更为严谨，将价值与质量两个核心因子内生地结合起来，通过寻找相对于市场普遍定价模型的“预期差”来实现超额收益。在实证层面，它在长达</w:t>
      </w:r>
      <w:r w:rsidRPr="000712C6">
        <w:rPr>
          <w:rFonts w:hint="eastAsia"/>
        </w:rPr>
        <w:t>15</w:t>
      </w:r>
      <w:r w:rsidRPr="000712C6">
        <w:rPr>
          <w:rFonts w:hint="eastAsia"/>
        </w:rPr>
        <w:t>年的回测中，于绝对收益、风险调整后收益、风险控制等几乎所有维度上，都显著优于此前所有的策略版本。</w:t>
      </w:r>
    </w:p>
    <w:p w14:paraId="5CEEE27E" w14:textId="77777777" w:rsidR="000712C6" w:rsidRPr="000712C6" w:rsidRDefault="000712C6" w:rsidP="000712C6">
      <w:pPr>
        <w:ind w:firstLine="480"/>
      </w:pPr>
      <w:r w:rsidRPr="000712C6">
        <w:rPr>
          <w:rFonts w:hint="eastAsia"/>
        </w:rPr>
        <w:t>这次从“因子组合”到“模型驱动”的演进，是</w:t>
      </w:r>
      <w:r w:rsidRPr="000712C6">
        <w:rPr>
          <w:rFonts w:hint="eastAsia"/>
        </w:rPr>
        <w:t>PB-ROE</w:t>
      </w:r>
      <w:r w:rsidRPr="000712C6">
        <w:rPr>
          <w:rFonts w:hint="eastAsia"/>
        </w:rPr>
        <w:t>策略框架的一次根本性升华。它不仅为我们提供了一个历史表现优异的量化模型，更重要的是，它验证了一个核心的投资思想：最稳健的超额收益，源于对市场定价逻辑的深刻理解和有效利用。</w:t>
      </w:r>
    </w:p>
    <w:p w14:paraId="571E1D8B" w14:textId="221DE870" w:rsidR="00FD6B55" w:rsidRDefault="000712C6" w:rsidP="000712C6">
      <w:pPr>
        <w:ind w:firstLine="480"/>
      </w:pPr>
      <w:r w:rsidRPr="000712C6">
        <w:rPr>
          <w:rFonts w:hint="eastAsia"/>
        </w:rPr>
        <w:t>该模型将作为本书后续所有讨论的最终基准，我们将在其之上，进一步探索多因子模型的构建以及其他可能的优化方向。</w:t>
      </w:r>
    </w:p>
    <w:p w14:paraId="0313150B" w14:textId="40685640" w:rsidR="00151F46" w:rsidRDefault="00151F46" w:rsidP="00151F46">
      <w:pPr>
        <w:ind w:left="62" w:firstLineChars="0" w:firstLine="420"/>
        <w:outlineLvl w:val="0"/>
        <w:rPr>
          <w:b/>
          <w:bCs/>
          <w:sz w:val="36"/>
          <w:szCs w:val="36"/>
        </w:rPr>
      </w:pPr>
      <w:r>
        <w:rPr>
          <w:rFonts w:hint="eastAsia"/>
          <w:b/>
          <w:bCs/>
          <w:sz w:val="36"/>
          <w:szCs w:val="36"/>
        </w:rPr>
        <w:t>第二篇</w:t>
      </w:r>
      <w:r>
        <w:rPr>
          <w:rFonts w:hint="eastAsia"/>
          <w:b/>
          <w:bCs/>
          <w:sz w:val="36"/>
          <w:szCs w:val="36"/>
        </w:rPr>
        <w:t xml:space="preserve"> </w:t>
      </w:r>
      <w:r w:rsidR="00482421" w:rsidRPr="00151F46">
        <w:rPr>
          <w:rFonts w:hint="eastAsia"/>
          <w:b/>
          <w:bCs/>
          <w:sz w:val="36"/>
          <w:szCs w:val="36"/>
        </w:rPr>
        <w:t>跳出价值陷阱</w:t>
      </w:r>
    </w:p>
    <w:p w14:paraId="569A999F" w14:textId="77777777" w:rsidR="00482421" w:rsidRPr="00FD7FEC" w:rsidRDefault="00482421" w:rsidP="00482421">
      <w:pPr>
        <w:ind w:firstLine="480"/>
      </w:pPr>
      <w:r w:rsidRPr="00FD7FEC">
        <w:t>在价值投资中，</w:t>
      </w:r>
      <w:r w:rsidRPr="00FD7FEC">
        <w:t>"</w:t>
      </w:r>
      <w:r w:rsidRPr="00FD7FEC">
        <w:t>价值陷阱</w:t>
      </w:r>
      <w:r w:rsidRPr="00FD7FEC">
        <w:t>"</w:t>
      </w:r>
      <w:r w:rsidRPr="00FD7FEC">
        <w:t>（</w:t>
      </w:r>
      <w:r w:rsidRPr="00FD7FEC">
        <w:t>Value Trap</w:t>
      </w:r>
      <w:r w:rsidRPr="00FD7FEC">
        <w:t>）是指那些表面上看起来被低估、具有吸引力的股票，但实际上由于基本面持续恶化或行业结构性衰退，其价格长期低迷甚至继续下跌，导致投资者因</w:t>
      </w:r>
      <w:r w:rsidRPr="00FD7FEC">
        <w:t>"</w:t>
      </w:r>
      <w:r w:rsidRPr="00FD7FEC">
        <w:t>贪便宜</w:t>
      </w:r>
      <w:r w:rsidRPr="00FD7FEC">
        <w:t>"</w:t>
      </w:r>
      <w:r w:rsidRPr="00FD7FEC">
        <w:t>而遭受损失的现象。这类股票的关键特征是：</w:t>
      </w:r>
      <w:r w:rsidRPr="00FD7FEC">
        <w:t>​</w:t>
      </w:r>
      <w:r w:rsidRPr="00FD7FEC">
        <w:rPr>
          <w:b/>
          <w:bCs/>
        </w:rPr>
        <w:t>估值便宜是假象，内在价值仍在持续衰减</w:t>
      </w:r>
      <w:r w:rsidRPr="00FD7FEC">
        <w:t>。</w:t>
      </w:r>
    </w:p>
    <w:p w14:paraId="04044B99" w14:textId="77777777" w:rsidR="00482421" w:rsidRPr="00FD7FEC" w:rsidRDefault="00482421" w:rsidP="00482421">
      <w:pPr>
        <w:ind w:firstLine="482"/>
        <w:rPr>
          <w:b/>
          <w:bCs/>
        </w:rPr>
      </w:pPr>
      <w:r w:rsidRPr="00FD7FEC">
        <w:rPr>
          <w:b/>
          <w:bCs/>
        </w:rPr>
        <w:lastRenderedPageBreak/>
        <w:t>价值陷阱的典型特征：</w:t>
      </w:r>
    </w:p>
    <w:p w14:paraId="08E1786C" w14:textId="77777777" w:rsidR="00482421" w:rsidRPr="00482421" w:rsidRDefault="00482421" w:rsidP="00482421">
      <w:pPr>
        <w:numPr>
          <w:ilvl w:val="0"/>
          <w:numId w:val="27"/>
        </w:numPr>
        <w:ind w:firstLine="480"/>
      </w:pPr>
      <w:r w:rsidRPr="00FD7FEC">
        <w:t>​</w:t>
      </w:r>
      <w:r>
        <w:rPr>
          <w:rFonts w:hint="eastAsia"/>
          <w:b/>
          <w:bCs/>
        </w:rPr>
        <w:t>资产质量</w:t>
      </w:r>
    </w:p>
    <w:p w14:paraId="33D4D019" w14:textId="0F4FF11C" w:rsidR="00482421" w:rsidRPr="00FD7FEC" w:rsidRDefault="00482421" w:rsidP="00482421">
      <w:pPr>
        <w:ind w:left="1200" w:firstLineChars="0" w:firstLine="0"/>
      </w:pPr>
      <w:r w:rsidRPr="00FD7FEC">
        <w:t>资产质量恶化的问题。</w:t>
      </w:r>
    </w:p>
    <w:p w14:paraId="06402CAC" w14:textId="77777777" w:rsidR="00482421" w:rsidRPr="00FD7FEC" w:rsidRDefault="00482421" w:rsidP="00482421">
      <w:pPr>
        <w:numPr>
          <w:ilvl w:val="0"/>
          <w:numId w:val="27"/>
        </w:numPr>
        <w:ind w:firstLine="480"/>
      </w:pPr>
      <w:r w:rsidRPr="00FD7FEC">
        <w:t>​</w:t>
      </w:r>
      <w:r w:rsidRPr="00FD7FEC">
        <w:rPr>
          <w:b/>
          <w:bCs/>
        </w:rPr>
        <w:t>基本面持续恶化</w:t>
      </w:r>
      <w:r w:rsidRPr="00FD7FEC">
        <w:t>​</w:t>
      </w:r>
    </w:p>
    <w:p w14:paraId="66FE70F0" w14:textId="77777777" w:rsidR="00482421" w:rsidRPr="00FD7FEC" w:rsidRDefault="00482421" w:rsidP="00482421">
      <w:pPr>
        <w:numPr>
          <w:ilvl w:val="1"/>
          <w:numId w:val="27"/>
        </w:numPr>
        <w:ind w:firstLine="480"/>
      </w:pPr>
      <w:r w:rsidRPr="00FD7FEC">
        <w:t>​</w:t>
      </w:r>
      <w:r w:rsidRPr="00FD7FEC">
        <w:rPr>
          <w:b/>
          <w:bCs/>
        </w:rPr>
        <w:t>盈利下滑</w:t>
      </w:r>
      <w:r w:rsidRPr="00FD7FEC">
        <w:t>​</w:t>
      </w:r>
      <w:r w:rsidRPr="00FD7FEC">
        <w:t>：当前的低估值反映的是未来盈利的崩溃（如行业需求萎缩、技术淘汰）。</w:t>
      </w:r>
    </w:p>
    <w:p w14:paraId="4A3F98B4" w14:textId="77777777" w:rsidR="00482421" w:rsidRPr="00FD7FEC" w:rsidRDefault="00482421" w:rsidP="00482421">
      <w:pPr>
        <w:numPr>
          <w:ilvl w:val="1"/>
          <w:numId w:val="27"/>
        </w:numPr>
        <w:ind w:firstLine="480"/>
      </w:pPr>
      <w:r w:rsidRPr="00FD7FEC">
        <w:t>​</w:t>
      </w:r>
      <w:r w:rsidRPr="00FD7FEC">
        <w:rPr>
          <w:b/>
          <w:bCs/>
        </w:rPr>
        <w:t>资产虚高</w:t>
      </w:r>
      <w:r w:rsidRPr="00FD7FEC">
        <w:t>​</w:t>
      </w:r>
      <w:r w:rsidRPr="00FD7FEC">
        <w:t>：账面资产（如存货、固定资产）的实际变现价值远低于报表数字（例如传统零售业的线下门店资产）。</w:t>
      </w:r>
    </w:p>
    <w:p w14:paraId="04D2125A" w14:textId="77777777" w:rsidR="00482421" w:rsidRPr="00FD7FEC" w:rsidRDefault="00482421" w:rsidP="00482421">
      <w:pPr>
        <w:numPr>
          <w:ilvl w:val="1"/>
          <w:numId w:val="27"/>
        </w:numPr>
        <w:ind w:firstLine="480"/>
      </w:pPr>
      <w:r w:rsidRPr="00FD7FEC">
        <w:t>​</w:t>
      </w:r>
      <w:r w:rsidRPr="00FD7FEC">
        <w:rPr>
          <w:b/>
          <w:bCs/>
        </w:rPr>
        <w:t>高负债或现金流枯竭</w:t>
      </w:r>
      <w:r w:rsidRPr="00FD7FEC">
        <w:t>​</w:t>
      </w:r>
      <w:r w:rsidRPr="00FD7FEC">
        <w:t>：企业可能通过借贷维持分红或运营，但自由现金流长期为负。</w:t>
      </w:r>
    </w:p>
    <w:p w14:paraId="0A16BBD3" w14:textId="77777777" w:rsidR="00482421" w:rsidRPr="00FD7FEC" w:rsidRDefault="00482421" w:rsidP="00482421">
      <w:pPr>
        <w:numPr>
          <w:ilvl w:val="0"/>
          <w:numId w:val="27"/>
        </w:numPr>
        <w:ind w:firstLine="480"/>
      </w:pPr>
      <w:r w:rsidRPr="00FD7FEC">
        <w:t>​</w:t>
      </w:r>
      <w:r w:rsidRPr="00FD7FEC">
        <w:rPr>
          <w:b/>
          <w:bCs/>
        </w:rPr>
        <w:t>行业结构性衰退</w:t>
      </w:r>
      <w:r w:rsidRPr="00FD7FEC">
        <w:t>​</w:t>
      </w:r>
      <w:r w:rsidRPr="00FD7FEC">
        <w:br/>
      </w:r>
      <w:r w:rsidRPr="00FD7FEC">
        <w:t>所处行业面临不可逆的衰退（如胶卷相机被数码技术取代、煤炭能源被清洁能源挤压），企业缺乏转型能力。</w:t>
      </w:r>
    </w:p>
    <w:p w14:paraId="253038D0" w14:textId="77777777" w:rsidR="00482421" w:rsidRPr="00FD7FEC" w:rsidRDefault="00482421" w:rsidP="00482421">
      <w:pPr>
        <w:numPr>
          <w:ilvl w:val="0"/>
          <w:numId w:val="27"/>
        </w:numPr>
        <w:ind w:firstLine="480"/>
      </w:pPr>
      <w:r w:rsidRPr="00FD7FEC">
        <w:t>​</w:t>
      </w:r>
      <w:r w:rsidRPr="00FD7FEC">
        <w:rPr>
          <w:b/>
          <w:bCs/>
        </w:rPr>
        <w:t>管理层问题</w:t>
      </w:r>
      <w:r w:rsidRPr="00FD7FEC">
        <w:t>​</w:t>
      </w:r>
      <w:r w:rsidRPr="00FD7FEC">
        <w:br/>
      </w:r>
      <w:r w:rsidRPr="00FD7FEC">
        <w:t>战略失误、盲目扩张、财务造假，或通过会计手段（如一次性收益）掩盖核心业务疲软。</w:t>
      </w:r>
    </w:p>
    <w:p w14:paraId="46004F04" w14:textId="77777777" w:rsidR="00482421" w:rsidRPr="00FD7FEC" w:rsidRDefault="00482421" w:rsidP="00482421">
      <w:pPr>
        <w:ind w:firstLine="480"/>
      </w:pPr>
      <w:r w:rsidRPr="00FD7FEC">
        <w:pict w14:anchorId="45786C9F">
          <v:rect id="_x0000_i1090" style="width:0;height:1.5pt" o:hralign="center" o:hrstd="t" o:hr="t" fillcolor="#a0a0a0" stroked="f"/>
        </w:pict>
      </w:r>
    </w:p>
    <w:p w14:paraId="14E422EC" w14:textId="77777777" w:rsidR="00482421" w:rsidRPr="00FD7FEC" w:rsidRDefault="00482421" w:rsidP="00482421">
      <w:pPr>
        <w:ind w:firstLine="482"/>
        <w:rPr>
          <w:b/>
          <w:bCs/>
        </w:rPr>
      </w:pPr>
      <w:r w:rsidRPr="00FD7FEC">
        <w:rPr>
          <w:b/>
          <w:bCs/>
        </w:rPr>
        <w:t>常见类型：</w:t>
      </w:r>
    </w:p>
    <w:p w14:paraId="0F1C82BE" w14:textId="77777777" w:rsidR="00482421" w:rsidRPr="00FD7FEC" w:rsidRDefault="00482421" w:rsidP="00482421">
      <w:pPr>
        <w:numPr>
          <w:ilvl w:val="0"/>
          <w:numId w:val="28"/>
        </w:numPr>
        <w:ind w:firstLine="480"/>
      </w:pPr>
      <w:r w:rsidRPr="00FD7FEC">
        <w:t>​</w:t>
      </w:r>
      <w:r w:rsidRPr="00FD7FEC">
        <w:rPr>
          <w:b/>
          <w:bCs/>
        </w:rPr>
        <w:t>周期股陷阱</w:t>
      </w:r>
      <w:r w:rsidRPr="00FD7FEC">
        <w:t>​</w:t>
      </w:r>
      <w:r w:rsidRPr="00FD7FEC">
        <w:t>：强周期行业（如航运、钢铁）在景气高点时盈利虚高，</w:t>
      </w:r>
      <w:r w:rsidRPr="00FD7FEC">
        <w:t>PE</w:t>
      </w:r>
      <w:r w:rsidRPr="00FD7FEC">
        <w:t>看似极低，但随后进入漫长下行周期。</w:t>
      </w:r>
    </w:p>
    <w:p w14:paraId="53D05FAE" w14:textId="77777777" w:rsidR="00482421" w:rsidRPr="00FD7FEC" w:rsidRDefault="00482421" w:rsidP="00482421">
      <w:pPr>
        <w:numPr>
          <w:ilvl w:val="0"/>
          <w:numId w:val="28"/>
        </w:numPr>
        <w:ind w:firstLine="480"/>
      </w:pPr>
      <w:r w:rsidRPr="00FD7FEC">
        <w:t>​</w:t>
      </w:r>
      <w:r w:rsidRPr="00FD7FEC">
        <w:rPr>
          <w:b/>
          <w:bCs/>
        </w:rPr>
        <w:t>高股息陷阱</w:t>
      </w:r>
      <w:r w:rsidRPr="00FD7FEC">
        <w:t>​</w:t>
      </w:r>
      <w:r w:rsidRPr="00FD7FEC">
        <w:t>：股息率虽高，但股息不可持续（如动用债务分红），最终可能削减或取消股息。</w:t>
      </w:r>
    </w:p>
    <w:p w14:paraId="7BF379F0" w14:textId="77777777" w:rsidR="00482421" w:rsidRPr="00FD7FEC" w:rsidRDefault="00482421" w:rsidP="00482421">
      <w:pPr>
        <w:numPr>
          <w:ilvl w:val="0"/>
          <w:numId w:val="28"/>
        </w:numPr>
        <w:ind w:firstLine="480"/>
      </w:pPr>
      <w:r w:rsidRPr="00FD7FEC">
        <w:t>​</w:t>
      </w:r>
      <w:r w:rsidRPr="00FD7FEC">
        <w:rPr>
          <w:b/>
          <w:bCs/>
        </w:rPr>
        <w:t>技术淘汰陷阱</w:t>
      </w:r>
      <w:r w:rsidRPr="00FD7FEC">
        <w:t>​</w:t>
      </w:r>
      <w:r w:rsidRPr="00FD7FEC">
        <w:t>：如传统燃油车供应链企业未能转型电动车，即使</w:t>
      </w:r>
      <w:r w:rsidRPr="00FD7FEC">
        <w:t>PB&lt;0.5</w:t>
      </w:r>
      <w:r w:rsidRPr="00FD7FEC">
        <w:t>也可能被市场抛弃。</w:t>
      </w:r>
    </w:p>
    <w:p w14:paraId="4699E353" w14:textId="77777777" w:rsidR="00482421" w:rsidRPr="00FD7FEC" w:rsidRDefault="00482421" w:rsidP="00482421">
      <w:pPr>
        <w:ind w:firstLine="480"/>
      </w:pPr>
      <w:r w:rsidRPr="00FD7FEC">
        <w:pict w14:anchorId="37EBF55E">
          <v:rect id="_x0000_i1091" style="width:0;height:1.5pt" o:hralign="center" o:hrstd="t" o:hr="t" fillcolor="#a0a0a0" stroked="f"/>
        </w:pict>
      </w:r>
    </w:p>
    <w:p w14:paraId="18B2B9CD" w14:textId="77777777" w:rsidR="00482421" w:rsidRPr="00FD7FEC" w:rsidRDefault="00482421" w:rsidP="00482421">
      <w:pPr>
        <w:ind w:firstLine="482"/>
        <w:rPr>
          <w:b/>
          <w:bCs/>
        </w:rPr>
      </w:pPr>
      <w:r w:rsidRPr="00FD7FEC">
        <w:rPr>
          <w:b/>
          <w:bCs/>
        </w:rPr>
        <w:t>如何避免价值陷阱？</w:t>
      </w:r>
    </w:p>
    <w:p w14:paraId="1B8EAE5D" w14:textId="77777777" w:rsidR="00482421" w:rsidRPr="00FD7FEC" w:rsidRDefault="00482421" w:rsidP="00482421">
      <w:pPr>
        <w:numPr>
          <w:ilvl w:val="0"/>
          <w:numId w:val="29"/>
        </w:numPr>
        <w:ind w:firstLine="480"/>
      </w:pPr>
      <w:r w:rsidRPr="00FD7FEC">
        <w:t>​</w:t>
      </w:r>
      <w:r w:rsidRPr="00FD7FEC">
        <w:rPr>
          <w:b/>
          <w:bCs/>
        </w:rPr>
        <w:t>深挖基本面</w:t>
      </w:r>
      <w:r w:rsidRPr="00FD7FEC">
        <w:t>​</w:t>
      </w:r>
    </w:p>
    <w:p w14:paraId="4BC3E4CD" w14:textId="77777777" w:rsidR="00482421" w:rsidRPr="00FD7FEC" w:rsidRDefault="00482421" w:rsidP="00482421">
      <w:pPr>
        <w:numPr>
          <w:ilvl w:val="1"/>
          <w:numId w:val="29"/>
        </w:numPr>
        <w:ind w:firstLine="480"/>
      </w:pPr>
      <w:r w:rsidRPr="00FD7FEC">
        <w:t>分析自由现金流（</w:t>
      </w:r>
      <w:r w:rsidRPr="00FD7FEC">
        <w:t>FCF</w:t>
      </w:r>
      <w:r w:rsidRPr="00FD7FEC">
        <w:t>）而非仅看会计利润。</w:t>
      </w:r>
    </w:p>
    <w:p w14:paraId="352D5D19" w14:textId="77777777" w:rsidR="00482421" w:rsidRPr="00FD7FEC" w:rsidRDefault="00482421" w:rsidP="00482421">
      <w:pPr>
        <w:numPr>
          <w:ilvl w:val="1"/>
          <w:numId w:val="29"/>
        </w:numPr>
        <w:ind w:firstLine="480"/>
      </w:pPr>
      <w:r w:rsidRPr="00FD7FEC">
        <w:t>检查资产负债表质量（如应收账款是否激增、商誉是否过高）。</w:t>
      </w:r>
    </w:p>
    <w:p w14:paraId="28594CA5" w14:textId="77777777" w:rsidR="00482421" w:rsidRPr="00FD7FEC" w:rsidRDefault="00482421" w:rsidP="00482421">
      <w:pPr>
        <w:numPr>
          <w:ilvl w:val="0"/>
          <w:numId w:val="29"/>
        </w:numPr>
        <w:ind w:firstLine="480"/>
      </w:pPr>
      <w:r w:rsidRPr="00FD7FEC">
        <w:t>​</w:t>
      </w:r>
      <w:r w:rsidRPr="00FD7FEC">
        <w:rPr>
          <w:b/>
          <w:bCs/>
        </w:rPr>
        <w:t>判断行业趋势</w:t>
      </w:r>
      <w:r w:rsidRPr="00FD7FEC">
        <w:t>​</w:t>
      </w:r>
    </w:p>
    <w:p w14:paraId="04DE1124" w14:textId="77777777" w:rsidR="00482421" w:rsidRPr="00FD7FEC" w:rsidRDefault="00482421" w:rsidP="00482421">
      <w:pPr>
        <w:numPr>
          <w:ilvl w:val="1"/>
          <w:numId w:val="29"/>
        </w:numPr>
        <w:ind w:firstLine="480"/>
      </w:pPr>
      <w:r w:rsidRPr="00FD7FEC">
        <w:t>行业是否处于技术颠覆、政策打压或需求永久性下降的拐点？</w:t>
      </w:r>
    </w:p>
    <w:p w14:paraId="56443239" w14:textId="77777777" w:rsidR="00482421" w:rsidRPr="00FD7FEC" w:rsidRDefault="00482421" w:rsidP="00482421">
      <w:pPr>
        <w:numPr>
          <w:ilvl w:val="1"/>
          <w:numId w:val="29"/>
        </w:numPr>
        <w:ind w:firstLine="480"/>
      </w:pPr>
      <w:r w:rsidRPr="00FD7FEC">
        <w:t>企业是否有护城河（品牌、成本优势、网络效应）抵御竞争？</w:t>
      </w:r>
    </w:p>
    <w:p w14:paraId="11478BA1" w14:textId="77777777" w:rsidR="00482421" w:rsidRPr="00FD7FEC" w:rsidRDefault="00482421" w:rsidP="00482421">
      <w:pPr>
        <w:numPr>
          <w:ilvl w:val="0"/>
          <w:numId w:val="29"/>
        </w:numPr>
        <w:ind w:firstLine="480"/>
      </w:pPr>
      <w:r w:rsidRPr="00FD7FEC">
        <w:t>​</w:t>
      </w:r>
      <w:r w:rsidRPr="00FD7FEC">
        <w:rPr>
          <w:b/>
          <w:bCs/>
        </w:rPr>
        <w:t>动态评估管理层</w:t>
      </w:r>
      <w:r w:rsidRPr="00FD7FEC">
        <w:t>​</w:t>
      </w:r>
    </w:p>
    <w:p w14:paraId="00C44794" w14:textId="77777777" w:rsidR="00482421" w:rsidRPr="00FD7FEC" w:rsidRDefault="00482421" w:rsidP="00482421">
      <w:pPr>
        <w:numPr>
          <w:ilvl w:val="1"/>
          <w:numId w:val="29"/>
        </w:numPr>
        <w:ind w:firstLine="480"/>
      </w:pPr>
      <w:r w:rsidRPr="00FD7FEC">
        <w:t>管理层是否诚实、有能力且股东利益一致？</w:t>
      </w:r>
    </w:p>
    <w:p w14:paraId="04FAB310" w14:textId="77777777" w:rsidR="00482421" w:rsidRPr="00FD7FEC" w:rsidRDefault="00482421" w:rsidP="00482421">
      <w:pPr>
        <w:numPr>
          <w:ilvl w:val="1"/>
          <w:numId w:val="29"/>
        </w:numPr>
        <w:ind w:firstLine="480"/>
      </w:pPr>
      <w:r w:rsidRPr="00FD7FEC">
        <w:t>是否在积极应对变化（如剥离不良资产、投入研发）？</w:t>
      </w:r>
    </w:p>
    <w:p w14:paraId="20B42C6E" w14:textId="77777777" w:rsidR="00482421" w:rsidRPr="00FD7FEC" w:rsidRDefault="00482421" w:rsidP="00482421">
      <w:pPr>
        <w:numPr>
          <w:ilvl w:val="0"/>
          <w:numId w:val="29"/>
        </w:numPr>
        <w:ind w:firstLine="480"/>
      </w:pPr>
      <w:r w:rsidRPr="00FD7FEC">
        <w:lastRenderedPageBreak/>
        <w:t>​</w:t>
      </w:r>
      <w:r w:rsidRPr="00FD7FEC">
        <w:rPr>
          <w:b/>
          <w:bCs/>
        </w:rPr>
        <w:t>逆向思维验证</w:t>
      </w:r>
      <w:r w:rsidRPr="00FD7FEC">
        <w:t>​</w:t>
      </w:r>
    </w:p>
    <w:p w14:paraId="3B193F1A" w14:textId="77777777" w:rsidR="00482421" w:rsidRPr="00FD7FEC" w:rsidRDefault="00482421" w:rsidP="00482421">
      <w:pPr>
        <w:numPr>
          <w:ilvl w:val="1"/>
          <w:numId w:val="29"/>
        </w:numPr>
        <w:ind w:firstLine="480"/>
      </w:pPr>
      <w:r w:rsidRPr="00FD7FEC">
        <w:t>为什么市场长期给予低估值？是否存在自己未察觉的风险？</w:t>
      </w:r>
    </w:p>
    <w:p w14:paraId="52969968" w14:textId="77777777" w:rsidR="00482421" w:rsidRPr="00FD7FEC" w:rsidRDefault="00482421" w:rsidP="00482421">
      <w:pPr>
        <w:numPr>
          <w:ilvl w:val="1"/>
          <w:numId w:val="29"/>
        </w:numPr>
        <w:ind w:firstLine="480"/>
      </w:pPr>
      <w:r w:rsidRPr="00FD7FEC">
        <w:t>对比同行业企业：如果只有这一家</w:t>
      </w:r>
      <w:r w:rsidRPr="00FD7FEC">
        <w:t>"</w:t>
      </w:r>
      <w:r w:rsidRPr="00FD7FEC">
        <w:t>便宜</w:t>
      </w:r>
      <w:r w:rsidRPr="00FD7FEC">
        <w:t>"</w:t>
      </w:r>
      <w:r w:rsidRPr="00FD7FEC">
        <w:t>，需警惕特殊性风险。</w:t>
      </w:r>
    </w:p>
    <w:p w14:paraId="7687FB8D" w14:textId="77777777" w:rsidR="00482421" w:rsidRPr="00FD7FEC" w:rsidRDefault="00482421" w:rsidP="00482421">
      <w:pPr>
        <w:ind w:firstLine="480"/>
      </w:pPr>
      <w:r w:rsidRPr="00FD7FEC">
        <w:pict w14:anchorId="7230D64F">
          <v:rect id="_x0000_i1092" style="width:0;height:1.5pt" o:hralign="center" o:hrstd="t" o:hr="t" fillcolor="#a0a0a0" stroked="f"/>
        </w:pict>
      </w:r>
    </w:p>
    <w:p w14:paraId="59CA4915" w14:textId="77777777" w:rsidR="00482421" w:rsidRPr="00FD7FEC" w:rsidRDefault="00482421" w:rsidP="00482421">
      <w:pPr>
        <w:ind w:firstLine="482"/>
        <w:rPr>
          <w:b/>
          <w:bCs/>
        </w:rPr>
      </w:pPr>
      <w:r w:rsidRPr="00FD7FEC">
        <w:rPr>
          <w:b/>
          <w:bCs/>
        </w:rPr>
        <w:t>经典案例：</w:t>
      </w:r>
    </w:p>
    <w:p w14:paraId="40628405" w14:textId="77777777" w:rsidR="00482421" w:rsidRPr="00FD7FEC" w:rsidRDefault="00482421" w:rsidP="00482421">
      <w:pPr>
        <w:numPr>
          <w:ilvl w:val="0"/>
          <w:numId w:val="30"/>
        </w:numPr>
        <w:ind w:firstLine="480"/>
      </w:pPr>
      <w:r w:rsidRPr="00FD7FEC">
        <w:t>​</w:t>
      </w:r>
      <w:r w:rsidRPr="00FD7FEC">
        <w:rPr>
          <w:b/>
          <w:bCs/>
        </w:rPr>
        <w:t>柯达（</w:t>
      </w:r>
      <w:r w:rsidRPr="00FD7FEC">
        <w:rPr>
          <w:b/>
          <w:bCs/>
        </w:rPr>
        <w:t>Kodak</w:t>
      </w:r>
      <w:r w:rsidRPr="00FD7FEC">
        <w:rPr>
          <w:b/>
          <w:bCs/>
        </w:rPr>
        <w:t>）</w:t>
      </w:r>
      <w:r w:rsidRPr="00FD7FEC">
        <w:rPr>
          <w:b/>
          <w:bCs/>
        </w:rPr>
        <w:t>​</w:t>
      </w:r>
      <w:r w:rsidRPr="00FD7FEC">
        <w:t>​</w:t>
      </w:r>
      <w:r w:rsidRPr="00FD7FEC">
        <w:t>：数码相机普及后，其传统胶卷业务估值再低也难逃破产。</w:t>
      </w:r>
    </w:p>
    <w:p w14:paraId="1E6F820B" w14:textId="77777777" w:rsidR="00482421" w:rsidRPr="00FD7FEC" w:rsidRDefault="00482421" w:rsidP="00482421">
      <w:pPr>
        <w:numPr>
          <w:ilvl w:val="0"/>
          <w:numId w:val="30"/>
        </w:numPr>
        <w:ind w:firstLine="480"/>
      </w:pPr>
      <w:r w:rsidRPr="00FD7FEC">
        <w:t>​</w:t>
      </w:r>
      <w:r w:rsidRPr="00FD7FEC">
        <w:rPr>
          <w:b/>
          <w:bCs/>
        </w:rPr>
        <w:t>通用电气（</w:t>
      </w:r>
      <w:r w:rsidRPr="00FD7FEC">
        <w:rPr>
          <w:b/>
          <w:bCs/>
        </w:rPr>
        <w:t>GE</w:t>
      </w:r>
      <w:r w:rsidRPr="00FD7FEC">
        <w:rPr>
          <w:b/>
          <w:bCs/>
        </w:rPr>
        <w:t>）</w:t>
      </w:r>
      <w:r w:rsidRPr="00FD7FEC">
        <w:rPr>
          <w:b/>
          <w:bCs/>
        </w:rPr>
        <w:t>​</w:t>
      </w:r>
      <w:r w:rsidRPr="00FD7FEC">
        <w:t>​</w:t>
      </w:r>
      <w:r w:rsidRPr="00FD7FEC">
        <w:t>：曾因多元化扩张和金融业务拖累，股价从</w:t>
      </w:r>
      <w:r w:rsidRPr="00FD7FEC">
        <w:t>2000</w:t>
      </w:r>
      <w:r w:rsidRPr="00FD7FEC">
        <w:t>年高点下跌超</w:t>
      </w:r>
      <w:r w:rsidRPr="00FD7FEC">
        <w:t>90%</w:t>
      </w:r>
      <w:r w:rsidRPr="00FD7FEC">
        <w:t>。</w:t>
      </w:r>
    </w:p>
    <w:p w14:paraId="36DCABC0" w14:textId="77777777" w:rsidR="00482421" w:rsidRPr="00FD7FEC" w:rsidRDefault="00482421" w:rsidP="00482421">
      <w:pPr>
        <w:numPr>
          <w:ilvl w:val="0"/>
          <w:numId w:val="30"/>
        </w:numPr>
        <w:ind w:firstLine="480"/>
      </w:pPr>
      <w:r w:rsidRPr="00FD7FEC">
        <w:t>​</w:t>
      </w:r>
      <w:r w:rsidRPr="00FD7FEC">
        <w:rPr>
          <w:b/>
          <w:bCs/>
        </w:rPr>
        <w:t>某些银行股</w:t>
      </w:r>
      <w:r w:rsidRPr="00FD7FEC">
        <w:t>​</w:t>
      </w:r>
      <w:r w:rsidRPr="00FD7FEC">
        <w:t>：</w:t>
      </w:r>
      <w:r w:rsidRPr="00FD7FEC">
        <w:t>2008</w:t>
      </w:r>
      <w:r w:rsidRPr="00FD7FEC">
        <w:t>年金融危机期间，部分银行</w:t>
      </w:r>
      <w:r w:rsidRPr="00FD7FEC">
        <w:t>PB&lt;1</w:t>
      </w:r>
      <w:r w:rsidRPr="00FD7FEC">
        <w:t>但实际已资不抵债。</w:t>
      </w:r>
    </w:p>
    <w:p w14:paraId="4AB5B0BA" w14:textId="77777777" w:rsidR="00482421" w:rsidRPr="00FD7FEC" w:rsidRDefault="00482421" w:rsidP="00482421">
      <w:pPr>
        <w:ind w:firstLine="480"/>
      </w:pPr>
      <w:r w:rsidRPr="00FD7FEC">
        <w:t>价值投资的核心是</w:t>
      </w:r>
      <w:r w:rsidRPr="00FD7FEC">
        <w:t>"</w:t>
      </w:r>
      <w:r w:rsidRPr="00FD7FEC">
        <w:t>用合理价格买优秀企业</w:t>
      </w:r>
      <w:r w:rsidRPr="00FD7FEC">
        <w:t>"</w:t>
      </w:r>
      <w:r w:rsidRPr="00FD7FEC">
        <w:t>，而非</w:t>
      </w:r>
      <w:r w:rsidRPr="00FD7FEC">
        <w:t>"</w:t>
      </w:r>
      <w:r w:rsidRPr="00FD7FEC">
        <w:t>用低价买平庸企业</w:t>
      </w:r>
      <w:r w:rsidRPr="00FD7FEC">
        <w:t>"</w:t>
      </w:r>
      <w:r w:rsidRPr="00FD7FEC">
        <w:t>。避免价值陷阱的关键在于：</w:t>
      </w:r>
      <w:r w:rsidRPr="00FD7FEC">
        <w:t>​</w:t>
      </w:r>
      <w:r w:rsidRPr="00FD7FEC">
        <w:rPr>
          <w:b/>
          <w:bCs/>
        </w:rPr>
        <w:t>区分</w:t>
      </w:r>
      <w:r w:rsidRPr="00FD7FEC">
        <w:rPr>
          <w:b/>
          <w:bCs/>
        </w:rPr>
        <w:t>"</w:t>
      </w:r>
      <w:r w:rsidRPr="00FD7FEC">
        <w:rPr>
          <w:b/>
          <w:bCs/>
        </w:rPr>
        <w:t>价格低于价值</w:t>
      </w:r>
      <w:r w:rsidRPr="00FD7FEC">
        <w:rPr>
          <w:b/>
          <w:bCs/>
        </w:rPr>
        <w:t>"</w:t>
      </w:r>
      <w:r w:rsidRPr="00FD7FEC">
        <w:rPr>
          <w:b/>
          <w:bCs/>
        </w:rPr>
        <w:t>与</w:t>
      </w:r>
      <w:r w:rsidRPr="00FD7FEC">
        <w:rPr>
          <w:b/>
          <w:bCs/>
        </w:rPr>
        <w:t>"</w:t>
      </w:r>
      <w:r w:rsidRPr="00FD7FEC">
        <w:rPr>
          <w:b/>
          <w:bCs/>
        </w:rPr>
        <w:t>价值本身在消失</w:t>
      </w:r>
      <w:r w:rsidRPr="00FD7FEC">
        <w:rPr>
          <w:b/>
          <w:bCs/>
        </w:rPr>
        <w:t>"​</w:t>
      </w:r>
      <w:r w:rsidRPr="00FD7FEC">
        <w:t>。</w:t>
      </w:r>
    </w:p>
    <w:p w14:paraId="0886CCA1" w14:textId="77777777" w:rsidR="00482421" w:rsidRPr="00482421" w:rsidRDefault="00482421" w:rsidP="00482421">
      <w:pPr>
        <w:ind w:firstLine="480"/>
        <w:rPr>
          <w:rFonts w:hint="eastAsia"/>
        </w:rPr>
      </w:pPr>
    </w:p>
    <w:p w14:paraId="012F4F5B" w14:textId="70FA683F" w:rsidR="00151F46" w:rsidRPr="00151F46" w:rsidRDefault="00151F46" w:rsidP="00151F46">
      <w:pPr>
        <w:ind w:left="62" w:firstLineChars="0" w:firstLine="420"/>
        <w:outlineLvl w:val="0"/>
        <w:rPr>
          <w:b/>
          <w:bCs/>
          <w:sz w:val="36"/>
          <w:szCs w:val="36"/>
        </w:rPr>
      </w:pPr>
      <w:r w:rsidRPr="00151F46">
        <w:rPr>
          <w:rFonts w:hint="eastAsia"/>
          <w:b/>
          <w:bCs/>
          <w:sz w:val="36"/>
          <w:szCs w:val="36"/>
        </w:rPr>
        <w:t>第四章</w:t>
      </w:r>
      <w:r w:rsidR="00482421">
        <w:rPr>
          <w:rFonts w:hint="eastAsia"/>
          <w:b/>
          <w:bCs/>
          <w:sz w:val="36"/>
          <w:szCs w:val="36"/>
        </w:rPr>
        <w:t xml:space="preserve"> </w:t>
      </w:r>
      <w:r w:rsidR="00482421" w:rsidRPr="00482421">
        <w:rPr>
          <w:b/>
          <w:bCs/>
          <w:sz w:val="36"/>
          <w:szCs w:val="36"/>
        </w:rPr>
        <w:t>构建基于资产质量的</w:t>
      </w:r>
      <w:r w:rsidR="00482421" w:rsidRPr="00482421">
        <w:rPr>
          <w:b/>
          <w:bCs/>
          <w:sz w:val="36"/>
          <w:szCs w:val="36"/>
        </w:rPr>
        <w:t>PB-ROE</w:t>
      </w:r>
      <w:r w:rsidR="00482421" w:rsidRPr="00482421">
        <w:rPr>
          <w:b/>
          <w:bCs/>
          <w:sz w:val="36"/>
          <w:szCs w:val="36"/>
        </w:rPr>
        <w:t>模型</w:t>
      </w:r>
      <w:r>
        <w:rPr>
          <w:rFonts w:hint="eastAsia"/>
          <w:b/>
          <w:bCs/>
          <w:sz w:val="36"/>
          <w:szCs w:val="36"/>
        </w:rPr>
        <w:t xml:space="preserve"> </w:t>
      </w:r>
    </w:p>
    <w:p w14:paraId="1D221874" w14:textId="77777777" w:rsidR="008C3032" w:rsidRDefault="008C3032" w:rsidP="00835931">
      <w:pPr>
        <w:ind w:firstLine="482"/>
        <w:rPr>
          <w:b/>
          <w:bCs/>
        </w:rPr>
      </w:pPr>
      <w:r w:rsidRPr="008C3032">
        <w:rPr>
          <w:b/>
          <w:bCs/>
        </w:rPr>
        <w:t xml:space="preserve">4.1 </w:t>
      </w:r>
      <w:r w:rsidRPr="008C3032">
        <w:rPr>
          <w:b/>
          <w:bCs/>
        </w:rPr>
        <w:t>价值投资的</w:t>
      </w:r>
      <w:r w:rsidRPr="008C3032">
        <w:rPr>
          <w:b/>
          <w:bCs/>
        </w:rPr>
        <w:t>“</w:t>
      </w:r>
      <w:r w:rsidRPr="008C3032">
        <w:rPr>
          <w:b/>
          <w:bCs/>
        </w:rPr>
        <w:t>阿喀琉斯之踵</w:t>
      </w:r>
      <w:r w:rsidRPr="008C3032">
        <w:rPr>
          <w:b/>
          <w:bCs/>
        </w:rPr>
        <w:t>”</w:t>
      </w:r>
      <w:r w:rsidRPr="008C3032">
        <w:rPr>
          <w:b/>
          <w:bCs/>
        </w:rPr>
        <w:t>：价值陷阱</w:t>
      </w:r>
    </w:p>
    <w:p w14:paraId="75B8F439" w14:textId="1A3FD02D" w:rsidR="00835931" w:rsidRPr="00835931" w:rsidRDefault="00835931" w:rsidP="00835931">
      <w:pPr>
        <w:ind w:firstLine="480"/>
      </w:pPr>
      <w:r w:rsidRPr="00835931">
        <w:t>在第一章中，我们系统性地阐述了</w:t>
      </w:r>
      <w:r w:rsidRPr="00835931">
        <w:t>PB-ROE</w:t>
      </w:r>
      <w:r w:rsidRPr="00835931">
        <w:t>模型的基本框架。该模型的核心逻辑具有强大的理论吸引力：</w:t>
      </w:r>
      <w:r w:rsidRPr="00835931">
        <w:rPr>
          <w:b/>
          <w:bCs/>
        </w:rPr>
        <w:t>在同等水平的盈利能力（</w:t>
      </w:r>
      <w:r w:rsidRPr="00835931">
        <w:rPr>
          <w:b/>
          <w:bCs/>
        </w:rPr>
        <w:t>ROE</w:t>
      </w:r>
      <w:r w:rsidRPr="00835931">
        <w:rPr>
          <w:b/>
          <w:bCs/>
        </w:rPr>
        <w:t>）下，市净率（</w:t>
      </w:r>
      <w:r w:rsidRPr="00835931">
        <w:rPr>
          <w:b/>
          <w:bCs/>
        </w:rPr>
        <w:t>P/B</w:t>
      </w:r>
      <w:r w:rsidRPr="00835931">
        <w:rPr>
          <w:b/>
          <w:bCs/>
        </w:rPr>
        <w:t>）更低的公司，其股价被市场低估的可能性越大，因此具备更高的投资价值。</w:t>
      </w:r>
      <w:r w:rsidRPr="00835931">
        <w:t xml:space="preserve"> </w:t>
      </w:r>
      <w:r w:rsidRPr="00835931">
        <w:t>这个逻辑是建立在均值回归的信念之上</w:t>
      </w:r>
      <w:r w:rsidRPr="00835931">
        <w:t>——</w:t>
      </w:r>
      <w:r w:rsidRPr="00835931">
        <w:t>即异常的估值水平（无论是过高还是过低）都将随着时间的推移向历史均值或行业均值回归。</w:t>
      </w:r>
    </w:p>
    <w:p w14:paraId="5696ADA4" w14:textId="77777777" w:rsidR="008C3032" w:rsidRPr="008C3032" w:rsidRDefault="008C3032" w:rsidP="008C3032">
      <w:pPr>
        <w:ind w:firstLine="480"/>
      </w:pPr>
      <w:r w:rsidRPr="008C3032">
        <w:t>在第三章里，我们进一步用残差模型（</w:t>
      </w:r>
      <w:r w:rsidRPr="008C3032">
        <w:t>pbroe3.1</w:t>
      </w:r>
      <w:r w:rsidRPr="008C3032">
        <w:t>）验证了这一思路：通过行业内横截面回归，寻找那些</w:t>
      </w:r>
      <w:r w:rsidRPr="008C3032">
        <w:t>P/B</w:t>
      </w:r>
      <w:r w:rsidRPr="008C3032">
        <w:t>相对于其</w:t>
      </w:r>
      <w:r w:rsidRPr="008C3032">
        <w:t>ROE</w:t>
      </w:r>
      <w:r w:rsidRPr="008C3032">
        <w:t>而言被显著低估的公司，并在回测中取得了优异表现。该模型在捕捉短期定价偏差与长期均值回归之间找到了一个强有力的切入点。</w:t>
      </w:r>
    </w:p>
    <w:p w14:paraId="537E17FB" w14:textId="7272D50E" w:rsidR="00835931" w:rsidRDefault="008C3032" w:rsidP="00835931">
      <w:pPr>
        <w:ind w:firstLine="480"/>
      </w:pPr>
      <w:r w:rsidRPr="008C3032">
        <w:t>然而，市场有效性在另一方面也体现得淋漓尽致：并非所有低</w:t>
      </w:r>
      <w:r w:rsidRPr="008C3032">
        <w:t>P/B</w:t>
      </w:r>
      <w:r w:rsidRPr="008C3032">
        <w:t>的公司都是被错误定价的重磅机会，其中一部分的低估值，恰恰是市场对其内在风险或黯淡前景的合理折价。这类公司常年维持极低的</w:t>
      </w:r>
      <w:r w:rsidRPr="008C3032">
        <w:t>P/B</w:t>
      </w:r>
      <w:r w:rsidRPr="008C3032">
        <w:t>，却迟迟无法迎来价值回归，甚至股价持续下跌，</w:t>
      </w:r>
      <w:r w:rsidR="00835931" w:rsidRPr="00835931">
        <w:t>这类公司如同一个</w:t>
      </w:r>
      <w:r w:rsidR="00835931" w:rsidRPr="00835931">
        <w:t>“</w:t>
      </w:r>
      <w:r w:rsidR="00835931" w:rsidRPr="00835931">
        <w:t>黑洞</w:t>
      </w:r>
      <w:r w:rsidR="00835931" w:rsidRPr="00835931">
        <w:t>”</w:t>
      </w:r>
      <w:r w:rsidR="00835931" w:rsidRPr="00835931">
        <w:t>，持续地吞噬资本。这种现象，我们称之为</w:t>
      </w:r>
      <w:r w:rsidR="00835931" w:rsidRPr="00835931">
        <w:t>“</w:t>
      </w:r>
      <w:r w:rsidR="00835931" w:rsidRPr="00835931">
        <w:t>价值陷阱</w:t>
      </w:r>
      <w:r w:rsidR="00835931" w:rsidRPr="00835931">
        <w:t>”</w:t>
      </w:r>
      <w:r w:rsidR="00835931" w:rsidRPr="00835931">
        <w:t>（</w:t>
      </w:r>
      <w:r w:rsidR="00835931" w:rsidRPr="00835931">
        <w:t>Value Trap</w:t>
      </w:r>
      <w:r w:rsidR="00835931" w:rsidRPr="00835931">
        <w:t>）。</w:t>
      </w:r>
    </w:p>
    <w:p w14:paraId="75578A1C" w14:textId="6854FA67" w:rsidR="008C3032" w:rsidRPr="00835931" w:rsidRDefault="008C3032" w:rsidP="00835931">
      <w:pPr>
        <w:ind w:firstLine="480"/>
        <w:rPr>
          <w:rFonts w:hint="eastAsia"/>
        </w:rPr>
      </w:pPr>
      <w:r w:rsidRPr="008C3032">
        <w:t>价值陷阱的根源在于，</w:t>
      </w:r>
      <w:r w:rsidRPr="008C3032">
        <w:t xml:space="preserve">P/B </w:t>
      </w:r>
      <w:r w:rsidRPr="008C3032">
        <w:t>的分母</w:t>
      </w:r>
      <w:r w:rsidRPr="008C3032">
        <w:t>——</w:t>
      </w:r>
      <w:r w:rsidRPr="008C3032">
        <w:t>账面价值（</w:t>
      </w:r>
      <w:r w:rsidRPr="008C3032">
        <w:t>Book Value</w:t>
      </w:r>
      <w:r w:rsidRPr="008C3032">
        <w:t>）</w:t>
      </w:r>
      <w:r w:rsidRPr="008C3032">
        <w:t>——</w:t>
      </w:r>
      <w:r w:rsidRPr="008C3032">
        <w:t>源自历史成本，会计上往往含有</w:t>
      </w:r>
      <w:r w:rsidRPr="008C3032">
        <w:t>“</w:t>
      </w:r>
      <w:r w:rsidRPr="008C3032">
        <w:t>水分</w:t>
      </w:r>
      <w:r w:rsidRPr="008C3032">
        <w:t>”</w:t>
      </w:r>
      <w:r w:rsidRPr="008C3032">
        <w:t>。当企业资产质量堪忧时，其账面价值可能被虚增，导致低</w:t>
      </w:r>
      <w:r w:rsidRPr="008C3032">
        <w:t>P/B</w:t>
      </w:r>
      <w:r w:rsidRPr="008C3032">
        <w:t>看似</w:t>
      </w:r>
      <w:r w:rsidRPr="008C3032">
        <w:t>“</w:t>
      </w:r>
      <w:r w:rsidRPr="008C3032">
        <w:t>便宜</w:t>
      </w:r>
      <w:r w:rsidRPr="008C3032">
        <w:t>”</w:t>
      </w:r>
      <w:r w:rsidRPr="008C3032">
        <w:t>，实则反映的是持久的价值毁灭。买入这样的公司，本质上是在为账面价值缩水付费，无法真实反映企业的经济价值。当一家公司的资产质量堪忧时，其账面价值就是</w:t>
      </w:r>
      <w:r w:rsidRPr="008C3032">
        <w:t>“</w:t>
      </w:r>
      <w:r w:rsidRPr="008C3032">
        <w:t>虚胖</w:t>
      </w:r>
      <w:r w:rsidRPr="008C3032">
        <w:t>”</w:t>
      </w:r>
      <w:r w:rsidRPr="008C3032">
        <w:t>的。买入这类公司，本质上是买入其价值的持续毁灭过程。</w:t>
      </w:r>
    </w:p>
    <w:p w14:paraId="276AD9F8" w14:textId="77777777" w:rsidR="00835931" w:rsidRPr="00835931" w:rsidRDefault="00835931" w:rsidP="00835931">
      <w:pPr>
        <w:ind w:firstLine="480"/>
      </w:pPr>
      <w:r w:rsidRPr="00835931">
        <w:t>本章的核心任务，正是要深入剖析</w:t>
      </w:r>
      <w:r w:rsidRPr="00835931">
        <w:t>“</w:t>
      </w:r>
      <w:r w:rsidRPr="00835931">
        <w:t>价值陷阱</w:t>
      </w:r>
      <w:r w:rsidRPr="00835931">
        <w:t>”</w:t>
      </w:r>
      <w:r w:rsidRPr="00835931">
        <w:t>的成因，并尝试寻找规避它的方法。我们将论证，单纯使用市净率（</w:t>
      </w:r>
      <w:r w:rsidRPr="00835931">
        <w:t>P/B</w:t>
      </w:r>
      <w:r w:rsidRPr="00835931">
        <w:t>）作为价值的度量衡是不充分且存在系统性风险的。其根本原因在于，作为</w:t>
      </w:r>
      <w:r w:rsidRPr="00835931">
        <w:t>P/B</w:t>
      </w:r>
      <w:r w:rsidRPr="00835931">
        <w:t>分母的</w:t>
      </w:r>
      <w:r w:rsidRPr="00835931">
        <w:t>“</w:t>
      </w:r>
      <w:r w:rsidRPr="00835931">
        <w:t>账面价值</w:t>
      </w:r>
      <w:r w:rsidRPr="00835931">
        <w:t>”</w:t>
      </w:r>
      <w:r w:rsidRPr="00835931">
        <w:t>（</w:t>
      </w:r>
      <w:r w:rsidRPr="00835931">
        <w:t>Book Value</w:t>
      </w:r>
      <w:r w:rsidRPr="00835931">
        <w:t>），其本身可能存在</w:t>
      </w:r>
      <w:r w:rsidRPr="00835931">
        <w:t>“</w:t>
      </w:r>
      <w:r w:rsidRPr="00835931">
        <w:t>水分</w:t>
      </w:r>
      <w:r w:rsidRPr="00835931">
        <w:t>”</w:t>
      </w:r>
      <w:r w:rsidRPr="00835931">
        <w:t>，并不能准确反映</w:t>
      </w:r>
      <w:r w:rsidRPr="00835931">
        <w:lastRenderedPageBreak/>
        <w:t>企业的真实经济价值。当一家公司的账面价值被高估时，其低</w:t>
      </w:r>
      <w:r w:rsidRPr="00835931">
        <w:t>P/B</w:t>
      </w:r>
      <w:r w:rsidRPr="00835931">
        <w:t>可能是一种</w:t>
      </w:r>
      <w:r w:rsidRPr="00835931">
        <w:t>“</w:t>
      </w:r>
      <w:r w:rsidRPr="00835931">
        <w:t>合理</w:t>
      </w:r>
      <w:r w:rsidRPr="00835931">
        <w:t>”</w:t>
      </w:r>
      <w:r w:rsidRPr="00835931">
        <w:t>的折价，而非</w:t>
      </w:r>
      <w:r w:rsidRPr="00835931">
        <w:t>“</w:t>
      </w:r>
      <w:r w:rsidRPr="00835931">
        <w:t>错误</w:t>
      </w:r>
      <w:r w:rsidRPr="00835931">
        <w:t>”</w:t>
      </w:r>
      <w:r w:rsidRPr="00835931">
        <w:t>的低估。买入这类公司，投资者获得的并非价值回归的收益，而是在为企业价值的持续毁灭过程买单。</w:t>
      </w:r>
    </w:p>
    <w:p w14:paraId="4938B425" w14:textId="046C3A59" w:rsidR="00835931" w:rsidRPr="00835931" w:rsidRDefault="00FD7FEC" w:rsidP="00835931">
      <w:pPr>
        <w:ind w:firstLine="482"/>
        <w:rPr>
          <w:b/>
          <w:bCs/>
        </w:rPr>
      </w:pPr>
      <w:r>
        <w:rPr>
          <w:rFonts w:hint="eastAsia"/>
          <w:b/>
          <w:bCs/>
        </w:rPr>
        <w:t>4.</w:t>
      </w:r>
      <w:r w:rsidR="00835931" w:rsidRPr="00835931">
        <w:rPr>
          <w:b/>
          <w:bCs/>
        </w:rPr>
        <w:t>2</w:t>
      </w:r>
      <w:r>
        <w:rPr>
          <w:rFonts w:hint="eastAsia"/>
          <w:b/>
          <w:bCs/>
        </w:rPr>
        <w:t xml:space="preserve"> </w:t>
      </w:r>
      <w:r w:rsidR="00835931" w:rsidRPr="00835931">
        <w:rPr>
          <w:b/>
          <w:bCs/>
        </w:rPr>
        <w:t>对估值核心的再审视</w:t>
      </w:r>
    </w:p>
    <w:p w14:paraId="1F63B9FF" w14:textId="77777777" w:rsidR="00835931" w:rsidRPr="00835931" w:rsidRDefault="00835931" w:rsidP="00835931">
      <w:pPr>
        <w:ind w:firstLine="480"/>
      </w:pPr>
      <w:r w:rsidRPr="00835931">
        <w:t>为了理解价值陷阱的本质，我们必须回归到市净率（</w:t>
      </w:r>
      <w:r w:rsidRPr="00835931">
        <w:t>P/B</w:t>
      </w:r>
      <w:r w:rsidRPr="00835931">
        <w:t>）指标本身，对其进行解构。</w:t>
      </w:r>
    </w:p>
    <w:p w14:paraId="2DFB10C5" w14:textId="4719FBEC" w:rsidR="00835931" w:rsidRPr="00835931" w:rsidRDefault="00FD7FEC" w:rsidP="00835931">
      <w:pPr>
        <w:ind w:firstLine="482"/>
        <w:rPr>
          <w:b/>
          <w:bCs/>
        </w:rPr>
      </w:pPr>
      <w:r>
        <w:rPr>
          <w:rFonts w:hint="eastAsia"/>
          <w:b/>
          <w:bCs/>
        </w:rPr>
        <w:t>4.</w:t>
      </w:r>
      <w:r w:rsidR="00835931" w:rsidRPr="00835931">
        <w:rPr>
          <w:b/>
          <w:bCs/>
        </w:rPr>
        <w:t>2.</w:t>
      </w:r>
      <w:r>
        <w:rPr>
          <w:rFonts w:hint="eastAsia"/>
          <w:b/>
          <w:bCs/>
        </w:rPr>
        <w:t>1</w:t>
      </w:r>
      <w:r w:rsidR="00835931" w:rsidRPr="00835931">
        <w:rPr>
          <w:b/>
          <w:bCs/>
        </w:rPr>
        <w:t xml:space="preserve"> </w:t>
      </w:r>
      <w:r w:rsidR="00835931" w:rsidRPr="00835931">
        <w:rPr>
          <w:b/>
          <w:bCs/>
        </w:rPr>
        <w:t>拆解账面价值（</w:t>
      </w:r>
      <w:r w:rsidR="00835931" w:rsidRPr="00835931">
        <w:rPr>
          <w:b/>
          <w:bCs/>
        </w:rPr>
        <w:t>Book Value</w:t>
      </w:r>
      <w:r w:rsidR="00835931" w:rsidRPr="00835931">
        <w:rPr>
          <w:b/>
          <w:bCs/>
        </w:rPr>
        <w:t>）</w:t>
      </w:r>
    </w:p>
    <w:p w14:paraId="0F5F6B5F" w14:textId="77777777" w:rsidR="00FD7FEC" w:rsidRPr="00835931" w:rsidRDefault="00FD7FEC" w:rsidP="00FD7FEC">
      <w:pPr>
        <w:ind w:firstLine="480"/>
      </w:pPr>
      <w:r w:rsidRPr="00835931">
        <w:t>市净率的计算公式为：</w:t>
      </w:r>
      <w:r w:rsidRPr="00835931">
        <w:t xml:space="preserve"> </w:t>
      </w:r>
    </w:p>
    <w:p w14:paraId="5AA6DD5F" w14:textId="77777777" w:rsidR="00FD7FEC" w:rsidRPr="00835931" w:rsidRDefault="00FD7FEC" w:rsidP="00FD7FEC">
      <w:pPr>
        <w:ind w:firstLine="480"/>
      </w:pPr>
      <w:r w:rsidRPr="00835931">
        <w:t>P/B=Book ValueMarket Capitalization​=BP​</w:t>
      </w:r>
    </w:p>
    <w:p w14:paraId="4E8778C0" w14:textId="77777777" w:rsidR="00FD7FEC" w:rsidRPr="00835931" w:rsidRDefault="00FD7FEC" w:rsidP="00FD7FEC">
      <w:pPr>
        <w:ind w:firstLine="480"/>
      </w:pPr>
      <w:r w:rsidRPr="00835931">
        <w:t>其中，分子</w:t>
      </w:r>
      <w:r w:rsidRPr="00835931">
        <w:t>P</w:t>
      </w:r>
      <w:r w:rsidRPr="00835931">
        <w:t>（</w:t>
      </w:r>
      <w:r w:rsidRPr="00835931">
        <w:t>Market Capitalization</w:t>
      </w:r>
      <w:r w:rsidRPr="00835931">
        <w:t>，市值）代表了市场所有投资者对公司未来现金流折现值的集体预期，它是一个动态、前瞻且包含了情绪的指标。分母</w:t>
      </w:r>
      <w:r w:rsidRPr="00835931">
        <w:t>B</w:t>
      </w:r>
      <w:r w:rsidRPr="00835931">
        <w:t>（</w:t>
      </w:r>
      <w:r w:rsidRPr="00835931">
        <w:t>Book Value</w:t>
      </w:r>
      <w:r w:rsidRPr="00835931">
        <w:t>，账面价值）则是一个基于会计准则的、历史性的、静态的指标。</w:t>
      </w:r>
    </w:p>
    <w:p w14:paraId="03738F45" w14:textId="034BEC9D" w:rsidR="00FD7FEC" w:rsidRDefault="00FD7FEC" w:rsidP="00835931">
      <w:pPr>
        <w:ind w:firstLine="480"/>
      </w:pPr>
      <w:r w:rsidRPr="00835931">
        <w:t>而价值陷阱则警示我们，这种差异更可能是会计账簿的</w:t>
      </w:r>
      <w:r w:rsidRPr="00835931">
        <w:t>“</w:t>
      </w:r>
      <w:r w:rsidRPr="00835931">
        <w:t>虚假繁荣</w:t>
      </w:r>
      <w:r w:rsidRPr="00835931">
        <w:t>”</w:t>
      </w:r>
      <w:r w:rsidRPr="00835931">
        <w:t>。问题的关键，落在了分母</w:t>
      </w:r>
      <w:r w:rsidRPr="00835931">
        <w:t>——</w:t>
      </w:r>
      <w:r w:rsidRPr="00835931">
        <w:t>账面价值（</w:t>
      </w:r>
      <w:r w:rsidRPr="00835931">
        <w:t>Book Value</w:t>
      </w:r>
      <w:r w:rsidRPr="00835931">
        <w:t>）的质量上。</w:t>
      </w:r>
    </w:p>
    <w:p w14:paraId="13BF1C01" w14:textId="4E8C9D18" w:rsidR="00835931" w:rsidRPr="00835931" w:rsidRDefault="00835931" w:rsidP="00835931">
      <w:pPr>
        <w:ind w:firstLine="480"/>
      </w:pPr>
      <w:r w:rsidRPr="00835931">
        <w:t>账面价值，或称所有者权益（或股东权益），其基本构成如下：</w:t>
      </w:r>
      <w:r w:rsidRPr="00835931">
        <w:t xml:space="preserve"> </w:t>
      </w:r>
    </w:p>
    <w:p w14:paraId="25A1FBF3" w14:textId="77777777" w:rsidR="00835931" w:rsidRPr="00835931" w:rsidRDefault="00835931" w:rsidP="00835931">
      <w:pPr>
        <w:ind w:firstLine="480"/>
      </w:pPr>
      <w:r w:rsidRPr="00835931">
        <w:t>Book Value=Total Assets−Total Liabilities</w:t>
      </w:r>
    </w:p>
    <w:p w14:paraId="524B6BD9" w14:textId="77777777" w:rsidR="00835931" w:rsidRPr="00835931" w:rsidRDefault="00835931" w:rsidP="00835931">
      <w:pPr>
        <w:ind w:firstLine="480"/>
      </w:pPr>
      <w:r w:rsidRPr="00835931">
        <w:t>进一步展开资产端：</w:t>
      </w:r>
      <w:r w:rsidRPr="00835931">
        <w:t xml:space="preserve"> </w:t>
      </w:r>
    </w:p>
    <w:p w14:paraId="3275441E" w14:textId="77777777" w:rsidR="00835931" w:rsidRPr="00835931" w:rsidRDefault="00835931" w:rsidP="00835931">
      <w:pPr>
        <w:ind w:firstLine="480"/>
      </w:pPr>
      <w:r w:rsidRPr="00835931">
        <w:t>Book Value=(Current Assets+Non-current Assets)−Total Liabilities</w:t>
      </w:r>
    </w:p>
    <w:p w14:paraId="57C2F608" w14:textId="77777777" w:rsidR="00835931" w:rsidRPr="00835931" w:rsidRDefault="00835931" w:rsidP="00835931">
      <w:pPr>
        <w:ind w:firstLine="480"/>
      </w:pPr>
      <w:r w:rsidRPr="00835931">
        <w:t>这个公式揭示了，账面价值的</w:t>
      </w:r>
      <w:r w:rsidRPr="00835931">
        <w:t>“</w:t>
      </w:r>
      <w:r w:rsidRPr="00835931">
        <w:t>水分</w:t>
      </w:r>
      <w:r w:rsidRPr="00835931">
        <w:t>”</w:t>
      </w:r>
      <w:r w:rsidRPr="00835931">
        <w:t>主要来源于资产端的高估。会计记录遵循历史成本原则，这意味着资产的账面价值反映的是其取得时的成本，而非当前的市场公允价值或未来的变现能力。当资产的真实经济价值已经发生损耗，但尚未在财务报表中得到足额确认时，账面价值的</w:t>
      </w:r>
      <w:r w:rsidRPr="00835931">
        <w:t>“</w:t>
      </w:r>
      <w:r w:rsidRPr="00835931">
        <w:t>虚胖</w:t>
      </w:r>
      <w:r w:rsidRPr="00835931">
        <w:t>”</w:t>
      </w:r>
      <w:r w:rsidRPr="00835931">
        <w:t>就产生了。</w:t>
      </w:r>
    </w:p>
    <w:p w14:paraId="6D658784" w14:textId="7494FEF5" w:rsidR="00835931" w:rsidRPr="00835931" w:rsidRDefault="00FD7FEC" w:rsidP="00835931">
      <w:pPr>
        <w:ind w:firstLine="482"/>
        <w:rPr>
          <w:b/>
          <w:bCs/>
        </w:rPr>
      </w:pPr>
      <w:r>
        <w:rPr>
          <w:rFonts w:hint="eastAsia"/>
          <w:b/>
          <w:bCs/>
        </w:rPr>
        <w:t>4.</w:t>
      </w:r>
      <w:r w:rsidR="00835931" w:rsidRPr="00835931">
        <w:rPr>
          <w:b/>
          <w:bCs/>
        </w:rPr>
        <w:t xml:space="preserve">3. </w:t>
      </w:r>
      <w:r w:rsidR="00835931" w:rsidRPr="00835931">
        <w:rPr>
          <w:b/>
          <w:bCs/>
        </w:rPr>
        <w:t>账面价值</w:t>
      </w:r>
      <w:r w:rsidR="00835931" w:rsidRPr="00835931">
        <w:rPr>
          <w:b/>
          <w:bCs/>
        </w:rPr>
        <w:t>“</w:t>
      </w:r>
      <w:r w:rsidR="00835931" w:rsidRPr="00835931">
        <w:rPr>
          <w:b/>
          <w:bCs/>
        </w:rPr>
        <w:t>虚胖</w:t>
      </w:r>
      <w:r w:rsidR="00835931" w:rsidRPr="00835931">
        <w:rPr>
          <w:b/>
          <w:bCs/>
        </w:rPr>
        <w:t>”</w:t>
      </w:r>
      <w:r w:rsidR="00835931" w:rsidRPr="00835931">
        <w:rPr>
          <w:b/>
          <w:bCs/>
        </w:rPr>
        <w:t>的主要来源</w:t>
      </w:r>
    </w:p>
    <w:p w14:paraId="6B0CC165" w14:textId="77777777" w:rsidR="00835931" w:rsidRPr="00835931" w:rsidRDefault="00835931" w:rsidP="00835931">
      <w:pPr>
        <w:ind w:firstLine="480"/>
      </w:pPr>
      <w:r w:rsidRPr="00835931">
        <w:t>导致账面价值高估，进而形成价值陷阱的资产项目主要有以下几类：</w:t>
      </w:r>
    </w:p>
    <w:p w14:paraId="63643600" w14:textId="66D2B761" w:rsidR="00835931" w:rsidRPr="00835931" w:rsidRDefault="00FD7FEC" w:rsidP="00835931">
      <w:pPr>
        <w:ind w:firstLine="482"/>
        <w:rPr>
          <w:b/>
          <w:bCs/>
        </w:rPr>
      </w:pPr>
      <w:r>
        <w:rPr>
          <w:rFonts w:hint="eastAsia"/>
          <w:b/>
          <w:bCs/>
        </w:rPr>
        <w:t>4.</w:t>
      </w:r>
      <w:r w:rsidR="00835931" w:rsidRPr="00835931">
        <w:rPr>
          <w:b/>
          <w:bCs/>
        </w:rPr>
        <w:t xml:space="preserve">3.1 </w:t>
      </w:r>
      <w:r w:rsidR="00835931" w:rsidRPr="00835931">
        <w:rPr>
          <w:b/>
          <w:bCs/>
        </w:rPr>
        <w:t>商誉（</w:t>
      </w:r>
      <w:r w:rsidR="00835931" w:rsidRPr="00835931">
        <w:rPr>
          <w:b/>
          <w:bCs/>
        </w:rPr>
        <w:t>Goodwill</w:t>
      </w:r>
      <w:r w:rsidR="00835931" w:rsidRPr="00835931">
        <w:rPr>
          <w:b/>
          <w:bCs/>
        </w:rPr>
        <w:t>）：并购协同效应的赌注</w:t>
      </w:r>
    </w:p>
    <w:p w14:paraId="16789703" w14:textId="77777777" w:rsidR="00835931" w:rsidRPr="00835931" w:rsidRDefault="00835931" w:rsidP="00835931">
      <w:pPr>
        <w:numPr>
          <w:ilvl w:val="0"/>
          <w:numId w:val="23"/>
        </w:numPr>
        <w:ind w:firstLine="482"/>
      </w:pPr>
      <w:r w:rsidRPr="00835931">
        <w:rPr>
          <w:b/>
          <w:bCs/>
        </w:rPr>
        <w:t>成因与本质</w:t>
      </w:r>
      <w:r w:rsidRPr="00835931">
        <w:t>：商誉产生于企业并购活动，其计算公式为并购付出的对价超出被并购方可辨认净资产公允价值的部分。本质上，商誉是企业为未来协同效应（如技术互补、市场扩张、成本节约）支付的溢价。它不是一项能够独立产生现金流的资产，其价值完全依附于并购整合的成功。</w:t>
      </w:r>
    </w:p>
    <w:p w14:paraId="2B460EFB" w14:textId="77777777" w:rsidR="00835931" w:rsidRPr="00835931" w:rsidRDefault="00835931" w:rsidP="00835931">
      <w:pPr>
        <w:numPr>
          <w:ilvl w:val="0"/>
          <w:numId w:val="23"/>
        </w:numPr>
        <w:ind w:firstLine="482"/>
      </w:pPr>
      <w:r w:rsidRPr="00835931">
        <w:rPr>
          <w:b/>
          <w:bCs/>
        </w:rPr>
        <w:t>风险所在</w:t>
      </w:r>
      <w:r w:rsidRPr="00835931">
        <w:t>：一旦并购后的整合效果不达预期，被并购资产业绩承诺无法兑现，商誉的价值就荡然无存。根据会计准</w:t>
      </w:r>
      <w:r w:rsidRPr="00835931">
        <w:t>ve</w:t>
      </w:r>
      <w:r w:rsidRPr="00835931">
        <w:t>则，企业每年需要对商誉进行减值测试。若发生减值，减值金额将直接冲销利润表，并永久性地削减资产负债表中的账面价值。巨额的商誉减值是典型的</w:t>
      </w:r>
      <w:r w:rsidRPr="00835931">
        <w:t>“</w:t>
      </w:r>
      <w:r w:rsidRPr="00835931">
        <w:t>价值毁灭</w:t>
      </w:r>
      <w:r w:rsidRPr="00835931">
        <w:t>”</w:t>
      </w:r>
      <w:r w:rsidRPr="00835931">
        <w:t>事件，它会直接导致账面价值（</w:t>
      </w:r>
      <w:r w:rsidRPr="00835931">
        <w:t>B</w:t>
      </w:r>
      <w:r w:rsidRPr="00835931">
        <w:t>）大幅下降，进而使原来看似很低的</w:t>
      </w:r>
      <w:r w:rsidRPr="00835931">
        <w:t>P/B</w:t>
      </w:r>
      <w:r w:rsidRPr="00835931">
        <w:t>估值被动抬高，价值陷阱显现。对于那些商誉占净资产比例过高的公司，投资者需要保持高度警惕。</w:t>
      </w:r>
    </w:p>
    <w:p w14:paraId="39B97233" w14:textId="5DD66DAE" w:rsidR="00835931" w:rsidRPr="00835931" w:rsidRDefault="00FD7FEC" w:rsidP="00835931">
      <w:pPr>
        <w:ind w:firstLine="482"/>
        <w:rPr>
          <w:b/>
          <w:bCs/>
        </w:rPr>
      </w:pPr>
      <w:r>
        <w:rPr>
          <w:rFonts w:hint="eastAsia"/>
          <w:b/>
          <w:bCs/>
        </w:rPr>
        <w:lastRenderedPageBreak/>
        <w:t>4.</w:t>
      </w:r>
      <w:r w:rsidR="00835931" w:rsidRPr="00835931">
        <w:rPr>
          <w:b/>
          <w:bCs/>
        </w:rPr>
        <w:t xml:space="preserve">3.2 </w:t>
      </w:r>
      <w:r w:rsidR="00835931" w:rsidRPr="00835931">
        <w:rPr>
          <w:b/>
          <w:bCs/>
        </w:rPr>
        <w:t>低效或虚增的经营性资产</w:t>
      </w:r>
    </w:p>
    <w:p w14:paraId="1A5EDF27" w14:textId="77777777" w:rsidR="00835931" w:rsidRPr="00835931" w:rsidRDefault="00835931" w:rsidP="00835931">
      <w:pPr>
        <w:ind w:firstLine="480"/>
      </w:pPr>
      <w:r w:rsidRPr="00835931">
        <w:t>这类资产虽然是企业经营的必要组成部分，但其账面价值与其真实的变现能力可能存在巨大差异。</w:t>
      </w:r>
    </w:p>
    <w:p w14:paraId="44A39FBA" w14:textId="77777777" w:rsidR="00835931" w:rsidRPr="00835931" w:rsidRDefault="00835931" w:rsidP="00835931">
      <w:pPr>
        <w:numPr>
          <w:ilvl w:val="0"/>
          <w:numId w:val="24"/>
        </w:numPr>
        <w:ind w:firstLine="482"/>
      </w:pPr>
      <w:r w:rsidRPr="00835931">
        <w:rPr>
          <w:b/>
          <w:bCs/>
        </w:rPr>
        <w:t>应收账款（</w:t>
      </w:r>
      <w:r w:rsidRPr="00835931">
        <w:rPr>
          <w:b/>
          <w:bCs/>
        </w:rPr>
        <w:t>Accounts Receivable</w:t>
      </w:r>
      <w:r w:rsidRPr="00835931">
        <w:rPr>
          <w:b/>
          <w:bCs/>
        </w:rPr>
        <w:t>）</w:t>
      </w:r>
      <w:r w:rsidRPr="00835931">
        <w:t>：长账龄的应收账款意味着回款困难，其最终能够收回的比例远低于账面金额。尽管企业会计提坏账准备，但计提的充分性往往值得怀疑。在经济下行周期，或者对于部分过度依赖赊销的行业，应收账款的风险会急剧放大。更恶劣的情况下，一些公司通过虚构交易，凭空创造应收账款和收入，直接导致账面价值和利润双重虚增。</w:t>
      </w:r>
    </w:p>
    <w:p w14:paraId="54338420" w14:textId="77777777" w:rsidR="00835931" w:rsidRPr="00835931" w:rsidRDefault="00835931" w:rsidP="00835931">
      <w:pPr>
        <w:numPr>
          <w:ilvl w:val="0"/>
          <w:numId w:val="24"/>
        </w:numPr>
        <w:ind w:firstLine="482"/>
      </w:pPr>
      <w:r w:rsidRPr="00835931">
        <w:rPr>
          <w:b/>
          <w:bCs/>
        </w:rPr>
        <w:t>存货（</w:t>
      </w:r>
      <w:r w:rsidRPr="00835931">
        <w:rPr>
          <w:b/>
          <w:bCs/>
        </w:rPr>
        <w:t>Inventory</w:t>
      </w:r>
      <w:r w:rsidRPr="00835931">
        <w:rPr>
          <w:b/>
          <w:bCs/>
        </w:rPr>
        <w:t>）</w:t>
      </w:r>
      <w:r w:rsidRPr="00835931">
        <w:t>：对于制造业和零售业公司，存货是资产的重要组成部分。然而，技术迭代、市场需求变化或管理不善都可能导致存货积压和贬值。过时的电子产品、季节性的服装、易腐坏的商品，其市场价值可能远低于其采购或生产成本。存货跌价准备同样存在计提不足的风险，导致账面价值高估。</w:t>
      </w:r>
    </w:p>
    <w:p w14:paraId="5760AC7F" w14:textId="77777777" w:rsidR="00835931" w:rsidRPr="00835931" w:rsidRDefault="00835931" w:rsidP="00835931">
      <w:pPr>
        <w:numPr>
          <w:ilvl w:val="0"/>
          <w:numId w:val="24"/>
        </w:numPr>
        <w:ind w:firstLine="482"/>
      </w:pPr>
      <w:r w:rsidRPr="00835931">
        <w:rPr>
          <w:b/>
          <w:bCs/>
        </w:rPr>
        <w:t>其他资产项目</w:t>
      </w:r>
      <w:r w:rsidRPr="00835931">
        <w:t>：例如预付账款、在建工程等，同样可能存在价值虚增的风险。长期的预付款可能意味着交易对手的违约风险，而严重超期的在建工程可能早已丧失其经济价值。</w:t>
      </w:r>
    </w:p>
    <w:p w14:paraId="32C65B0E" w14:textId="125A22AD" w:rsidR="00835931" w:rsidRPr="00835931" w:rsidRDefault="00FD7FEC" w:rsidP="00835931">
      <w:pPr>
        <w:ind w:firstLine="482"/>
        <w:rPr>
          <w:b/>
          <w:bCs/>
        </w:rPr>
      </w:pPr>
      <w:r>
        <w:rPr>
          <w:rFonts w:hint="eastAsia"/>
          <w:b/>
          <w:bCs/>
        </w:rPr>
        <w:t>4.</w:t>
      </w:r>
      <w:r w:rsidR="00835931" w:rsidRPr="00835931">
        <w:rPr>
          <w:b/>
          <w:bCs/>
        </w:rPr>
        <w:t xml:space="preserve">3.3 </w:t>
      </w:r>
      <w:r w:rsidR="00835931" w:rsidRPr="00835931">
        <w:rPr>
          <w:b/>
          <w:bCs/>
        </w:rPr>
        <w:t>股权结构的复杂性：少数股东权益</w:t>
      </w:r>
    </w:p>
    <w:p w14:paraId="7E9FF688" w14:textId="77777777" w:rsidR="00835931" w:rsidRPr="00835931" w:rsidRDefault="00835931" w:rsidP="00835931">
      <w:pPr>
        <w:ind w:firstLine="480"/>
      </w:pPr>
      <w:r w:rsidRPr="00835931">
        <w:t>在合并报表中，总的股东权益（</w:t>
      </w:r>
      <w:r w:rsidRPr="00835931">
        <w:t>Total Equity</w:t>
      </w:r>
      <w:r w:rsidRPr="00835931">
        <w:t>）包含了归属于母公司股东的权益和少数股东权益（</w:t>
      </w:r>
      <w:r w:rsidRPr="00835931">
        <w:t>Non-controlling Interests</w:t>
      </w:r>
      <w:r w:rsidRPr="00835931">
        <w:t>）。</w:t>
      </w:r>
      <w:r w:rsidRPr="00835931">
        <w:t xml:space="preserve"> </w:t>
      </w:r>
    </w:p>
    <w:p w14:paraId="59C1C66D" w14:textId="77777777" w:rsidR="00835931" w:rsidRPr="00835931" w:rsidRDefault="00835931" w:rsidP="00835931">
      <w:pPr>
        <w:ind w:firstLine="480"/>
      </w:pPr>
      <w:r w:rsidRPr="00835931">
        <w:t>Total Equity=Equity Attributable to Parent+Minority Interests</w:t>
      </w:r>
    </w:p>
    <w:p w14:paraId="79E629B9" w14:textId="77777777" w:rsidR="00835931" w:rsidRDefault="00835931" w:rsidP="00835931">
      <w:pPr>
        <w:ind w:firstLine="480"/>
      </w:pPr>
      <w:r w:rsidRPr="00835931">
        <w:t>对于上市公司的投资者而言，我们真正拥有的是</w:t>
      </w:r>
      <w:r w:rsidRPr="00835931">
        <w:t>“</w:t>
      </w:r>
      <w:r w:rsidRPr="00835931">
        <w:t>归属于母公司股东的权益</w:t>
      </w:r>
      <w:r w:rsidRPr="00835931">
        <w:t>”</w:t>
      </w:r>
      <w:r w:rsidRPr="00835931">
        <w:t>。在计算</w:t>
      </w:r>
      <w:r w:rsidRPr="00835931">
        <w:t>P/B</w:t>
      </w:r>
      <w:r w:rsidRPr="00835931">
        <w:t>时，如果分母直接采用了合并报表的总权益，而没有扣除非控股股东拥有的部分，就会系统性地高估我们作为母公司股东所拥有的净资产，从而低估了真实的</w:t>
      </w:r>
      <w:r w:rsidRPr="00835931">
        <w:t>P/B</w:t>
      </w:r>
      <w:r w:rsidRPr="00835931">
        <w:t>。虽然多数数据提供商标注清晰，但在自行计算或分析时，这是一个需要注意的细节。</w:t>
      </w:r>
    </w:p>
    <w:p w14:paraId="3A22F889" w14:textId="6762CBF3" w:rsidR="0041785E" w:rsidRPr="0041785E" w:rsidRDefault="0041785E" w:rsidP="0041785E">
      <w:pPr>
        <w:ind w:firstLine="482"/>
        <w:rPr>
          <w:b/>
          <w:bCs/>
        </w:rPr>
      </w:pPr>
      <w:r w:rsidRPr="0041785E">
        <w:rPr>
          <w:b/>
          <w:bCs/>
        </w:rPr>
        <w:t>4.</w:t>
      </w:r>
      <w:r>
        <w:rPr>
          <w:rFonts w:hint="eastAsia"/>
          <w:b/>
          <w:bCs/>
        </w:rPr>
        <w:t>4</w:t>
      </w:r>
      <w:r w:rsidRPr="0041785E">
        <w:rPr>
          <w:b/>
          <w:bCs/>
        </w:rPr>
        <w:t xml:space="preserve"> </w:t>
      </w:r>
      <w:r w:rsidRPr="0041785E">
        <w:rPr>
          <w:b/>
          <w:bCs/>
        </w:rPr>
        <w:t>构建质量调整后的净资产（</w:t>
      </w:r>
      <w:r w:rsidRPr="0041785E">
        <w:rPr>
          <w:b/>
          <w:bCs/>
        </w:rPr>
        <w:t>Quality-Adjusted Book Value</w:t>
      </w:r>
      <w:r w:rsidRPr="0041785E">
        <w:rPr>
          <w:b/>
          <w:bCs/>
        </w:rPr>
        <w:t>）</w:t>
      </w:r>
    </w:p>
    <w:p w14:paraId="6AA57B8E" w14:textId="77777777" w:rsidR="0041785E" w:rsidRDefault="0041785E" w:rsidP="0041785E">
      <w:pPr>
        <w:ind w:firstLine="480"/>
      </w:pPr>
      <w:r w:rsidRPr="0041785E">
        <w:t>为了规避价值陷阱，我们的核心思路是构建一个更为审慎、更为保守的</w:t>
      </w:r>
      <w:r w:rsidRPr="0041785E">
        <w:t>“</w:t>
      </w:r>
      <w:r w:rsidRPr="0041785E">
        <w:t>高质量账面价值</w:t>
      </w:r>
      <w:r w:rsidRPr="0041785E">
        <w:t>”</w:t>
      </w:r>
      <w:r w:rsidRPr="0041785E">
        <w:t>（</w:t>
      </w:r>
      <w:r w:rsidRPr="0041785E">
        <w:t xml:space="preserve">Quality-Adjusted Book Value, </w:t>
      </w:r>
      <w:r w:rsidRPr="0041785E">
        <w:t>简称</w:t>
      </w:r>
      <w:r w:rsidRPr="0041785E">
        <w:t xml:space="preserve"> Badj​</w:t>
      </w:r>
      <w:r w:rsidRPr="0041785E">
        <w:t>）。我们并非试图精确计算每家公司真实的经济价值</w:t>
      </w:r>
      <w:r w:rsidRPr="0041785E">
        <w:t>——</w:t>
      </w:r>
      <w:r w:rsidRPr="0041785E">
        <w:t>这在实践中几乎是不可能的。我们的目标是，在所有公司之间，建立一个统一的、更为保守的比较基准，对那些潜在风险较高的资产进行惩罚性扣减。</w:t>
      </w:r>
    </w:p>
    <w:p w14:paraId="4E25EF28" w14:textId="77777777" w:rsidR="0041785E" w:rsidRPr="00835931" w:rsidRDefault="0041785E" w:rsidP="0041785E">
      <w:pPr>
        <w:ind w:firstLine="480"/>
      </w:pPr>
      <w:r w:rsidRPr="00835931">
        <w:t>既然账面价值的质量如此重要，且其风险点（如商誉、存货）在不同行业间存在显著差异，我们面临一个关键选择：是应该对不同行业采用不同的调整方法，还是用一个统一的标准来</w:t>
      </w:r>
      <w:r w:rsidRPr="00835931">
        <w:t>“</w:t>
      </w:r>
      <w:r w:rsidRPr="00835931">
        <w:t>净化</w:t>
      </w:r>
      <w:r w:rsidRPr="00835931">
        <w:t>”</w:t>
      </w:r>
      <w:r w:rsidRPr="00835931">
        <w:t>账面价值？</w:t>
      </w:r>
    </w:p>
    <w:p w14:paraId="2054ABF9" w14:textId="77777777" w:rsidR="0041785E" w:rsidRPr="00835931" w:rsidRDefault="0041785E" w:rsidP="0041785E">
      <w:pPr>
        <w:numPr>
          <w:ilvl w:val="0"/>
          <w:numId w:val="25"/>
        </w:numPr>
        <w:ind w:firstLine="482"/>
      </w:pPr>
      <w:r w:rsidRPr="00835931">
        <w:rPr>
          <w:b/>
          <w:bCs/>
        </w:rPr>
        <w:t>行业差异的客观存在</w:t>
      </w:r>
      <w:r w:rsidRPr="00835931">
        <w:t>：轻资产的科技行业，其核心价值在于无形资产和研发能力，账面价值的意义本就有限；而重资产的制造业，其固定资产和存货的质量则是分析的重中之重。金融行业的资产负债表结构更是与其他行业截然不同。</w:t>
      </w:r>
    </w:p>
    <w:p w14:paraId="6B562C26" w14:textId="77777777" w:rsidR="0041785E" w:rsidRPr="00835931" w:rsidRDefault="0041785E" w:rsidP="0041785E">
      <w:pPr>
        <w:numPr>
          <w:ilvl w:val="0"/>
          <w:numId w:val="25"/>
        </w:numPr>
        <w:ind w:firstLine="482"/>
      </w:pPr>
      <w:r w:rsidRPr="00835931">
        <w:rPr>
          <w:b/>
          <w:bCs/>
        </w:rPr>
        <w:lastRenderedPageBreak/>
        <w:t>统一调整的优势</w:t>
      </w:r>
      <w:r w:rsidRPr="00835931">
        <w:t>：尽管行业特征各异，但作为系统性的量化策略，追求的是规则的普适性和一致性。设计过于复杂的、针对特定行业的调整规则，容易导致模型过拟合（</w:t>
      </w:r>
      <w:r w:rsidRPr="00835931">
        <w:t>Overfitting</w:t>
      </w:r>
      <w:r w:rsidRPr="00835931">
        <w:t>），使其在样本外表现不佳。一个统一的、逻辑清晰的调整方法，更能保证策略的稳健性。</w:t>
      </w:r>
    </w:p>
    <w:p w14:paraId="1FC470BE" w14:textId="77777777" w:rsidR="0041785E" w:rsidRPr="0041785E" w:rsidRDefault="0041785E" w:rsidP="0041785E">
      <w:pPr>
        <w:ind w:firstLine="480"/>
        <w:rPr>
          <w:rFonts w:hint="eastAsia"/>
        </w:rPr>
      </w:pPr>
    </w:p>
    <w:p w14:paraId="6981E3FB" w14:textId="50BA2D25" w:rsidR="0041785E" w:rsidRPr="0041785E" w:rsidRDefault="0041785E" w:rsidP="0041785E">
      <w:pPr>
        <w:ind w:firstLine="482"/>
        <w:rPr>
          <w:b/>
          <w:bCs/>
        </w:rPr>
      </w:pPr>
      <w:r w:rsidRPr="0041785E">
        <w:rPr>
          <w:b/>
          <w:bCs/>
        </w:rPr>
        <w:t>4.</w:t>
      </w:r>
      <w:r>
        <w:rPr>
          <w:rFonts w:hint="eastAsia"/>
          <w:b/>
          <w:bCs/>
        </w:rPr>
        <w:t>4.1</w:t>
      </w:r>
      <w:r w:rsidRPr="0041785E">
        <w:rPr>
          <w:b/>
          <w:bCs/>
        </w:rPr>
        <w:t xml:space="preserve"> </w:t>
      </w:r>
      <w:r w:rsidRPr="0041785E">
        <w:rPr>
          <w:b/>
          <w:bCs/>
        </w:rPr>
        <w:t>具体的调整方法</w:t>
      </w:r>
    </w:p>
    <w:p w14:paraId="3713F584" w14:textId="77777777" w:rsidR="0041785E" w:rsidRPr="0041785E" w:rsidRDefault="0041785E" w:rsidP="0041785E">
      <w:pPr>
        <w:ind w:firstLine="480"/>
      </w:pPr>
      <w:r w:rsidRPr="0041785E">
        <w:t>我们建议采用以下方法对账面价值进行调整：</w:t>
      </w:r>
    </w:p>
    <w:p w14:paraId="13BEA0EC" w14:textId="77777777" w:rsidR="0041785E" w:rsidRPr="0041785E" w:rsidRDefault="0041785E" w:rsidP="0041785E">
      <w:pPr>
        <w:numPr>
          <w:ilvl w:val="0"/>
          <w:numId w:val="31"/>
        </w:numPr>
        <w:ind w:firstLine="482"/>
      </w:pPr>
      <w:r w:rsidRPr="0041785E">
        <w:rPr>
          <w:b/>
          <w:bCs/>
        </w:rPr>
        <w:t>完全剔除商誉</w:t>
      </w:r>
      <w:r w:rsidRPr="0041785E">
        <w:t>：这是最直接也最重要的一步。鉴于商誉价值的高度不确定性，以及其减值对公司价值的巨大破坏力，作为保守的价值投资者，我们选择将其价值视为零。这是最简洁、最稳健的处理方式。</w:t>
      </w:r>
    </w:p>
    <w:p w14:paraId="13303AA7" w14:textId="77777777" w:rsidR="0041785E" w:rsidRPr="0041785E" w:rsidRDefault="0041785E" w:rsidP="0041785E">
      <w:pPr>
        <w:numPr>
          <w:ilvl w:val="0"/>
          <w:numId w:val="31"/>
        </w:numPr>
        <w:ind w:firstLine="482"/>
      </w:pPr>
      <w:r w:rsidRPr="0041785E">
        <w:rPr>
          <w:b/>
          <w:bCs/>
        </w:rPr>
        <w:t>对部分无形资产进行折扣</w:t>
      </w:r>
      <w:r w:rsidRPr="0041785E">
        <w:t>：除商誉外的其他无形资产，其价值同样参差不齐。为简化模型，我们可以考虑对</w:t>
      </w:r>
      <w:r w:rsidRPr="0041785E">
        <w:t>“</w:t>
      </w:r>
      <w:r w:rsidRPr="0041785E">
        <w:t>无形资产合计</w:t>
      </w:r>
      <w:r w:rsidRPr="0041785E">
        <w:t>”</w:t>
      </w:r>
      <w:r w:rsidRPr="0041785E">
        <w:t>进行一定比例的折扣，或者直接将其全部剔除。</w:t>
      </w:r>
    </w:p>
    <w:p w14:paraId="3C46E5FF" w14:textId="77777777" w:rsidR="0041785E" w:rsidRDefault="0041785E" w:rsidP="0041785E">
      <w:pPr>
        <w:numPr>
          <w:ilvl w:val="0"/>
          <w:numId w:val="31"/>
        </w:numPr>
        <w:ind w:firstLine="482"/>
      </w:pPr>
      <w:r w:rsidRPr="0041785E">
        <w:rPr>
          <w:b/>
          <w:bCs/>
        </w:rPr>
        <w:t>对经营性资产进行折扣（可选）</w:t>
      </w:r>
      <w:r w:rsidRPr="0041785E">
        <w:t>：对应收账款和存货进行折扣，理论上可以进一步提升账面价值的质量。例如，可以从净资产中扣除一定比例（如</w:t>
      </w:r>
      <w:r w:rsidRPr="0041785E">
        <w:t xml:space="preserve"> α%</w:t>
      </w:r>
      <w:r w:rsidRPr="0041785E">
        <w:t>）的应收账款和一定比例（如</w:t>
      </w:r>
      <w:r w:rsidRPr="0041785E">
        <w:t xml:space="preserve"> β%</w:t>
      </w:r>
      <w:r w:rsidRPr="0041785E">
        <w:t>）的存货。但这种做法的难点在于折扣系数</w:t>
      </w:r>
      <w:r w:rsidRPr="0041785E">
        <w:t xml:space="preserve"> α </w:t>
      </w:r>
      <w:r w:rsidRPr="0041785E">
        <w:t>和</w:t>
      </w:r>
      <w:r w:rsidRPr="0041785E">
        <w:t xml:space="preserve"> β </w:t>
      </w:r>
      <w:r w:rsidRPr="0041785E">
        <w:t>的设定，它们在不同行业、不同公司间差异巨大，设定统一的系数可能引入新的噪声。</w:t>
      </w:r>
    </w:p>
    <w:p w14:paraId="29AEBD08" w14:textId="77777777" w:rsidR="0041785E" w:rsidRDefault="0041785E" w:rsidP="0041785E">
      <w:pPr>
        <w:ind w:left="1200" w:firstLineChars="0" w:firstLine="0"/>
      </w:pPr>
      <w:r w:rsidRPr="0041785E">
        <w:rPr>
          <w:rFonts w:hint="eastAsia"/>
        </w:rPr>
        <w:t>应收账款：</w:t>
      </w:r>
      <w:r w:rsidRPr="0041785E">
        <w:t>B_adj = B - (</w:t>
      </w:r>
      <w:r w:rsidRPr="0041785E">
        <w:rPr>
          <w:rFonts w:hint="eastAsia"/>
        </w:rPr>
        <w:t>应收账款</w:t>
      </w:r>
      <w:r w:rsidRPr="0041785E">
        <w:t xml:space="preserve"> * a%)</w:t>
      </w:r>
      <w:r w:rsidRPr="0041785E">
        <w:rPr>
          <w:rFonts w:hint="eastAsia"/>
        </w:rPr>
        <w:t>。这个</w:t>
      </w:r>
      <w:r w:rsidRPr="0041785E">
        <w:t>a%</w:t>
      </w:r>
      <w:r w:rsidRPr="0041785E">
        <w:rPr>
          <w:rFonts w:hint="eastAsia"/>
        </w:rPr>
        <w:t>可以根据行业特点或公司历史坏</w:t>
      </w:r>
    </w:p>
    <w:p w14:paraId="67EE1903" w14:textId="77777777" w:rsidR="0041785E" w:rsidRPr="00DB2419" w:rsidRDefault="0041785E" w:rsidP="0041785E">
      <w:pPr>
        <w:numPr>
          <w:ilvl w:val="1"/>
          <w:numId w:val="20"/>
        </w:numPr>
        <w:ind w:firstLine="482"/>
      </w:pPr>
      <w:r w:rsidRPr="00DB2419">
        <w:rPr>
          <w:b/>
          <w:bCs/>
        </w:rPr>
        <w:t>经营资产调整</w:t>
      </w:r>
      <w:r w:rsidRPr="00DB2419">
        <w:t>：</w:t>
      </w:r>
    </w:p>
    <w:p w14:paraId="3442885E" w14:textId="77777777" w:rsidR="0041785E" w:rsidRPr="00DB2419" w:rsidRDefault="0041785E" w:rsidP="0041785E">
      <w:pPr>
        <w:numPr>
          <w:ilvl w:val="2"/>
          <w:numId w:val="20"/>
        </w:numPr>
        <w:ind w:firstLine="482"/>
      </w:pPr>
      <w:r w:rsidRPr="00DB2419">
        <w:rPr>
          <w:b/>
          <w:bCs/>
        </w:rPr>
        <w:t>存货</w:t>
      </w:r>
      <w:r w:rsidRPr="00DB2419">
        <w:t>：</w:t>
      </w:r>
      <w:r w:rsidRPr="00DB2419">
        <w:t>B_adj = B - (</w:t>
      </w:r>
      <w:r w:rsidRPr="00DB2419">
        <w:t>存货</w:t>
      </w:r>
      <w:r w:rsidRPr="00DB2419">
        <w:t xml:space="preserve"> * b%)</w:t>
      </w:r>
      <w:r w:rsidRPr="00DB2419">
        <w:t>。对于某些行业（如快消、电子），存货价值下跌很快，可以设置一个折扣率。</w:t>
      </w:r>
    </w:p>
    <w:p w14:paraId="40ADD5C1" w14:textId="77777777" w:rsidR="0041785E" w:rsidRPr="0041785E" w:rsidRDefault="0041785E" w:rsidP="0041785E">
      <w:pPr>
        <w:ind w:left="1200" w:firstLineChars="0" w:firstLine="0"/>
      </w:pPr>
    </w:p>
    <w:p w14:paraId="4C4220F0" w14:textId="2F96A111" w:rsidR="0041785E" w:rsidRPr="0041785E" w:rsidRDefault="0041785E" w:rsidP="0041785E">
      <w:pPr>
        <w:ind w:left="1200" w:firstLineChars="0" w:firstLine="0"/>
        <w:rPr>
          <w:rFonts w:hint="eastAsia"/>
        </w:rPr>
      </w:pPr>
      <w:r w:rsidRPr="0041785E">
        <w:rPr>
          <w:rFonts w:hint="eastAsia"/>
        </w:rPr>
        <w:t>账率来设定一个折扣。</w:t>
      </w:r>
    </w:p>
    <w:p w14:paraId="06F22C80" w14:textId="77777777" w:rsidR="0041785E" w:rsidRPr="0041785E" w:rsidRDefault="0041785E" w:rsidP="0041785E">
      <w:pPr>
        <w:ind w:firstLine="480"/>
      </w:pPr>
      <w:r w:rsidRPr="0041785E">
        <w:t>考虑到模型的简洁性和稳健性，在本章的策略构建中，</w:t>
      </w:r>
      <w:r w:rsidRPr="0041785E">
        <w:rPr>
          <w:b/>
          <w:bCs/>
        </w:rPr>
        <w:t>我们优先采用仅剔除商誉的调整方法</w:t>
      </w:r>
      <w:r w:rsidRPr="0041785E">
        <w:t>，因为它逻辑最清晰，风险抓取也最为关键。</w:t>
      </w:r>
    </w:p>
    <w:p w14:paraId="13A1DB35" w14:textId="77777777" w:rsidR="0041785E" w:rsidRPr="0041785E" w:rsidRDefault="0041785E" w:rsidP="0041785E">
      <w:pPr>
        <w:ind w:firstLine="482"/>
        <w:rPr>
          <w:b/>
          <w:bCs/>
        </w:rPr>
      </w:pPr>
      <w:r w:rsidRPr="0041785E">
        <w:rPr>
          <w:b/>
          <w:bCs/>
        </w:rPr>
        <w:t xml:space="preserve">4.2.2 </w:t>
      </w:r>
      <w:r w:rsidRPr="0041785E">
        <w:rPr>
          <w:b/>
          <w:bCs/>
        </w:rPr>
        <w:t>公示整合与新估值指标</w:t>
      </w:r>
    </w:p>
    <w:p w14:paraId="60C849FB" w14:textId="4AFD6B35" w:rsidR="0041785E" w:rsidRPr="0041785E" w:rsidRDefault="0041785E" w:rsidP="0041785E">
      <w:pPr>
        <w:ind w:firstLine="480"/>
      </w:pPr>
    </w:p>
    <w:p w14:paraId="0F3AC3E1" w14:textId="77777777" w:rsidR="0041785E" w:rsidRPr="00835931" w:rsidRDefault="0041785E" w:rsidP="0041785E">
      <w:pPr>
        <w:ind w:firstLine="482"/>
      </w:pPr>
      <w:r w:rsidRPr="00835931">
        <w:rPr>
          <w:b/>
          <w:bCs/>
        </w:rPr>
        <w:t>本书的观点倾向于后者：采用统一的调整方法，并依赖策略本身的行业中性化处理来消除行业偏见。</w:t>
      </w:r>
    </w:p>
    <w:p w14:paraId="5C793B05" w14:textId="77777777" w:rsidR="0041785E" w:rsidRPr="00835931" w:rsidRDefault="0041785E" w:rsidP="0041785E">
      <w:pPr>
        <w:ind w:firstLine="480"/>
      </w:pPr>
      <w:r w:rsidRPr="00835931">
        <w:t>我们的核心思路是，构建一个更为审慎、更为保守的</w:t>
      </w:r>
      <w:r w:rsidRPr="00835931">
        <w:t>“</w:t>
      </w:r>
      <w:r w:rsidRPr="00835931">
        <w:t>高质量账面价值</w:t>
      </w:r>
      <w:r w:rsidRPr="00835931">
        <w:t>”</w:t>
      </w:r>
      <w:r w:rsidRPr="00835931">
        <w:t>（</w:t>
      </w:r>
      <w:r w:rsidRPr="00835931">
        <w:t>Quality Book Value, BQ</w:t>
      </w:r>
      <w:r w:rsidRPr="00835931">
        <w:t>）指标。例如，我们可以从账面价值中扣除全部商誉，并对特定资产（如应收账款、存货）进行一定比例的折扣。</w:t>
      </w:r>
      <w:r w:rsidRPr="00835931">
        <w:t xml:space="preserve"> </w:t>
      </w:r>
    </w:p>
    <w:p w14:paraId="31DA1612" w14:textId="77777777" w:rsidR="0041785E" w:rsidRPr="00835931" w:rsidRDefault="0041785E" w:rsidP="0041785E">
      <w:pPr>
        <w:ind w:firstLine="480"/>
      </w:pPr>
      <w:r w:rsidRPr="00835931">
        <w:t>BQ​=B−Goodwill−λ1​</w:t>
      </w:r>
      <w:r w:rsidRPr="00835931">
        <w:rPr>
          <w:rFonts w:ascii="Cambria Math" w:hAnsi="Cambria Math" w:cs="Cambria Math"/>
        </w:rPr>
        <w:t>⋅</w:t>
      </w:r>
      <w:r w:rsidRPr="00835931">
        <w:t>Accounts Receivable−λ2​</w:t>
      </w:r>
      <w:r w:rsidRPr="00835931">
        <w:rPr>
          <w:rFonts w:ascii="Cambria Math" w:hAnsi="Cambria Math" w:cs="Cambria Math"/>
        </w:rPr>
        <w:t>⋅</w:t>
      </w:r>
      <w:r w:rsidRPr="00835931">
        <w:t>Inventory</w:t>
      </w:r>
    </w:p>
    <w:p w14:paraId="168D6F8E" w14:textId="77777777" w:rsidR="0041785E" w:rsidRPr="00835931" w:rsidRDefault="0041785E" w:rsidP="0041785E">
      <w:pPr>
        <w:ind w:firstLine="480"/>
      </w:pPr>
      <w:r w:rsidRPr="00835931">
        <w:lastRenderedPageBreak/>
        <w:t>其中，</w:t>
      </w:r>
      <w:r w:rsidRPr="00835931">
        <w:t>λ</w:t>
      </w:r>
      <w:r w:rsidRPr="00835931">
        <w:t>为折扣系数。通过这种方式，我们并非试图去精确计算每个公司真实的经济价值，这是不可能完成的任务。我们的目标是，在所有公司之间，</w:t>
      </w:r>
      <w:r w:rsidRPr="00835931">
        <w:rPr>
          <w:b/>
          <w:bCs/>
        </w:rPr>
        <w:t>建立一个统一的、更为保守的比较基准</w:t>
      </w:r>
      <w:r w:rsidRPr="00835931">
        <w:t>。</w:t>
      </w:r>
    </w:p>
    <w:p w14:paraId="4D02580A" w14:textId="77777777" w:rsidR="0041785E" w:rsidRPr="00DB2419" w:rsidRDefault="0041785E" w:rsidP="0041785E">
      <w:pPr>
        <w:numPr>
          <w:ilvl w:val="0"/>
          <w:numId w:val="32"/>
        </w:numPr>
        <w:ind w:firstLineChars="0"/>
      </w:pPr>
      <w:r w:rsidRPr="00DB2419">
        <w:rPr>
          <w:b/>
          <w:bCs/>
        </w:rPr>
        <w:t>构建新的估值指标：</w:t>
      </w:r>
      <w:r w:rsidRPr="00DB2419">
        <w:rPr>
          <w:b/>
          <w:bCs/>
        </w:rPr>
        <w:t>P/B_adj</w:t>
      </w:r>
    </w:p>
    <w:p w14:paraId="6DF84D20" w14:textId="77777777" w:rsidR="0041785E" w:rsidRPr="00DB2419" w:rsidRDefault="0041785E" w:rsidP="0041785E">
      <w:pPr>
        <w:numPr>
          <w:ilvl w:val="1"/>
          <w:numId w:val="32"/>
        </w:numPr>
        <w:ind w:firstLine="480"/>
      </w:pPr>
      <w:r w:rsidRPr="00DB2419">
        <w:t>定义：</w:t>
      </w:r>
      <w:r w:rsidRPr="00DB2419">
        <w:t>P/B_adj = Market Capitalization / B_adj</w:t>
      </w:r>
    </w:p>
    <w:p w14:paraId="69B3A821" w14:textId="77777777" w:rsidR="0041785E" w:rsidRPr="00DB2419" w:rsidRDefault="0041785E" w:rsidP="0041785E">
      <w:pPr>
        <w:numPr>
          <w:ilvl w:val="1"/>
          <w:numId w:val="32"/>
        </w:numPr>
        <w:ind w:firstLine="480"/>
      </w:pPr>
      <w:r w:rsidRPr="00DB2419">
        <w:t>这个新指标，可以被看作是</w:t>
      </w:r>
      <w:r w:rsidRPr="00DB2419">
        <w:t>“</w:t>
      </w:r>
      <w:r w:rsidRPr="00DB2419">
        <w:t>质量调整后的市净率</w:t>
      </w:r>
      <w:r w:rsidRPr="00DB2419">
        <w:t>”</w:t>
      </w:r>
      <w:r w:rsidRPr="00DB2419">
        <w:t>，它衡量的是市值相对于</w:t>
      </w:r>
      <w:r w:rsidRPr="00DB2419">
        <w:t>“</w:t>
      </w:r>
      <w:r w:rsidRPr="00DB2419">
        <w:t>硬资产</w:t>
      </w:r>
      <w:r w:rsidRPr="00DB2419">
        <w:t>”</w:t>
      </w:r>
      <w:r w:rsidRPr="00DB2419">
        <w:t>的倍数。</w:t>
      </w:r>
    </w:p>
    <w:p w14:paraId="3BFD4151" w14:textId="1E60C29A" w:rsidR="00DB2419" w:rsidRDefault="00DB2419" w:rsidP="00DB2419">
      <w:pPr>
        <w:ind w:firstLine="480"/>
      </w:pPr>
    </w:p>
    <w:p w14:paraId="49643DD2" w14:textId="77777777" w:rsidR="00482421" w:rsidRPr="00482421" w:rsidRDefault="00482421" w:rsidP="00482421">
      <w:pPr>
        <w:ind w:firstLine="482"/>
        <w:rPr>
          <w:b/>
          <w:bCs/>
        </w:rPr>
      </w:pPr>
      <w:r w:rsidRPr="00482421">
        <w:rPr>
          <w:b/>
          <w:bCs/>
        </w:rPr>
        <w:t xml:space="preserve">4.3 </w:t>
      </w:r>
      <w:r w:rsidRPr="00482421">
        <w:rPr>
          <w:b/>
          <w:bCs/>
        </w:rPr>
        <w:t>实证研究：基于资产质量与残差动量的选股策略</w:t>
      </w:r>
    </w:p>
    <w:p w14:paraId="25A48E03" w14:textId="77777777" w:rsidR="00482421" w:rsidRPr="00482421" w:rsidRDefault="00482421" w:rsidP="00482421">
      <w:pPr>
        <w:ind w:firstLine="480"/>
      </w:pPr>
      <w:r w:rsidRPr="00482421">
        <w:t>现在，我们将运用新的估值指标</w:t>
      </w:r>
      <w:r w:rsidRPr="00482421">
        <w:t xml:space="preserve"> P/Badj​ </w:t>
      </w:r>
      <w:r w:rsidRPr="00482421">
        <w:t>来优化第三章的估值残差模型，并引入一个更强大的选股逻辑。</w:t>
      </w:r>
    </w:p>
    <w:p w14:paraId="34E8D212" w14:textId="77777777" w:rsidR="00482421" w:rsidRPr="00482421" w:rsidRDefault="00482421" w:rsidP="00482421">
      <w:pPr>
        <w:ind w:firstLine="482"/>
        <w:rPr>
          <w:b/>
          <w:bCs/>
        </w:rPr>
      </w:pPr>
      <w:r w:rsidRPr="00482421">
        <w:rPr>
          <w:b/>
          <w:bCs/>
        </w:rPr>
        <w:t xml:space="preserve">4.3.1 </w:t>
      </w:r>
      <w:r w:rsidRPr="00482421">
        <w:rPr>
          <w:b/>
          <w:bCs/>
        </w:rPr>
        <w:t>优化模型设定</w:t>
      </w:r>
    </w:p>
    <w:p w14:paraId="62CFD33B" w14:textId="77777777" w:rsidR="00482421" w:rsidRPr="00482421" w:rsidRDefault="00482421" w:rsidP="00482421">
      <w:pPr>
        <w:ind w:firstLine="480"/>
      </w:pPr>
      <w:r w:rsidRPr="00482421">
        <w:t>我们将第三章的基准模型进行优化。在每个调仓日，我们依然在行业内部进行横截面回归，但因变量替换为质量调整后的市净率的对数：</w:t>
      </w:r>
    </w:p>
    <w:p w14:paraId="59E75E57" w14:textId="77777777" w:rsidR="00482421" w:rsidRPr="00482421" w:rsidRDefault="00482421" w:rsidP="00482421">
      <w:pPr>
        <w:ind w:firstLine="482"/>
      </w:pPr>
      <w:r w:rsidRPr="00482421">
        <w:rPr>
          <w:b/>
          <w:bCs/>
        </w:rPr>
        <w:t>优化模型</w:t>
      </w:r>
      <w:r w:rsidRPr="00482421">
        <w:rPr>
          <w:b/>
          <w:bCs/>
        </w:rPr>
        <w:t xml:space="preserve"> (Refined Model):</w:t>
      </w:r>
      <w:r w:rsidRPr="00482421">
        <w:t xml:space="preserve"> </w:t>
      </w:r>
    </w:p>
    <w:p w14:paraId="1C1B1CA1" w14:textId="77777777" w:rsidR="00482421" w:rsidRPr="00482421" w:rsidRDefault="00482421" w:rsidP="00482421">
      <w:pPr>
        <w:ind w:firstLine="480"/>
      </w:pPr>
      <w:r w:rsidRPr="00482421">
        <w:t>ln(P/Badj​)i​=α′+β′</w:t>
      </w:r>
      <w:r w:rsidRPr="00482421">
        <w:rPr>
          <w:rFonts w:ascii="Cambria Math" w:hAnsi="Cambria Math" w:cs="Cambria Math"/>
        </w:rPr>
        <w:t>⋅</w:t>
      </w:r>
      <w:r w:rsidRPr="00482421">
        <w:t>ROEi​+ϵi′​</w:t>
      </w:r>
    </w:p>
    <w:p w14:paraId="57260AFA" w14:textId="77777777" w:rsidR="00482421" w:rsidRPr="00482421" w:rsidRDefault="00482421" w:rsidP="00482421">
      <w:pPr>
        <w:ind w:firstLine="480"/>
      </w:pPr>
      <w:r w:rsidRPr="00482421">
        <w:t>这里的残差</w:t>
      </w:r>
      <w:r w:rsidRPr="00482421">
        <w:t xml:space="preserve"> ϵi′​ </w:t>
      </w:r>
      <w:r w:rsidRPr="00482421">
        <w:t>的含义变得更加深刻：它度量了在同时控制了盈利能力（</w:t>
      </w:r>
      <w:r w:rsidRPr="00482421">
        <w:t>ROE</w:t>
      </w:r>
      <w:r w:rsidRPr="00482421">
        <w:t>）和核心资产质量（通过</w:t>
      </w:r>
      <w:r w:rsidRPr="00482421">
        <w:t xml:space="preserve"> Badj​</w:t>
      </w:r>
      <w:r w:rsidRPr="00482421">
        <w:t>）之后，一家公司真正的</w:t>
      </w:r>
      <w:r w:rsidRPr="00482421">
        <w:t>“</w:t>
      </w:r>
      <w:r w:rsidRPr="00482421">
        <w:t>纯净</w:t>
      </w:r>
      <w:r w:rsidRPr="00482421">
        <w:t>”</w:t>
      </w:r>
      <w:r w:rsidRPr="00482421">
        <w:t>低估程度。我们预期，这个新残差因子的选股能力将超越之前的模型。</w:t>
      </w:r>
    </w:p>
    <w:p w14:paraId="711F74C7" w14:textId="10821BD7" w:rsidR="00DB2419" w:rsidRPr="00DB2419" w:rsidRDefault="00070F80" w:rsidP="00DB2419">
      <w:pPr>
        <w:ind w:firstLine="482"/>
        <w:rPr>
          <w:b/>
          <w:bCs/>
        </w:rPr>
      </w:pPr>
      <w:r>
        <w:rPr>
          <w:rFonts w:hint="eastAsia"/>
          <w:b/>
          <w:bCs/>
        </w:rPr>
        <w:t>基于</w:t>
      </w:r>
      <w:r>
        <w:rPr>
          <w:rFonts w:hint="eastAsia"/>
          <w:b/>
          <w:bCs/>
        </w:rPr>
        <w:t>PB</w:t>
      </w:r>
      <w:r>
        <w:rPr>
          <w:rFonts w:hint="eastAsia"/>
          <w:b/>
          <w:bCs/>
        </w:rPr>
        <w:t>分位数的策略</w:t>
      </w:r>
    </w:p>
    <w:p w14:paraId="5ECFDDD8" w14:textId="5B1C19A2" w:rsidR="00DB2419" w:rsidRPr="00DB2419" w:rsidRDefault="00482421" w:rsidP="00DB2419">
      <w:pPr>
        <w:ind w:firstLine="480"/>
        <w:rPr>
          <w:rFonts w:hint="eastAsia"/>
        </w:rPr>
      </w:pPr>
      <w:r>
        <w:rPr>
          <w:rFonts w:hint="eastAsia"/>
        </w:rPr>
        <w:t xml:space="preserve"> </w:t>
      </w:r>
    </w:p>
    <w:p w14:paraId="63DC981C" w14:textId="77777777" w:rsidR="003424C4" w:rsidRDefault="003424C4" w:rsidP="00446145">
      <w:pPr>
        <w:ind w:firstLine="480"/>
      </w:pPr>
    </w:p>
    <w:p w14:paraId="72D8C5C3" w14:textId="77777777" w:rsidR="00070F80" w:rsidRPr="00DB2419" w:rsidRDefault="00070F80" w:rsidP="00446145">
      <w:pPr>
        <w:ind w:firstLine="480"/>
        <w:rPr>
          <w:rFonts w:hint="eastAsia"/>
        </w:rPr>
      </w:pPr>
    </w:p>
    <w:p w14:paraId="2990BDCA" w14:textId="77777777" w:rsidR="003424C4" w:rsidRDefault="003424C4" w:rsidP="00446145">
      <w:pPr>
        <w:ind w:firstLine="480"/>
      </w:pPr>
    </w:p>
    <w:p w14:paraId="683660FD" w14:textId="77777777" w:rsidR="00482421" w:rsidRDefault="00482421" w:rsidP="00FD7FEC">
      <w:pPr>
        <w:ind w:firstLine="480"/>
      </w:pPr>
    </w:p>
    <w:p w14:paraId="618CC41E" w14:textId="77777777" w:rsidR="003424C4" w:rsidRPr="00FD7FEC" w:rsidRDefault="003424C4" w:rsidP="00446145">
      <w:pPr>
        <w:ind w:firstLine="480"/>
      </w:pPr>
    </w:p>
    <w:p w14:paraId="48324D1E" w14:textId="77777777" w:rsidR="003424C4" w:rsidRDefault="003424C4" w:rsidP="00446145">
      <w:pPr>
        <w:ind w:firstLine="480"/>
      </w:pPr>
    </w:p>
    <w:p w14:paraId="4B787354" w14:textId="77777777" w:rsidR="003424C4" w:rsidRDefault="003424C4" w:rsidP="00446145">
      <w:pPr>
        <w:ind w:firstLine="480"/>
        <w:rPr>
          <w:rFonts w:hint="eastAsia"/>
        </w:rPr>
      </w:pPr>
    </w:p>
    <w:p w14:paraId="235A6201" w14:textId="768C01B7" w:rsidR="003424C4" w:rsidRDefault="003424C4" w:rsidP="00446145">
      <w:pPr>
        <w:ind w:firstLine="480"/>
      </w:pPr>
      <w:r>
        <w:rPr>
          <w:rFonts w:hint="eastAsia"/>
        </w:rPr>
        <w:t>第五章</w:t>
      </w:r>
    </w:p>
    <w:p w14:paraId="264EE9EE" w14:textId="01A71EA4" w:rsidR="003424C4" w:rsidRDefault="00626257" w:rsidP="00446145">
      <w:pPr>
        <w:ind w:firstLine="480"/>
        <w:rPr>
          <w:rFonts w:hint="eastAsia"/>
        </w:rPr>
      </w:pPr>
      <w:r>
        <w:rPr>
          <w:rFonts w:hint="eastAsia"/>
        </w:rPr>
        <w:t>现金流价格比</w:t>
      </w:r>
      <w:r>
        <w:rPr>
          <w:rFonts w:hint="eastAsia"/>
        </w:rPr>
        <w:t>CP</w:t>
      </w:r>
    </w:p>
    <w:p w14:paraId="1A28397E" w14:textId="77777777" w:rsidR="00507810" w:rsidRDefault="00507810" w:rsidP="00446145">
      <w:pPr>
        <w:ind w:firstLine="480"/>
      </w:pPr>
    </w:p>
    <w:p w14:paraId="3CBC1EAE" w14:textId="27DB1102" w:rsidR="009A1651" w:rsidRDefault="00AE4BE5" w:rsidP="00446145">
      <w:pPr>
        <w:ind w:firstLine="480"/>
      </w:pPr>
      <w:r>
        <w:rPr>
          <w:rFonts w:hint="eastAsia"/>
        </w:rPr>
        <w:t>ROE</w:t>
      </w:r>
      <w:r>
        <w:rPr>
          <w:rFonts w:hint="eastAsia"/>
        </w:rPr>
        <w:t>可能逐步回归，回归速度取决于</w:t>
      </w:r>
      <w:r>
        <w:rPr>
          <w:rFonts w:hint="eastAsia"/>
        </w:rPr>
        <w:t>ROIC</w:t>
      </w:r>
    </w:p>
    <w:p w14:paraId="6BA744C5" w14:textId="77777777" w:rsidR="00507810" w:rsidRDefault="00507810" w:rsidP="009A1651">
      <w:pPr>
        <w:ind w:firstLine="480"/>
      </w:pPr>
    </w:p>
    <w:p w14:paraId="04DB1AAC" w14:textId="77777777" w:rsidR="00507810" w:rsidRDefault="00507810" w:rsidP="009A1651">
      <w:pPr>
        <w:ind w:firstLine="480"/>
      </w:pPr>
    </w:p>
    <w:p w14:paraId="2BE4FA7A" w14:textId="0B061EDF" w:rsidR="009A1651" w:rsidRDefault="009A1651" w:rsidP="009A1651">
      <w:pPr>
        <w:ind w:firstLine="480"/>
      </w:pPr>
      <w:r>
        <w:rPr>
          <w:rFonts w:hint="eastAsia"/>
        </w:rPr>
        <w:lastRenderedPageBreak/>
        <w:t>现在我们来考虑一下事情的另一面。如果市场已经认识到股票的增长性，并将其市盈率哄抬到远高于一般股票的高度，那么购买这样的“增长型股票”就会有特殊风险。这里的问题在于，很高的市盈率可能已充分反映了预期增长，倘若增长不能兑现，并且盈利实际上还下降了（或者实际增长只是比预期的慢），你肯定会遭遇不测，损失惨重。此时，低市盈率股票盈利增长可能带来的双重好处，就可能变成高市盈率股票盈利下滑带来的双重打击。</w:t>
      </w:r>
    </w:p>
    <w:p w14:paraId="0A69E687" w14:textId="77777777" w:rsidR="009A1651" w:rsidRDefault="009A1651" w:rsidP="009A1651">
      <w:pPr>
        <w:ind w:firstLine="480"/>
      </w:pPr>
      <w:r>
        <w:rPr>
          <w:rFonts w:hint="eastAsia"/>
        </w:rPr>
        <w:t>鉴于此，我们可以提出一个投资策略，就是买入尚未被市场认同的、市盈率并未高出市场平均水平的增长型股票。即便股票的增长性没有实现，盈利反而还下降了，如果一开始市盈率较低，那么你受到的打击很可能只是单一的；如果公司后来的盈利情况果真如你所料，那么好处却可能是双重的。</w:t>
      </w:r>
    </w:p>
    <w:p w14:paraId="1BBD721B" w14:textId="77777777" w:rsidR="009A1651" w:rsidRPr="00B5195B" w:rsidRDefault="009A1651" w:rsidP="009A1651">
      <w:pPr>
        <w:ind w:firstLine="480"/>
      </w:pPr>
    </w:p>
    <w:p w14:paraId="34513EDA" w14:textId="77777777" w:rsidR="009A1651" w:rsidRPr="009A1651" w:rsidRDefault="009A1651" w:rsidP="00446145">
      <w:pPr>
        <w:ind w:firstLine="480"/>
      </w:pPr>
    </w:p>
    <w:p w14:paraId="0655603B" w14:textId="2F7AEAE6" w:rsidR="00446145" w:rsidRDefault="00446145" w:rsidP="00446145">
      <w:pPr>
        <w:ind w:firstLine="480"/>
      </w:pPr>
      <w:r w:rsidRPr="00286EF7">
        <w:rPr>
          <w:rFonts w:hint="eastAsia"/>
        </w:rPr>
        <w:t>在用</w:t>
      </w:r>
      <w:r w:rsidRPr="00286EF7">
        <w:rPr>
          <w:rFonts w:hint="eastAsia"/>
        </w:rPr>
        <w:t>ROE</w:t>
      </w:r>
      <w:r w:rsidRPr="00286EF7">
        <w:rPr>
          <w:rFonts w:hint="eastAsia"/>
        </w:rPr>
        <w:t>进行排序选股时，去掉</w:t>
      </w:r>
      <w:r w:rsidRPr="00286EF7">
        <w:rPr>
          <w:rFonts w:hint="eastAsia"/>
        </w:rPr>
        <w:t>roe</w:t>
      </w:r>
      <w:r w:rsidRPr="00286EF7">
        <w:rPr>
          <w:rFonts w:hint="eastAsia"/>
        </w:rPr>
        <w:t>大于</w:t>
      </w:r>
      <w:r w:rsidRPr="00286EF7">
        <w:rPr>
          <w:rFonts w:hint="eastAsia"/>
        </w:rPr>
        <w:t>50%</w:t>
      </w:r>
      <w:r w:rsidRPr="00286EF7">
        <w:rPr>
          <w:rFonts w:hint="eastAsia"/>
        </w:rPr>
        <w:t>的公司可以显著提升策略表现</w:t>
      </w:r>
      <w:r>
        <w:rPr>
          <w:rFonts w:hint="eastAsia"/>
        </w:rPr>
        <w:t>，</w:t>
      </w:r>
      <w:r w:rsidRPr="00286EF7">
        <w:rPr>
          <w:rFonts w:hint="eastAsia"/>
        </w:rPr>
        <w:t>roe</w:t>
      </w:r>
      <w:r w:rsidRPr="00286EF7">
        <w:rPr>
          <w:rFonts w:hint="eastAsia"/>
        </w:rPr>
        <w:t>在</w:t>
      </w:r>
      <w:r w:rsidRPr="00286EF7">
        <w:rPr>
          <w:rFonts w:hint="eastAsia"/>
        </w:rPr>
        <w:t>40%</w:t>
      </w:r>
      <w:r w:rsidRPr="00286EF7">
        <w:rPr>
          <w:rFonts w:hint="eastAsia"/>
        </w:rPr>
        <w:t>以上是难以持续的，并且容易受到投资者追捧，导致价格过高</w:t>
      </w:r>
      <w:r>
        <w:rPr>
          <w:rFonts w:hint="eastAsia"/>
        </w:rPr>
        <w:t>，</w:t>
      </w:r>
      <w:r w:rsidR="00626257">
        <w:t xml:space="preserve"> </w:t>
      </w:r>
    </w:p>
    <w:p w14:paraId="6F1150CB" w14:textId="77777777" w:rsidR="00446145" w:rsidRPr="00446145" w:rsidRDefault="00446145" w:rsidP="00DD46CD">
      <w:pPr>
        <w:ind w:firstLine="480"/>
      </w:pPr>
    </w:p>
    <w:p w14:paraId="7C7C22E9" w14:textId="034F2FFB" w:rsidR="00DD46CD" w:rsidRDefault="00DD46CD" w:rsidP="00DD46CD">
      <w:pPr>
        <w:ind w:firstLine="480"/>
      </w:pPr>
      <w:r>
        <w:rPr>
          <w:rFonts w:hint="eastAsia"/>
        </w:rPr>
        <w:t>经典并不意味着完美。恰恰相反，</w:t>
      </w:r>
      <w:r>
        <w:rPr>
          <w:rFonts w:hint="eastAsia"/>
        </w:rPr>
        <w:t>PB-ROE</w:t>
      </w:r>
      <w:r>
        <w:rPr>
          <w:rFonts w:hint="eastAsia"/>
        </w:rPr>
        <w:t>框架中存在的诸多“陷阱”与“盲区”——例如，</w:t>
      </w:r>
      <w:r>
        <w:rPr>
          <w:rFonts w:hint="eastAsia"/>
        </w:rPr>
        <w:t>ROE</w:t>
      </w:r>
      <w:r>
        <w:rPr>
          <w:rFonts w:hint="eastAsia"/>
        </w:rPr>
        <w:t>可能被高财务杠杆或一次性收益扭曲</w:t>
      </w:r>
    </w:p>
    <w:p w14:paraId="47D94618" w14:textId="77777777" w:rsidR="00C334AC" w:rsidRDefault="00C334AC" w:rsidP="001170B2">
      <w:pPr>
        <w:ind w:firstLine="480"/>
      </w:pPr>
    </w:p>
    <w:p w14:paraId="362CEF07" w14:textId="11395E49" w:rsidR="00C334AC" w:rsidRDefault="00C334AC" w:rsidP="0005235D">
      <w:pPr>
        <w:ind w:left="60" w:firstLineChars="0" w:firstLine="420"/>
        <w:rPr>
          <w:b/>
          <w:bCs/>
          <w:sz w:val="36"/>
          <w:szCs w:val="36"/>
        </w:rPr>
      </w:pPr>
      <w:r w:rsidRPr="0005235D">
        <w:rPr>
          <w:rFonts w:hint="eastAsia"/>
          <w:b/>
          <w:bCs/>
          <w:sz w:val="36"/>
          <w:szCs w:val="36"/>
        </w:rPr>
        <w:t>第四章</w:t>
      </w:r>
    </w:p>
    <w:p w14:paraId="1580523E" w14:textId="4CAB5885" w:rsidR="00497A5B" w:rsidRPr="00497A5B" w:rsidRDefault="00497A5B" w:rsidP="0005235D">
      <w:pPr>
        <w:ind w:left="60" w:firstLineChars="0" w:firstLine="420"/>
      </w:pPr>
      <w:r w:rsidRPr="00497A5B">
        <w:rPr>
          <w:rFonts w:hint="eastAsia"/>
        </w:rPr>
        <w:t>一类公司</w:t>
      </w:r>
      <w:r w:rsidRPr="00497A5B">
        <w:rPr>
          <w:rFonts w:hint="eastAsia"/>
        </w:rPr>
        <w:t>ROE</w:t>
      </w:r>
      <w:r w:rsidRPr="00497A5B">
        <w:rPr>
          <w:rFonts w:hint="eastAsia"/>
        </w:rPr>
        <w:t>是正自相关，一类负自相关，根据公司特征进行聚类</w:t>
      </w:r>
    </w:p>
    <w:p w14:paraId="5BD019B2" w14:textId="5E0334DA" w:rsidR="00E655CF" w:rsidRDefault="00E655CF" w:rsidP="005D1C6F">
      <w:pPr>
        <w:ind w:firstLine="482"/>
      </w:pPr>
      <w:r w:rsidRPr="00E655CF">
        <w:rPr>
          <w:rFonts w:hint="eastAsia"/>
          <w:b/>
          <w:bCs/>
        </w:rPr>
        <w:t>(1)</w:t>
      </w:r>
      <w:r w:rsidRPr="00E655CF">
        <w:rPr>
          <w:rFonts w:hint="eastAsia"/>
          <w:b/>
          <w:bCs/>
        </w:rPr>
        <w:t>关于</w:t>
      </w:r>
      <w:r w:rsidRPr="00E655CF">
        <w:rPr>
          <w:rFonts w:hint="eastAsia"/>
          <w:b/>
          <w:bCs/>
        </w:rPr>
        <w:t xml:space="preserve"> ROE</w:t>
      </w:r>
      <w:r w:rsidRPr="00E655CF">
        <w:rPr>
          <w:rFonts w:hint="eastAsia"/>
          <w:b/>
          <w:bCs/>
        </w:rPr>
        <w:t>的不足、优化以及指标体系建立。</w:t>
      </w:r>
      <w:r w:rsidRPr="00E655CF">
        <w:rPr>
          <w:rFonts w:hint="eastAsia"/>
        </w:rPr>
        <w:t>价值投资的核心是要挖掘出</w:t>
      </w:r>
      <w:r w:rsidRPr="00E655CF">
        <w:rPr>
          <w:rFonts w:hint="eastAsia"/>
        </w:rPr>
        <w:t>:</w:t>
      </w:r>
      <w:r w:rsidRPr="00E655CF">
        <w:rPr>
          <w:rFonts w:hint="eastAsia"/>
        </w:rPr>
        <w:t>盈利能力强、可持续、估值合理的好公司。单一的</w:t>
      </w:r>
      <w:r w:rsidRPr="00E655CF">
        <w:rPr>
          <w:rFonts w:hint="eastAsia"/>
        </w:rPr>
        <w:t xml:space="preserve"> ROE </w:t>
      </w:r>
      <w:r w:rsidRPr="00E655CF">
        <w:rPr>
          <w:rFonts w:hint="eastAsia"/>
        </w:rPr>
        <w:t>指标也存在一些不足的地方，主要有</w:t>
      </w:r>
      <w:r w:rsidRPr="00E655CF">
        <w:rPr>
          <w:rFonts w:hint="eastAsia"/>
        </w:rPr>
        <w:t>:1)</w:t>
      </w:r>
      <w:r w:rsidRPr="00E655CF">
        <w:rPr>
          <w:rFonts w:hint="eastAsia"/>
        </w:rPr>
        <w:t>单个</w:t>
      </w:r>
      <w:r w:rsidRPr="00E655CF">
        <w:rPr>
          <w:rFonts w:hint="eastAsia"/>
        </w:rPr>
        <w:t xml:space="preserve"> ROE </w:t>
      </w:r>
      <w:r w:rsidRPr="00E655CF">
        <w:rPr>
          <w:rFonts w:hint="eastAsia"/>
        </w:rPr>
        <w:t>指标未能体现公司盈利的趋势</w:t>
      </w:r>
      <w:r w:rsidRPr="00E655CF">
        <w:rPr>
          <w:rFonts w:hint="eastAsia"/>
        </w:rPr>
        <w:t>;2)</w:t>
      </w:r>
      <w:r w:rsidRPr="00E655CF">
        <w:rPr>
          <w:rFonts w:hint="eastAsia"/>
        </w:rPr>
        <w:t>高</w:t>
      </w:r>
      <w:r w:rsidRPr="00E655CF">
        <w:rPr>
          <w:rFonts w:hint="eastAsia"/>
        </w:rPr>
        <w:t xml:space="preserve"> ROE </w:t>
      </w:r>
      <w:r w:rsidRPr="00E655CF">
        <w:rPr>
          <w:rFonts w:hint="eastAsia"/>
        </w:rPr>
        <w:t>可能来自财务杠杆</w:t>
      </w:r>
      <w:r w:rsidRPr="00E655CF">
        <w:rPr>
          <w:rFonts w:hint="eastAsia"/>
        </w:rPr>
        <w:t>;3)</w:t>
      </w:r>
      <w:r w:rsidRPr="00E655CF">
        <w:rPr>
          <w:rFonts w:hint="eastAsia"/>
        </w:rPr>
        <w:t>未考虑经营现金状况</w:t>
      </w:r>
      <w:r w:rsidRPr="00E655CF">
        <w:rPr>
          <w:rFonts w:hint="eastAsia"/>
        </w:rPr>
        <w:t>;4)</w:t>
      </w:r>
      <w:r w:rsidRPr="00E655CF">
        <w:rPr>
          <w:rFonts w:hint="eastAsia"/>
        </w:rPr>
        <w:t>未考虑资产质量</w:t>
      </w:r>
      <w:r w:rsidRPr="00E655CF">
        <w:rPr>
          <w:rFonts w:hint="eastAsia"/>
        </w:rPr>
        <w:t>;5)</w:t>
      </w:r>
      <w:r w:rsidRPr="00E655CF">
        <w:rPr>
          <w:rFonts w:hint="eastAsia"/>
        </w:rPr>
        <w:t>可能已过度</w:t>
      </w:r>
      <w:r w:rsidRPr="00E655CF">
        <w:rPr>
          <w:rFonts w:hint="eastAsia"/>
        </w:rPr>
        <w:t xml:space="preserve"> pricein</w:t>
      </w:r>
      <w:r w:rsidRPr="00E655CF">
        <w:rPr>
          <w:rFonts w:hint="eastAsia"/>
        </w:rPr>
        <w:t>。因此，我们以</w:t>
      </w:r>
      <w:r w:rsidRPr="00E655CF">
        <w:rPr>
          <w:rFonts w:hint="eastAsia"/>
        </w:rPr>
        <w:t xml:space="preserve"> ROE</w:t>
      </w:r>
      <w:r w:rsidRPr="00E655CF">
        <w:rPr>
          <w:rFonts w:hint="eastAsia"/>
        </w:rPr>
        <w:t>为核心，加入其他财务指标进行优化</w:t>
      </w:r>
      <w:r w:rsidRPr="00E655CF">
        <w:rPr>
          <w:rFonts w:hint="eastAsia"/>
        </w:rPr>
        <w:t>:1)</w:t>
      </w:r>
      <w:r w:rsidRPr="00E655CF">
        <w:rPr>
          <w:rFonts w:hint="eastAsia"/>
        </w:rPr>
        <w:t>针对第一个问题，加入</w:t>
      </w:r>
      <w:r w:rsidRPr="00E655CF">
        <w:rPr>
          <w:rFonts w:hint="eastAsia"/>
        </w:rPr>
        <w:t xml:space="preserve">ROE </w:t>
      </w:r>
      <w:r w:rsidRPr="00E655CF">
        <w:rPr>
          <w:rFonts w:hint="eastAsia"/>
        </w:rPr>
        <w:t>趋势分析，参考毛利率和净利润增速的变化来讨论</w:t>
      </w:r>
      <w:r w:rsidRPr="00E655CF">
        <w:rPr>
          <w:rFonts w:hint="eastAsia"/>
        </w:rPr>
        <w:t>;2)</w:t>
      </w:r>
      <w:r w:rsidRPr="00E655CF">
        <w:rPr>
          <w:rFonts w:hint="eastAsia"/>
        </w:rPr>
        <w:t>针对第二个问题，加入</w:t>
      </w:r>
      <w:r w:rsidRPr="00E655CF">
        <w:rPr>
          <w:rFonts w:hint="eastAsia"/>
        </w:rPr>
        <w:t xml:space="preserve"> ROIC </w:t>
      </w:r>
      <w:r w:rsidRPr="00E655CF">
        <w:rPr>
          <w:rFonts w:hint="eastAsia"/>
        </w:rPr>
        <w:t>和负债率的分析</w:t>
      </w:r>
      <w:r w:rsidRPr="00E655CF">
        <w:rPr>
          <w:rFonts w:hint="eastAsia"/>
        </w:rPr>
        <w:t>;3)</w:t>
      </w:r>
      <w:r w:rsidRPr="00E655CF">
        <w:rPr>
          <w:rFonts w:hint="eastAsia"/>
        </w:rPr>
        <w:t>针对第三个问题，加入净经营现金流</w:t>
      </w:r>
      <w:r w:rsidRPr="00E655CF">
        <w:rPr>
          <w:rFonts w:hint="eastAsia"/>
        </w:rPr>
        <w:t>;4)</w:t>
      </w:r>
      <w:r w:rsidRPr="00E655CF">
        <w:rPr>
          <w:rFonts w:hint="eastAsia"/>
        </w:rPr>
        <w:t>针对第四个问题，加入商誉占比</w:t>
      </w:r>
      <w:r w:rsidRPr="00E655CF">
        <w:rPr>
          <w:rFonts w:hint="eastAsia"/>
        </w:rPr>
        <w:t>;5)</w:t>
      </w:r>
      <w:r w:rsidRPr="00E655CF">
        <w:rPr>
          <w:rFonts w:hint="eastAsia"/>
        </w:rPr>
        <w:t>针对第五个问题，加入</w:t>
      </w:r>
      <w:r w:rsidRPr="00E655CF">
        <w:rPr>
          <w:rFonts w:hint="eastAsia"/>
        </w:rPr>
        <w:t xml:space="preserve"> PE/PE </w:t>
      </w:r>
      <w:r w:rsidRPr="00E655CF">
        <w:rPr>
          <w:rFonts w:hint="eastAsia"/>
        </w:rPr>
        <w:t>分位或</w:t>
      </w:r>
      <w:r w:rsidRPr="00E655CF">
        <w:rPr>
          <w:rFonts w:hint="eastAsia"/>
        </w:rPr>
        <w:t xml:space="preserve"> PB/PB </w:t>
      </w:r>
      <w:r w:rsidRPr="00E655CF">
        <w:rPr>
          <w:rFonts w:hint="eastAsia"/>
        </w:rPr>
        <w:t>分位。</w:t>
      </w:r>
    </w:p>
    <w:p w14:paraId="6607C8EE" w14:textId="77777777" w:rsidR="005A38D9" w:rsidRDefault="005A38D9" w:rsidP="005A38D9">
      <w:pPr>
        <w:ind w:firstLine="480"/>
      </w:pPr>
      <w:r>
        <w:rPr>
          <w:rFonts w:hint="eastAsia"/>
        </w:rPr>
        <w:t>理论上，</w:t>
      </w:r>
      <w:r>
        <w:rPr>
          <w:rFonts w:hint="eastAsia"/>
        </w:rPr>
        <w:t xml:space="preserve">ROIC </w:t>
      </w:r>
      <w:r>
        <w:rPr>
          <w:rFonts w:hint="eastAsia"/>
        </w:rPr>
        <w:t>可以更全面衡量企业的投资回报情况，弥补</w:t>
      </w:r>
      <w:r>
        <w:rPr>
          <w:rFonts w:hint="eastAsia"/>
        </w:rPr>
        <w:t xml:space="preserve"> ROE</w:t>
      </w:r>
      <w:r>
        <w:rPr>
          <w:rFonts w:hint="eastAsia"/>
        </w:rPr>
        <w:t>的不足。</w:t>
      </w:r>
      <w:r>
        <w:rPr>
          <w:rFonts w:hint="eastAsia"/>
        </w:rPr>
        <w:t xml:space="preserve">ROIC </w:t>
      </w:r>
      <w:r>
        <w:rPr>
          <w:rFonts w:hint="eastAsia"/>
        </w:rPr>
        <w:t>是投入资本回报率，分子是税后息前净利润</w:t>
      </w:r>
      <w:r>
        <w:rPr>
          <w:rFonts w:hint="eastAsia"/>
        </w:rPr>
        <w:t>(NOPAT)</w:t>
      </w:r>
      <w:r>
        <w:rPr>
          <w:rFonts w:hint="eastAsia"/>
        </w:rPr>
        <w:t>，分母是净资产和有息负债，指所有投资者</w:t>
      </w:r>
      <w:r>
        <w:rPr>
          <w:rFonts w:hint="eastAsia"/>
        </w:rPr>
        <w:t>(</w:t>
      </w:r>
      <w:r>
        <w:rPr>
          <w:rFonts w:hint="eastAsia"/>
        </w:rPr>
        <w:t>股权人、债权人</w:t>
      </w:r>
      <w:r>
        <w:rPr>
          <w:rFonts w:hint="eastAsia"/>
        </w:rPr>
        <w:t>)</w:t>
      </w:r>
      <w:r>
        <w:rPr>
          <w:rFonts w:hint="eastAsia"/>
        </w:rPr>
        <w:t>投入的资金总和。若为更准确衡量企业核心经营回报，还可在</w:t>
      </w:r>
      <w:r>
        <w:rPr>
          <w:rFonts w:hint="eastAsia"/>
        </w:rPr>
        <w:t xml:space="preserve"> EBIT </w:t>
      </w:r>
      <w:r>
        <w:rPr>
          <w:rFonts w:hint="eastAsia"/>
        </w:rPr>
        <w:t>基础上剔除非经常损益的影响。</w:t>
      </w:r>
      <w:r>
        <w:rPr>
          <w:rFonts w:hint="eastAsia"/>
        </w:rPr>
        <w:t xml:space="preserve">ROE </w:t>
      </w:r>
      <w:r>
        <w:rPr>
          <w:rFonts w:hint="eastAsia"/>
        </w:rPr>
        <w:t>衡量的是企业能为股东带来多少回报，站在股东角度</w:t>
      </w:r>
      <w:r>
        <w:rPr>
          <w:rFonts w:hint="eastAsia"/>
        </w:rPr>
        <w:t>;</w:t>
      </w:r>
      <w:r>
        <w:rPr>
          <w:rFonts w:hint="eastAsia"/>
        </w:rPr>
        <w:t>而</w:t>
      </w:r>
      <w:r>
        <w:rPr>
          <w:rFonts w:hint="eastAsia"/>
        </w:rPr>
        <w:t xml:space="preserve">ROIC </w:t>
      </w:r>
      <w:r>
        <w:rPr>
          <w:rFonts w:hint="eastAsia"/>
        </w:rPr>
        <w:t>衡量的是企业所有投入能带来多少回报，反映的是企业创造价值的能力，且不受财务杠杆和非经常损益的影响</w:t>
      </w:r>
      <w:r>
        <w:rPr>
          <w:rFonts w:hint="eastAsia"/>
        </w:rPr>
        <w:t>(</w:t>
      </w:r>
      <w:r>
        <w:rPr>
          <w:rFonts w:hint="eastAsia"/>
        </w:rPr>
        <w:t>采用扣非</w:t>
      </w:r>
      <w:r>
        <w:rPr>
          <w:rFonts w:hint="eastAsia"/>
        </w:rPr>
        <w:t xml:space="preserve"> EBIT )</w:t>
      </w:r>
      <w:r>
        <w:rPr>
          <w:rFonts w:hint="eastAsia"/>
        </w:rPr>
        <w:t>，可用来弥补</w:t>
      </w:r>
      <w:r>
        <w:rPr>
          <w:rFonts w:hint="eastAsia"/>
        </w:rPr>
        <w:t xml:space="preserve"> ROE </w:t>
      </w:r>
      <w:r>
        <w:rPr>
          <w:rFonts w:hint="eastAsia"/>
        </w:rPr>
        <w:t>的不足。</w:t>
      </w:r>
    </w:p>
    <w:p w14:paraId="08739A83" w14:textId="77777777" w:rsidR="005A38D9" w:rsidRDefault="005A38D9" w:rsidP="005A38D9">
      <w:pPr>
        <w:ind w:firstLine="480"/>
      </w:pPr>
      <w:r>
        <w:rPr>
          <w:rFonts w:hint="eastAsia"/>
        </w:rPr>
        <w:lastRenderedPageBreak/>
        <w:t>警惕成长行业</w:t>
      </w:r>
      <w:r>
        <w:rPr>
          <w:rFonts w:hint="eastAsia"/>
        </w:rPr>
        <w:t xml:space="preserve"> ROIC </w:t>
      </w:r>
      <w:r>
        <w:rPr>
          <w:rFonts w:hint="eastAsia"/>
        </w:rPr>
        <w:t>与</w:t>
      </w:r>
      <w:r>
        <w:rPr>
          <w:rFonts w:hint="eastAsia"/>
        </w:rPr>
        <w:t xml:space="preserve"> ROE </w:t>
      </w:r>
      <w:r>
        <w:rPr>
          <w:rFonts w:hint="eastAsia"/>
        </w:rPr>
        <w:t>的背离。当出现背离，即“高</w:t>
      </w:r>
      <w:r>
        <w:rPr>
          <w:rFonts w:hint="eastAsia"/>
        </w:rPr>
        <w:t xml:space="preserve"> ROE+</w:t>
      </w:r>
      <w:r>
        <w:rPr>
          <w:rFonts w:hint="eastAsia"/>
        </w:rPr>
        <w:t>低</w:t>
      </w:r>
      <w:r>
        <w:rPr>
          <w:rFonts w:hint="eastAsia"/>
        </w:rPr>
        <w:t xml:space="preserve"> ROIC</w:t>
      </w:r>
      <w:r>
        <w:rPr>
          <w:rFonts w:hint="eastAsia"/>
        </w:rPr>
        <w:t>”的时候，应该引起警惕，可能是由于公司大量使用财务杠杆使得</w:t>
      </w:r>
      <w:r>
        <w:rPr>
          <w:rFonts w:hint="eastAsia"/>
        </w:rPr>
        <w:t xml:space="preserve"> ROE </w:t>
      </w:r>
      <w:r>
        <w:rPr>
          <w:rFonts w:hint="eastAsia"/>
        </w:rPr>
        <w:t>在高位，但低的</w:t>
      </w:r>
      <w:r>
        <w:rPr>
          <w:rFonts w:hint="eastAsia"/>
        </w:rPr>
        <w:t xml:space="preserve"> ROIC </w:t>
      </w:r>
      <w:r>
        <w:rPr>
          <w:rFonts w:hint="eastAsia"/>
        </w:rPr>
        <w:t>表明企业的投资回报率实际上是平庸的。对于成长中的行业，由于普遍使用较高的财务杠杆，其</w:t>
      </w:r>
      <w:r>
        <w:rPr>
          <w:rFonts w:hint="eastAsia"/>
        </w:rPr>
        <w:t xml:space="preserve">ROE </w:t>
      </w:r>
      <w:r>
        <w:rPr>
          <w:rFonts w:hint="eastAsia"/>
        </w:rPr>
        <w:t>可能并不能反应企业真正创造价值的能力，这时结合</w:t>
      </w:r>
      <w:r>
        <w:rPr>
          <w:rFonts w:hint="eastAsia"/>
        </w:rPr>
        <w:t xml:space="preserve"> ROIC </w:t>
      </w:r>
      <w:r>
        <w:rPr>
          <w:rFonts w:hint="eastAsia"/>
        </w:rPr>
        <w:t>来分析是非常有必要的。</w:t>
      </w:r>
    </w:p>
    <w:p w14:paraId="3AF85ED5" w14:textId="55FB4B8F" w:rsidR="00E655CF" w:rsidRDefault="005A38D9" w:rsidP="005A38D9">
      <w:pPr>
        <w:ind w:firstLine="480"/>
      </w:pPr>
      <w:r>
        <w:rPr>
          <w:rFonts w:hint="eastAsia"/>
        </w:rPr>
        <w:t>基于企业经济增加值模型，</w:t>
      </w:r>
      <w:r>
        <w:rPr>
          <w:rFonts w:hint="eastAsia"/>
        </w:rPr>
        <w:t>ROIC</w:t>
      </w:r>
      <w:r>
        <w:rPr>
          <w:rFonts w:hint="eastAsia"/>
        </w:rPr>
        <w:t>最低的要求是</w:t>
      </w:r>
      <w:r>
        <w:rPr>
          <w:rFonts w:hint="eastAsia"/>
        </w:rPr>
        <w:t>:ROIC&gt;WACC</w:t>
      </w:r>
      <w:r>
        <w:rPr>
          <w:rFonts w:hint="eastAsia"/>
        </w:rPr>
        <w:t>。</w:t>
      </w:r>
      <w:r>
        <w:rPr>
          <w:rFonts w:hint="eastAsia"/>
        </w:rPr>
        <w:t>EVA</w:t>
      </w:r>
      <w:r>
        <w:rPr>
          <w:rFonts w:hint="eastAsia"/>
        </w:rPr>
        <w:t>即经济增加值，其理论源于默顿·米勒和弗兰科·莫迪利亚尼《关于公司价值的经济模型》</w:t>
      </w:r>
      <w:r>
        <w:rPr>
          <w:rFonts w:hint="eastAsia"/>
        </w:rPr>
        <w:t xml:space="preserve">1990 </w:t>
      </w:r>
      <w:r>
        <w:rPr>
          <w:rFonts w:hint="eastAsia"/>
        </w:rPr>
        <w:t>年斯特恩</w:t>
      </w:r>
      <w:r>
        <w:rPr>
          <w:rFonts w:hint="eastAsia"/>
        </w:rPr>
        <w:t xml:space="preserve"> </w:t>
      </w:r>
      <w:r>
        <w:rPr>
          <w:rFonts w:hint="eastAsia"/>
        </w:rPr>
        <w:t>·斯图尔特咨询公司首次提出后迅速在世界范围内获得广泛的运用。当</w:t>
      </w:r>
      <w:r>
        <w:rPr>
          <w:rFonts w:hint="eastAsia"/>
        </w:rPr>
        <w:t xml:space="preserve"> ROIC </w:t>
      </w:r>
      <w:r>
        <w:rPr>
          <w:rFonts w:hint="eastAsia"/>
        </w:rPr>
        <w:t>小于</w:t>
      </w:r>
      <w:r>
        <w:rPr>
          <w:rFonts w:hint="eastAsia"/>
        </w:rPr>
        <w:t xml:space="preserve"> WACC</w:t>
      </w:r>
      <w:r>
        <w:rPr>
          <w:rFonts w:hint="eastAsia"/>
        </w:rPr>
        <w:t>，即资本回报小于资本成本的时候，就算净利润增速为正，企业的价值也是在萎缩的。因此只有</w:t>
      </w:r>
      <w:r>
        <w:rPr>
          <w:rFonts w:hint="eastAsia"/>
        </w:rPr>
        <w:t xml:space="preserve"> ROIC </w:t>
      </w:r>
      <w:r>
        <w:rPr>
          <w:rFonts w:hint="eastAsia"/>
        </w:rPr>
        <w:t>超出</w:t>
      </w:r>
      <w:r>
        <w:rPr>
          <w:rFonts w:hint="eastAsia"/>
        </w:rPr>
        <w:t xml:space="preserve"> WACC </w:t>
      </w:r>
      <w:r>
        <w:rPr>
          <w:rFonts w:hint="eastAsia"/>
        </w:rPr>
        <w:t>的成长，才是真正有意义的成长，一般取</w:t>
      </w:r>
      <w:r>
        <w:rPr>
          <w:rFonts w:hint="eastAsia"/>
        </w:rPr>
        <w:t xml:space="preserve"> 7%-8%</w:t>
      </w:r>
      <w:r>
        <w:rPr>
          <w:rFonts w:hint="eastAsia"/>
        </w:rPr>
        <w:t>即可。</w:t>
      </w:r>
    </w:p>
    <w:p w14:paraId="59C69714" w14:textId="27ACF967" w:rsidR="005D1C6F" w:rsidRDefault="005D1C6F" w:rsidP="001170B2">
      <w:pPr>
        <w:ind w:firstLine="480"/>
      </w:pPr>
      <w:r w:rsidRPr="005D1C6F">
        <w:rPr>
          <w:rFonts w:hint="eastAsia"/>
        </w:rPr>
        <w:t>上市公司超乎寻常的长期盈利增长率，是促成多数股票投资获得成功的唯一最重要的因素。谷歌、网飞以及其他所有历史上表现真正杰出的股票均属增长型股票。虽然选中盈利增长的股票可能非常不易，但这是投资获得成功最需做到的事情。上市公司持续不断的增长，不仅会提高其盈利和股利，也可能使市场愿意为这样的盈利付出较高的市盈率。因此，买入盈利开始快速增长的公司股票，投资者便有机会赢得潜在的双重好处——盈利和市盈率都可能提高。</w:t>
      </w:r>
    </w:p>
    <w:p w14:paraId="44F80844" w14:textId="77777777" w:rsidR="005D1C6F" w:rsidRDefault="005D1C6F" w:rsidP="001170B2">
      <w:pPr>
        <w:ind w:firstLine="480"/>
      </w:pPr>
    </w:p>
    <w:p w14:paraId="2AB613A0" w14:textId="77777777" w:rsidR="00E10499" w:rsidRDefault="00E10499" w:rsidP="001170B2">
      <w:pPr>
        <w:ind w:firstLine="480"/>
      </w:pPr>
    </w:p>
    <w:p w14:paraId="0C629B23" w14:textId="45208951" w:rsidR="00E10499" w:rsidRDefault="00E10499" w:rsidP="001170B2">
      <w:pPr>
        <w:ind w:firstLine="480"/>
      </w:pPr>
      <w:r w:rsidRPr="00E10499">
        <w:rPr>
          <w:rFonts w:hint="eastAsia"/>
        </w:rPr>
        <w:t>有时，我也依靠林迪定律，该定律认为一项技术的未来预期寿命与其当前年龄成正比。因此，如果某样东西已经存在了一段时间，我会假设它还会继续存在一段时间。</w:t>
      </w:r>
    </w:p>
    <w:p w14:paraId="2D6EE519" w14:textId="77777777" w:rsidR="00E10499" w:rsidRPr="00E10499" w:rsidRDefault="00E10499" w:rsidP="001170B2">
      <w:pPr>
        <w:ind w:firstLine="480"/>
      </w:pPr>
    </w:p>
    <w:p w14:paraId="611D079C" w14:textId="4092E489" w:rsidR="00E127F0" w:rsidRDefault="00E127F0" w:rsidP="001170B2">
      <w:pPr>
        <w:ind w:firstLine="480"/>
      </w:pPr>
      <w:r>
        <w:rPr>
          <w:rFonts w:hint="eastAsia"/>
        </w:rPr>
        <w:t>T</w:t>
      </w:r>
      <w:r>
        <w:rPr>
          <w:rFonts w:hint="eastAsia"/>
        </w:rPr>
        <w:t>（投资期限）越长，公司越好，如何知道哪些公司</w:t>
      </w:r>
      <w:r>
        <w:rPr>
          <w:rFonts w:hint="eastAsia"/>
        </w:rPr>
        <w:t>T</w:t>
      </w:r>
      <w:r>
        <w:rPr>
          <w:rFonts w:hint="eastAsia"/>
        </w:rPr>
        <w:t>长呢？已经维持了许多年高</w:t>
      </w:r>
      <w:r>
        <w:rPr>
          <w:rFonts w:hint="eastAsia"/>
        </w:rPr>
        <w:t>ROE</w:t>
      </w:r>
      <w:r>
        <w:rPr>
          <w:rFonts w:hint="eastAsia"/>
        </w:rPr>
        <w:t>的公司，就是这么简单，巴菲特的选股方法。</w:t>
      </w:r>
    </w:p>
    <w:p w14:paraId="2D44E87B" w14:textId="5BD5DED1" w:rsidR="00E127F0" w:rsidRDefault="00E127F0" w:rsidP="001170B2">
      <w:pPr>
        <w:ind w:firstLine="480"/>
      </w:pPr>
      <w:r>
        <w:rPr>
          <w:rFonts w:hint="eastAsia"/>
        </w:rPr>
        <w:t>圣经是存在时间最长的书，读的人也最多，国富论四百年了，仍然是经典，已经存在了很久的东西，在接下来一百年一千年也大概率存在。</w:t>
      </w:r>
    </w:p>
    <w:p w14:paraId="2F3A4665" w14:textId="50BA82E7" w:rsidR="00E127F0" w:rsidRDefault="00E127F0" w:rsidP="001170B2">
      <w:pPr>
        <w:ind w:firstLine="480"/>
      </w:pPr>
      <w:r>
        <w:rPr>
          <w:rFonts w:hint="eastAsia"/>
        </w:rPr>
        <w:t>难道就没有别的比圣经，比国富论写的更早的书吗，有，但是这些书已经被淘汰了，没有人看了，也没能够流传下来。歌曲也是一样，二十年的是经典，过了二十年还是经典，而现在的新出的流行歌，过二十年就没人记得了。</w:t>
      </w:r>
    </w:p>
    <w:p w14:paraId="19AA2F15" w14:textId="059488B3" w:rsidR="00E127F0" w:rsidRPr="00E127F0" w:rsidRDefault="00E127F0" w:rsidP="001170B2">
      <w:pPr>
        <w:ind w:firstLine="480"/>
      </w:pPr>
      <w:r>
        <w:rPr>
          <w:rFonts w:hint="eastAsia"/>
        </w:rPr>
        <w:t>公司也是一样，已经有十年高壁垒的公司，未来也是，现在刚刚</w:t>
      </w:r>
      <w:r>
        <w:rPr>
          <w:rFonts w:hint="eastAsia"/>
        </w:rPr>
        <w:t>ROE</w:t>
      </w:r>
      <w:r>
        <w:rPr>
          <w:rFonts w:hint="eastAsia"/>
        </w:rPr>
        <w:t>高的公司，未来收益率会不断下降，因为新的竞争者会进入（数据证明）</w:t>
      </w:r>
    </w:p>
    <w:p w14:paraId="1AEA6CF0" w14:textId="77777777" w:rsidR="005D1C6F" w:rsidRDefault="005D1C6F" w:rsidP="001170B2">
      <w:pPr>
        <w:ind w:firstLine="480"/>
      </w:pPr>
    </w:p>
    <w:p w14:paraId="168C94FF" w14:textId="53680CF9" w:rsidR="00D46649" w:rsidRDefault="00D46649" w:rsidP="001170B2">
      <w:pPr>
        <w:ind w:firstLine="480"/>
      </w:pPr>
      <w:r w:rsidRPr="00D46649">
        <w:rPr>
          <w:rFonts w:hint="eastAsia"/>
        </w:rPr>
        <w:t>晨星公司前研究部主任，《巴菲特的护城河》（</w:t>
      </w:r>
      <w:r w:rsidRPr="00D46649">
        <w:rPr>
          <w:rFonts w:hint="eastAsia"/>
        </w:rPr>
        <w:t>The Little Book that Builds Wealth</w:t>
      </w:r>
      <w:r w:rsidRPr="00D46649">
        <w:rPr>
          <w:rFonts w:hint="eastAsia"/>
        </w:rPr>
        <w:t>）的作者帕特·多尔西（</w:t>
      </w:r>
      <w:r w:rsidRPr="00D46649">
        <w:rPr>
          <w:rFonts w:hint="eastAsia"/>
        </w:rPr>
        <w:t>Pat Dorsey</w:t>
      </w:r>
      <w:r w:rsidRPr="00D46649">
        <w:rPr>
          <w:rFonts w:hint="eastAsia"/>
        </w:rPr>
        <w:t>）说：</w:t>
      </w:r>
    </w:p>
    <w:p w14:paraId="6EDD2DA4" w14:textId="5B6D98D2" w:rsidR="00C334AC" w:rsidRDefault="00D46649" w:rsidP="001170B2">
      <w:pPr>
        <w:ind w:firstLine="480"/>
      </w:pPr>
      <w:r w:rsidRPr="00D46649">
        <w:rPr>
          <w:rFonts w:hint="eastAsia"/>
        </w:rPr>
        <w:t>我认为护城河（竞争优势）与内在价值之间的联系是，护城河能够使在护城河内有大量再投资机会的企业增值。一个拥有大量“护城河内的”投资机会的企业比没有竞争优势和再投资</w:t>
      </w:r>
      <w:r w:rsidRPr="00D46649">
        <w:rPr>
          <w:rFonts w:hint="eastAsia"/>
        </w:rPr>
        <w:lastRenderedPageBreak/>
        <w:t>机会的企业具有更高的内在价值，因为前者复合现金流的效率很高，而后者则被迫在次优机会下使用现金。</w:t>
      </w:r>
    </w:p>
    <w:p w14:paraId="07656680" w14:textId="6F513B1F" w:rsidR="00C334AC" w:rsidRDefault="00A55D39" w:rsidP="001170B2">
      <w:pPr>
        <w:ind w:firstLine="480"/>
      </w:pPr>
      <w:r w:rsidRPr="00A55D39">
        <w:rPr>
          <w:rFonts w:hint="eastAsia"/>
        </w:rPr>
        <w:t>投入资本回报率</w:t>
      </w:r>
    </w:p>
    <w:p w14:paraId="0C2018D9" w14:textId="77777777" w:rsidR="008559B2" w:rsidRPr="008559B2" w:rsidRDefault="008559B2" w:rsidP="008559B2">
      <w:pPr>
        <w:ind w:firstLine="482"/>
        <w:rPr>
          <w:b/>
          <w:bCs/>
        </w:rPr>
      </w:pPr>
      <w:r w:rsidRPr="008559B2">
        <w:rPr>
          <w:b/>
          <w:bCs/>
        </w:rPr>
        <w:t>未来</w:t>
      </w:r>
      <w:r w:rsidRPr="008559B2">
        <w:rPr>
          <w:b/>
          <w:bCs/>
        </w:rPr>
        <w:t>ROIC</w:t>
      </w:r>
      <w:r w:rsidRPr="008559B2">
        <w:rPr>
          <w:b/>
          <w:bCs/>
        </w:rPr>
        <w:t>预测核心要素（摘要）</w:t>
      </w:r>
    </w:p>
    <w:p w14:paraId="4665F8A0" w14:textId="77777777" w:rsidR="008559B2" w:rsidRPr="008559B2" w:rsidRDefault="008559B2">
      <w:pPr>
        <w:numPr>
          <w:ilvl w:val="0"/>
          <w:numId w:val="1"/>
        </w:numPr>
        <w:ind w:firstLine="480"/>
      </w:pPr>
      <w:r w:rsidRPr="008559B2">
        <w:t>行业特性</w:t>
      </w:r>
    </w:p>
    <w:p w14:paraId="50FFEA04" w14:textId="77777777" w:rsidR="008559B2" w:rsidRPr="008559B2" w:rsidRDefault="008559B2">
      <w:pPr>
        <w:numPr>
          <w:ilvl w:val="1"/>
          <w:numId w:val="1"/>
        </w:numPr>
        <w:ind w:firstLine="480"/>
      </w:pPr>
      <w:r w:rsidRPr="008559B2">
        <w:t>壁垒与竞争：高壁垒行业更易维持高</w:t>
      </w:r>
      <w:r w:rsidRPr="008559B2">
        <w:t>ROIC</w:t>
      </w:r>
      <w:r w:rsidRPr="008559B2">
        <w:t>，低壁垒行业易受价格战压迫</w:t>
      </w:r>
    </w:p>
    <w:p w14:paraId="04C177C5" w14:textId="77777777" w:rsidR="008559B2" w:rsidRPr="008559B2" w:rsidRDefault="008559B2">
      <w:pPr>
        <w:numPr>
          <w:ilvl w:val="1"/>
          <w:numId w:val="1"/>
        </w:numPr>
        <w:ind w:firstLine="480"/>
      </w:pPr>
      <w:r w:rsidRPr="008559B2">
        <w:t>创新速度：技术密集行业</w:t>
      </w:r>
      <w:r w:rsidRPr="008559B2">
        <w:t>ROIC</w:t>
      </w:r>
      <w:r w:rsidRPr="008559B2">
        <w:t>依赖研发转化效率，传统行业缺创新则长期低迷</w:t>
      </w:r>
    </w:p>
    <w:p w14:paraId="0D1C6BA7" w14:textId="77777777" w:rsidR="008559B2" w:rsidRPr="008559B2" w:rsidRDefault="008559B2">
      <w:pPr>
        <w:numPr>
          <w:ilvl w:val="0"/>
          <w:numId w:val="1"/>
        </w:numPr>
        <w:ind w:firstLine="480"/>
      </w:pPr>
      <w:r w:rsidRPr="008559B2">
        <w:t>公司战略与运营效率</w:t>
      </w:r>
    </w:p>
    <w:p w14:paraId="165AAA28" w14:textId="77777777" w:rsidR="008559B2" w:rsidRPr="008559B2" w:rsidRDefault="008559B2">
      <w:pPr>
        <w:numPr>
          <w:ilvl w:val="1"/>
          <w:numId w:val="1"/>
        </w:numPr>
        <w:ind w:firstLine="480"/>
      </w:pPr>
      <w:r w:rsidRPr="008559B2">
        <w:t>商业模式与资本配置：轻资产模式</w:t>
      </w:r>
      <w:r w:rsidRPr="008559B2">
        <w:t>ROIC</w:t>
      </w:r>
      <w:r w:rsidRPr="008559B2">
        <w:t>高，盲目扩张会拖累增量回报</w:t>
      </w:r>
    </w:p>
    <w:p w14:paraId="2F3E74C2" w14:textId="77777777" w:rsidR="008559B2" w:rsidRPr="008559B2" w:rsidRDefault="008559B2">
      <w:pPr>
        <w:numPr>
          <w:ilvl w:val="1"/>
          <w:numId w:val="1"/>
        </w:numPr>
        <w:ind w:firstLine="480"/>
      </w:pPr>
      <w:r w:rsidRPr="008559B2">
        <w:t>成本与供应链：高效供应链与低折旧</w:t>
      </w:r>
      <w:r w:rsidRPr="008559B2">
        <w:t>/</w:t>
      </w:r>
      <w:r w:rsidRPr="008559B2">
        <w:t>收入比率能直接提升</w:t>
      </w:r>
      <w:r w:rsidRPr="008559B2">
        <w:t>ROIC</w:t>
      </w:r>
    </w:p>
    <w:p w14:paraId="0A12011C" w14:textId="77777777" w:rsidR="008559B2" w:rsidRPr="008559B2" w:rsidRDefault="008559B2">
      <w:pPr>
        <w:numPr>
          <w:ilvl w:val="0"/>
          <w:numId w:val="1"/>
        </w:numPr>
        <w:ind w:firstLine="480"/>
      </w:pPr>
      <w:r w:rsidRPr="008559B2">
        <w:t>财务结构与资本成本</w:t>
      </w:r>
    </w:p>
    <w:p w14:paraId="6FC13F59" w14:textId="77777777" w:rsidR="008559B2" w:rsidRPr="008559B2" w:rsidRDefault="008559B2">
      <w:pPr>
        <w:numPr>
          <w:ilvl w:val="1"/>
          <w:numId w:val="1"/>
        </w:numPr>
        <w:ind w:firstLine="480"/>
      </w:pPr>
      <w:r w:rsidRPr="008559B2">
        <w:t>ROIC–WACC</w:t>
      </w:r>
      <w:r w:rsidRPr="008559B2">
        <w:t>差：</w:t>
      </w:r>
      <w:r w:rsidRPr="008559B2">
        <w:t>ROIC</w:t>
      </w:r>
      <w:r w:rsidRPr="008559B2">
        <w:t>持续高于</w:t>
      </w:r>
      <w:r w:rsidRPr="008559B2">
        <w:t>WACC</w:t>
      </w:r>
      <w:r w:rsidRPr="008559B2">
        <w:t>才能创造价值，高杠杆会放大波动</w:t>
      </w:r>
    </w:p>
    <w:p w14:paraId="63A831AA" w14:textId="77777777" w:rsidR="008559B2" w:rsidRPr="008559B2" w:rsidRDefault="008559B2">
      <w:pPr>
        <w:numPr>
          <w:ilvl w:val="1"/>
          <w:numId w:val="1"/>
        </w:numPr>
        <w:ind w:firstLine="480"/>
      </w:pPr>
      <w:r w:rsidRPr="008559B2">
        <w:t>分解驱动：</w:t>
      </w:r>
      <w:r w:rsidRPr="008559B2">
        <w:t>ROIC</w:t>
      </w:r>
      <w:r w:rsidRPr="008559B2">
        <w:t>＝经营利润率</w:t>
      </w:r>
      <w:r w:rsidRPr="008559B2">
        <w:t>×</w:t>
      </w:r>
      <w:r w:rsidRPr="008559B2">
        <w:t>资本周转率</w:t>
      </w:r>
      <w:r w:rsidRPr="008559B2">
        <w:t>×(1–</w:t>
      </w:r>
      <w:r w:rsidRPr="008559B2">
        <w:t>税率</w:t>
      </w:r>
      <w:r w:rsidRPr="008559B2">
        <w:t>)</w:t>
      </w:r>
      <w:r w:rsidRPr="008559B2">
        <w:t>，需关注自由现金流匹配</w:t>
      </w:r>
    </w:p>
    <w:p w14:paraId="46863C2C" w14:textId="77777777" w:rsidR="008559B2" w:rsidRPr="008559B2" w:rsidRDefault="008559B2">
      <w:pPr>
        <w:numPr>
          <w:ilvl w:val="0"/>
          <w:numId w:val="1"/>
        </w:numPr>
        <w:ind w:firstLine="480"/>
      </w:pPr>
      <w:r w:rsidRPr="008559B2">
        <w:t>宏观经济与政策环境</w:t>
      </w:r>
    </w:p>
    <w:p w14:paraId="26BF2FAA" w14:textId="77777777" w:rsidR="008559B2" w:rsidRPr="008559B2" w:rsidRDefault="008559B2">
      <w:pPr>
        <w:numPr>
          <w:ilvl w:val="1"/>
          <w:numId w:val="1"/>
        </w:numPr>
        <w:ind w:firstLine="480"/>
      </w:pPr>
      <w:r w:rsidRPr="008559B2">
        <w:t>行业周期与补贴：供需拐点、退坡补贴对</w:t>
      </w:r>
      <w:r w:rsidRPr="008559B2">
        <w:t>ROIC</w:t>
      </w:r>
      <w:r w:rsidRPr="008559B2">
        <w:t>影响显著</w:t>
      </w:r>
    </w:p>
    <w:p w14:paraId="0F9451C5" w14:textId="77777777" w:rsidR="008559B2" w:rsidRPr="008559B2" w:rsidRDefault="008559B2">
      <w:pPr>
        <w:numPr>
          <w:ilvl w:val="1"/>
          <w:numId w:val="1"/>
        </w:numPr>
        <w:ind w:firstLine="480"/>
      </w:pPr>
      <w:r w:rsidRPr="008559B2">
        <w:t>利率与通胀：高利率抬高</w:t>
      </w:r>
      <w:r w:rsidRPr="008559B2">
        <w:t>WACC</w:t>
      </w:r>
      <w:r w:rsidRPr="008559B2">
        <w:t>，通胀预期影响实际回报</w:t>
      </w:r>
    </w:p>
    <w:p w14:paraId="4811B135" w14:textId="77777777" w:rsidR="008559B2" w:rsidRPr="008559B2" w:rsidRDefault="008559B2">
      <w:pPr>
        <w:numPr>
          <w:ilvl w:val="0"/>
          <w:numId w:val="1"/>
        </w:numPr>
        <w:ind w:firstLine="480"/>
      </w:pPr>
      <w:r w:rsidRPr="008559B2">
        <w:t>管理层执行力与风险控制</w:t>
      </w:r>
    </w:p>
    <w:p w14:paraId="69C81265" w14:textId="77777777" w:rsidR="008559B2" w:rsidRPr="008559B2" w:rsidRDefault="008559B2">
      <w:pPr>
        <w:numPr>
          <w:ilvl w:val="1"/>
          <w:numId w:val="1"/>
        </w:numPr>
        <w:ind w:firstLine="480"/>
      </w:pPr>
      <w:r w:rsidRPr="008559B2">
        <w:t>并购整合与激励：协同不足会拉低</w:t>
      </w:r>
      <w:r w:rsidRPr="008559B2">
        <w:t>ROIC</w:t>
      </w:r>
      <w:r w:rsidRPr="008559B2">
        <w:t>，</w:t>
      </w:r>
      <w:r w:rsidRPr="008559B2">
        <w:t>EVA</w:t>
      </w:r>
      <w:r w:rsidRPr="008559B2">
        <w:t>等激励可对齐长期利益</w:t>
      </w:r>
    </w:p>
    <w:p w14:paraId="3B76AC38" w14:textId="77777777" w:rsidR="008559B2" w:rsidRPr="008559B2" w:rsidRDefault="008559B2">
      <w:pPr>
        <w:numPr>
          <w:ilvl w:val="1"/>
          <w:numId w:val="1"/>
        </w:numPr>
        <w:ind w:firstLine="480"/>
      </w:pPr>
      <w:r w:rsidRPr="008559B2">
        <w:t>风险预警：营收增长伴</w:t>
      </w:r>
      <w:r w:rsidRPr="008559B2">
        <w:t>ROIC</w:t>
      </w:r>
      <w:r w:rsidRPr="008559B2">
        <w:t>下滑、</w:t>
      </w:r>
      <w:r w:rsidRPr="008559B2">
        <w:t>“</w:t>
      </w:r>
      <w:r w:rsidRPr="008559B2">
        <w:t>资本化率＞</w:t>
      </w:r>
      <w:r w:rsidRPr="008559B2">
        <w:t>30%”</w:t>
      </w:r>
      <w:r w:rsidRPr="008559B2">
        <w:t>等信号需警惕</w:t>
      </w:r>
    </w:p>
    <w:p w14:paraId="52B9C007" w14:textId="77777777" w:rsidR="008559B2" w:rsidRPr="008559B2" w:rsidRDefault="008559B2">
      <w:pPr>
        <w:numPr>
          <w:ilvl w:val="0"/>
          <w:numId w:val="1"/>
        </w:numPr>
        <w:ind w:firstLine="480"/>
      </w:pPr>
      <w:r w:rsidRPr="008559B2">
        <w:t>应用建议</w:t>
      </w:r>
    </w:p>
    <w:p w14:paraId="3B08A4A9" w14:textId="77777777" w:rsidR="008559B2" w:rsidRPr="008559B2" w:rsidRDefault="008559B2">
      <w:pPr>
        <w:numPr>
          <w:ilvl w:val="1"/>
          <w:numId w:val="1"/>
        </w:numPr>
        <w:ind w:firstLine="480"/>
      </w:pPr>
      <w:r w:rsidRPr="008559B2">
        <w:t>优先筛选：连续</w:t>
      </w:r>
      <w:r w:rsidRPr="008559B2">
        <w:t>3</w:t>
      </w:r>
      <w:r w:rsidRPr="008559B2">
        <w:t>年</w:t>
      </w:r>
      <w:r w:rsidRPr="008559B2">
        <w:t>ROIC</w:t>
      </w:r>
      <w:r w:rsidRPr="008559B2">
        <w:t>高于行业均值且</w:t>
      </w:r>
      <w:r w:rsidRPr="008559B2">
        <w:t>ROIC–WACC</w:t>
      </w:r>
      <w:r w:rsidRPr="008559B2">
        <w:t>＞</w:t>
      </w:r>
      <w:r w:rsidRPr="008559B2">
        <w:t>2%</w:t>
      </w:r>
      <w:r w:rsidRPr="008559B2">
        <w:t>的公司</w:t>
      </w:r>
    </w:p>
    <w:p w14:paraId="55A1B23F" w14:textId="77777777" w:rsidR="008559B2" w:rsidRPr="008559B2" w:rsidRDefault="008559B2">
      <w:pPr>
        <w:numPr>
          <w:ilvl w:val="1"/>
          <w:numId w:val="1"/>
        </w:numPr>
        <w:ind w:firstLine="480"/>
      </w:pPr>
      <w:r w:rsidRPr="008559B2">
        <w:t>动态跟踪：聚焦增量投资回报，定期情景分析与蒙特卡洛模拟</w:t>
      </w:r>
    </w:p>
    <w:p w14:paraId="37400656" w14:textId="77777777" w:rsidR="008559B2" w:rsidRPr="008559B2" w:rsidRDefault="008559B2">
      <w:pPr>
        <w:numPr>
          <w:ilvl w:val="0"/>
          <w:numId w:val="1"/>
        </w:numPr>
        <w:ind w:firstLine="480"/>
      </w:pPr>
      <w:r w:rsidRPr="008559B2">
        <w:t>关键警示</w:t>
      </w:r>
      <w:r w:rsidRPr="008559B2">
        <w:br/>
      </w:r>
      <w:r w:rsidRPr="008559B2">
        <w:t>不可将历史</w:t>
      </w:r>
      <w:r w:rsidRPr="008559B2">
        <w:t>ROIC</w:t>
      </w:r>
      <w:r w:rsidRPr="008559B2">
        <w:t>无限外推，回归趋势与可部署资本规模限制会导致回报率下降。</w:t>
      </w:r>
    </w:p>
    <w:p w14:paraId="756BA340" w14:textId="77777777" w:rsidR="00C334AC" w:rsidRPr="008559B2" w:rsidRDefault="00C334AC" w:rsidP="001170B2">
      <w:pPr>
        <w:ind w:firstLine="480"/>
      </w:pPr>
    </w:p>
    <w:p w14:paraId="0F1532CD" w14:textId="77777777" w:rsidR="00103B66" w:rsidRDefault="00103B66" w:rsidP="001170B2">
      <w:pPr>
        <w:ind w:firstLine="480"/>
      </w:pPr>
    </w:p>
    <w:p w14:paraId="63BFB26B" w14:textId="77777777" w:rsidR="00103B66" w:rsidRDefault="00103B66" w:rsidP="00103B66">
      <w:pPr>
        <w:ind w:firstLine="480"/>
      </w:pPr>
      <w:r>
        <w:rPr>
          <w:rFonts w:hint="eastAsia"/>
        </w:rPr>
        <w:t>陈、卡尔塞斯基和拉孔尼修克（</w:t>
      </w:r>
      <w:r>
        <w:rPr>
          <w:rFonts w:hint="eastAsia"/>
        </w:rPr>
        <w:t>Chan</w:t>
      </w:r>
      <w:r>
        <w:rPr>
          <w:rFonts w:hint="eastAsia"/>
        </w:rPr>
        <w:t>、</w:t>
      </w:r>
      <w:r>
        <w:rPr>
          <w:rFonts w:hint="eastAsia"/>
        </w:rPr>
        <w:t xml:space="preserve"> Karceski</w:t>
      </w:r>
      <w:r>
        <w:rPr>
          <w:rFonts w:hint="eastAsia"/>
        </w:rPr>
        <w:t>和</w:t>
      </w:r>
      <w:r>
        <w:rPr>
          <w:rFonts w:hint="eastAsia"/>
        </w:rPr>
        <w:t>Lakonishok</w:t>
      </w:r>
      <w:r>
        <w:rPr>
          <w:rFonts w:hint="eastAsia"/>
        </w:rPr>
        <w:t>，</w:t>
      </w:r>
      <w:r>
        <w:rPr>
          <w:rFonts w:hint="eastAsia"/>
        </w:rPr>
        <w:t xml:space="preserve"> 2000b</w:t>
      </w:r>
      <w:r>
        <w:rPr>
          <w:rFonts w:hint="eastAsia"/>
        </w:rPr>
        <w:t>）也提出了一个类似的观点。粗略浏览表</w:t>
      </w:r>
      <w:r>
        <w:rPr>
          <w:rFonts w:hint="eastAsia"/>
        </w:rPr>
        <w:t>3.5</w:t>
      </w:r>
      <w:r>
        <w:rPr>
          <w:rFonts w:hint="eastAsia"/>
        </w:rPr>
        <w:t>即可发现，那些预期增长率最高的股票并没有实现最多的收益。与此同时，那些不受欢迎的价值型股票（低预期增长率）的表现却超出了分析师们过于悲观的预期。</w:t>
      </w:r>
    </w:p>
    <w:p w14:paraId="4C2C8D4F" w14:textId="77777777" w:rsidR="00103B66" w:rsidRDefault="00103B66" w:rsidP="00103B66">
      <w:pPr>
        <w:ind w:firstLine="480"/>
      </w:pPr>
      <w:r>
        <w:rPr>
          <w:rFonts w:hint="eastAsia"/>
        </w:rPr>
        <w:t>[</w:t>
      </w:r>
      <w:r>
        <w:rPr>
          <w:rFonts w:hint="eastAsia"/>
        </w:rPr>
        <w:t>插图</w:t>
      </w:r>
      <w:r>
        <w:rPr>
          <w:rFonts w:hint="eastAsia"/>
        </w:rPr>
        <w:t>]</w:t>
      </w:r>
    </w:p>
    <w:p w14:paraId="6435F2C1" w14:textId="77777777" w:rsidR="00103B66" w:rsidRDefault="00103B66" w:rsidP="00103B66">
      <w:pPr>
        <w:ind w:firstLine="480"/>
      </w:pPr>
      <w:r>
        <w:rPr>
          <w:rFonts w:hint="eastAsia"/>
        </w:rPr>
        <w:lastRenderedPageBreak/>
        <w:t>陈、卡尔塞斯基和拉孔尼修克的研究并没有就此止步。他们的研究表明，只有非常少的公司经营业绩能够持久。他们调查了销售收入、折旧前营业收入和未付特殊项目前收入这三个损益表科目增长率高于中值公司的数量，之后将计算结果的百分比与预期随机百分比进行比较（例如，</w:t>
      </w:r>
      <w:r>
        <w:rPr>
          <w:rFonts w:hint="eastAsia"/>
        </w:rPr>
        <w:t xml:space="preserve"> 50%</w:t>
      </w:r>
      <w:r>
        <w:rPr>
          <w:rFonts w:hint="eastAsia"/>
        </w:rPr>
        <w:t>的公司在第一年应该高于中位数，等等）。</w:t>
      </w:r>
    </w:p>
    <w:p w14:paraId="381F54AC" w14:textId="04AEB4E7" w:rsidR="00103B66" w:rsidRDefault="00103B66" w:rsidP="00103B66">
      <w:pPr>
        <w:ind w:firstLine="480"/>
      </w:pPr>
      <w:r>
        <w:rPr>
          <w:rFonts w:hint="eastAsia"/>
        </w:rPr>
        <w:t>有趣的是，盈利能力更强的公司，经营业绩更持久。这本身就可能表明，管理者太过注重保持销售收入的稳定性（高销售率），而牺牲了盈利性。还应该指出的是，它表明市销率（</w:t>
      </w:r>
      <w:r>
        <w:rPr>
          <w:rFonts w:hint="eastAsia"/>
        </w:rPr>
        <w:t>P/S</w:t>
      </w:r>
      <w:r>
        <w:rPr>
          <w:rFonts w:hint="eastAsia"/>
        </w:rPr>
        <w:t>）是一个高度可疑的估值指标！</w:t>
      </w:r>
    </w:p>
    <w:p w14:paraId="7DD9FA68" w14:textId="77777777" w:rsidR="00103B66" w:rsidRDefault="00103B66" w:rsidP="001170B2">
      <w:pPr>
        <w:ind w:firstLine="480"/>
      </w:pPr>
    </w:p>
    <w:p w14:paraId="74EE915D" w14:textId="77777777" w:rsidR="00103B66" w:rsidRDefault="00103B66" w:rsidP="001170B2">
      <w:pPr>
        <w:ind w:firstLine="480"/>
      </w:pPr>
    </w:p>
    <w:p w14:paraId="5B9F3587" w14:textId="788E603E" w:rsidR="00C334AC" w:rsidRPr="0005235D" w:rsidRDefault="00C334AC" w:rsidP="0005235D">
      <w:pPr>
        <w:ind w:left="60" w:firstLineChars="0" w:firstLine="420"/>
        <w:rPr>
          <w:b/>
          <w:bCs/>
          <w:sz w:val="36"/>
          <w:szCs w:val="36"/>
        </w:rPr>
      </w:pPr>
      <w:r w:rsidRPr="0005235D">
        <w:rPr>
          <w:rFonts w:hint="eastAsia"/>
          <w:b/>
          <w:bCs/>
          <w:sz w:val="36"/>
          <w:szCs w:val="36"/>
        </w:rPr>
        <w:t>第五章</w:t>
      </w:r>
    </w:p>
    <w:p w14:paraId="0F556F65" w14:textId="549A808E" w:rsidR="00C334AC" w:rsidRDefault="00422252" w:rsidP="001170B2">
      <w:pPr>
        <w:ind w:firstLine="480"/>
      </w:pPr>
      <w:r w:rsidRPr="00422252">
        <w:rPr>
          <w:rFonts w:hint="eastAsia"/>
        </w:rPr>
        <w:t>我们将格雷厄姆在</w:t>
      </w:r>
      <w:r w:rsidRPr="00422252">
        <w:rPr>
          <w:rFonts w:hint="eastAsia"/>
        </w:rPr>
        <w:t>20</w:t>
      </w:r>
      <w:r w:rsidRPr="00422252">
        <w:rPr>
          <w:rFonts w:hint="eastAsia"/>
        </w:rPr>
        <w:t>世纪</w:t>
      </w:r>
      <w:r w:rsidRPr="00422252">
        <w:rPr>
          <w:rFonts w:hint="eastAsia"/>
        </w:rPr>
        <w:t>30</w:t>
      </w:r>
      <w:r w:rsidRPr="00422252">
        <w:rPr>
          <w:rFonts w:hint="eastAsia"/>
        </w:rPr>
        <w:t>年代初首次提出并成功运用的价值投资理念作为我们量化投资策略的基石。沃伦·巴菲特的“价格便宜的优质公司”进一步发展了格雷厄姆的投资哲学。巴菲特启发了格林布拉特，使他提出了神奇公式，这是巴菲特投资策略的一个简单量化模式。</w:t>
      </w:r>
    </w:p>
    <w:p w14:paraId="68A7DE98" w14:textId="77777777" w:rsidR="00C334AC" w:rsidRDefault="00C334AC" w:rsidP="001170B2">
      <w:pPr>
        <w:ind w:firstLine="480"/>
      </w:pPr>
    </w:p>
    <w:p w14:paraId="2213C561" w14:textId="26B30A36" w:rsidR="00C334AC" w:rsidRDefault="00C334AC" w:rsidP="00C334AC">
      <w:pPr>
        <w:ind w:firstLine="480"/>
        <w:outlineLvl w:val="0"/>
      </w:pPr>
      <w:r>
        <w:rPr>
          <w:rFonts w:hint="eastAsia"/>
        </w:rPr>
        <w:t>第六章</w:t>
      </w:r>
    </w:p>
    <w:p w14:paraId="7F6007AF" w14:textId="7CF57505" w:rsidR="00C334AC" w:rsidRDefault="001A1C6E" w:rsidP="001170B2">
      <w:pPr>
        <w:ind w:firstLine="480"/>
      </w:pPr>
      <w:r w:rsidRPr="001A1C6E">
        <w:rPr>
          <w:rFonts w:hint="eastAsia"/>
        </w:rPr>
        <w:t>晨星公司前研究部主任，《巴菲特的护城河》（</w:t>
      </w:r>
      <w:r w:rsidRPr="001A1C6E">
        <w:rPr>
          <w:rFonts w:hint="eastAsia"/>
        </w:rPr>
        <w:t>The Little Book that Builds Wealth</w:t>
      </w:r>
      <w:r w:rsidRPr="001A1C6E">
        <w:rPr>
          <w:rFonts w:hint="eastAsia"/>
        </w:rPr>
        <w:t>）的作者帕特·多尔西（</w:t>
      </w:r>
      <w:r w:rsidRPr="001A1C6E">
        <w:rPr>
          <w:rFonts w:hint="eastAsia"/>
        </w:rPr>
        <w:t>Pat Dorsey</w:t>
      </w:r>
      <w:r w:rsidRPr="001A1C6E">
        <w:rPr>
          <w:rFonts w:hint="eastAsia"/>
        </w:rPr>
        <w:t>）说：</w:t>
      </w:r>
      <w:r w:rsidRPr="001A1C6E">
        <w:rPr>
          <w:rFonts w:hint="eastAsia"/>
        </w:rPr>
        <w:t>.</w:t>
      </w:r>
      <w:r w:rsidRPr="001A1C6E">
        <w:rPr>
          <w:rFonts w:hint="eastAsia"/>
        </w:rPr>
        <w:t>我认为护城河（竞争优势）与内在价值之间的联系是，护城河能够使在护城河内有大量再投资机会的企业增值。一个拥有大量“护城河内的”投资机会的企业比没有竞争优势和再投资机会的企业具有更高的内在价值，因为前者复合现金流的效率很高，而后者则被迫在次优机会下使用现金。</w:t>
      </w:r>
    </w:p>
    <w:p w14:paraId="5550271D" w14:textId="77777777" w:rsidR="00C334AC" w:rsidRDefault="00C334AC" w:rsidP="001170B2">
      <w:pPr>
        <w:ind w:firstLine="480"/>
      </w:pPr>
    </w:p>
    <w:p w14:paraId="435CD10F" w14:textId="77777777" w:rsidR="00C334AC" w:rsidRDefault="00C334AC" w:rsidP="001170B2">
      <w:pPr>
        <w:ind w:firstLine="480"/>
      </w:pPr>
    </w:p>
    <w:p w14:paraId="3F2964CA" w14:textId="12DF736A" w:rsidR="00C334AC" w:rsidRDefault="00C334AC" w:rsidP="00C334AC">
      <w:pPr>
        <w:ind w:firstLine="480"/>
        <w:outlineLvl w:val="0"/>
      </w:pPr>
      <w:r>
        <w:rPr>
          <w:rFonts w:hint="eastAsia"/>
        </w:rPr>
        <w:t>第七章</w:t>
      </w:r>
    </w:p>
    <w:p w14:paraId="671ED302" w14:textId="77777777" w:rsidR="0085373C" w:rsidRDefault="0085373C" w:rsidP="0085373C">
      <w:pPr>
        <w:ind w:firstLine="480"/>
      </w:pPr>
      <w:r>
        <w:rPr>
          <w:rFonts w:hint="eastAsia"/>
        </w:rPr>
        <w:t>1.4.</w:t>
      </w:r>
      <w:r>
        <w:rPr>
          <w:rFonts w:hint="eastAsia"/>
        </w:rPr>
        <w:t>排雷指标</w:t>
      </w:r>
      <w:r>
        <w:rPr>
          <w:rFonts w:hint="eastAsia"/>
        </w:rPr>
        <w:t>:</w:t>
      </w:r>
      <w:r>
        <w:rPr>
          <w:rFonts w:hint="eastAsia"/>
        </w:rPr>
        <w:t>现金流、负债率、商誉比</w:t>
      </w:r>
    </w:p>
    <w:p w14:paraId="2491E0E6" w14:textId="77777777" w:rsidR="0085373C" w:rsidRDefault="0085373C" w:rsidP="0085373C">
      <w:pPr>
        <w:ind w:firstLine="480"/>
      </w:pPr>
      <w:r>
        <w:rPr>
          <w:rFonts w:hint="eastAsia"/>
        </w:rPr>
        <w:t>净经营现金流</w:t>
      </w:r>
      <w:r>
        <w:rPr>
          <w:rFonts w:hint="eastAsia"/>
        </w:rPr>
        <w:t>:1)</w:t>
      </w:r>
      <w:r>
        <w:rPr>
          <w:rFonts w:hint="eastAsia"/>
        </w:rPr>
        <w:t>经营性现金净流量至少应保证大部分时间为正，这样企业才能有长期的造血能力。</w:t>
      </w:r>
      <w:r>
        <w:rPr>
          <w:rFonts w:hint="eastAsia"/>
        </w:rPr>
        <w:t>2)</w:t>
      </w:r>
      <w:r>
        <w:rPr>
          <w:rFonts w:hint="eastAsia"/>
        </w:rPr>
        <w:t>企业经营过程中，经营现金流有上下波动是正常的且不同行业有一定的季节波动，偶而出现负值是可以接受的，因此，这个指标宜用来作为排雷用，不作为严格的筛选标准。</w:t>
      </w:r>
      <w:r>
        <w:rPr>
          <w:rFonts w:hint="eastAsia"/>
        </w:rPr>
        <w:t>3)</w:t>
      </w:r>
      <w:r>
        <w:rPr>
          <w:rFonts w:hint="eastAsia"/>
        </w:rPr>
        <w:t>另外，不建议将</w:t>
      </w:r>
      <w:r>
        <w:rPr>
          <w:rFonts w:hint="eastAsia"/>
        </w:rPr>
        <w:t xml:space="preserve"> ROE</w:t>
      </w:r>
      <w:r>
        <w:rPr>
          <w:rFonts w:hint="eastAsia"/>
        </w:rPr>
        <w:t>进行更复杂的拆解分析，比如引入现金流指标或杠杆率指标等，一方面不够直观，另一方面由于行业差异性大，各指标大小不能一概而论。</w:t>
      </w:r>
    </w:p>
    <w:p w14:paraId="0B6DA3FC" w14:textId="77777777" w:rsidR="0085373C" w:rsidRDefault="0085373C" w:rsidP="0085373C">
      <w:pPr>
        <w:ind w:firstLine="480"/>
      </w:pPr>
      <w:r>
        <w:rPr>
          <w:rFonts w:hint="eastAsia"/>
        </w:rPr>
        <w:t>资产负债率</w:t>
      </w:r>
      <w:r>
        <w:rPr>
          <w:rFonts w:hint="eastAsia"/>
        </w:rPr>
        <w:t>:</w:t>
      </w:r>
      <w:r>
        <w:rPr>
          <w:rFonts w:hint="eastAsia"/>
        </w:rPr>
        <w:t>过度依赖财务杠杆的公司，受经济周期影响较大，且大量的财务费用也拉低了股东回报率，但行业间的差异较大，限制标准可适当放宽。</w:t>
      </w:r>
    </w:p>
    <w:p w14:paraId="06B093F9" w14:textId="0838B884" w:rsidR="00C334AC" w:rsidRDefault="0085373C" w:rsidP="0085373C">
      <w:pPr>
        <w:ind w:firstLine="480"/>
      </w:pPr>
      <w:r>
        <w:rPr>
          <w:rFonts w:hint="eastAsia"/>
        </w:rPr>
        <w:t>商誉占净资产比重</w:t>
      </w:r>
      <w:r>
        <w:rPr>
          <w:rFonts w:hint="eastAsia"/>
        </w:rPr>
        <w:t>:</w:t>
      </w:r>
      <w:r>
        <w:rPr>
          <w:rFonts w:hint="eastAsia"/>
        </w:rPr>
        <w:t>由并购等带来的大量商誉可能会成为企业的隐形雷区，商誉减值不可转回，直接体现在利润表里。</w:t>
      </w:r>
      <w:r>
        <w:rPr>
          <w:rFonts w:hint="eastAsia"/>
        </w:rPr>
        <w:t xml:space="preserve">2013-2015 </w:t>
      </w:r>
      <w:r>
        <w:rPr>
          <w:rFonts w:hint="eastAsia"/>
        </w:rPr>
        <w:t>年并购高峰期带来的后遗症</w:t>
      </w:r>
      <w:r>
        <w:rPr>
          <w:rFonts w:hint="eastAsia"/>
        </w:rPr>
        <w:t>--</w:t>
      </w:r>
      <w:r>
        <w:rPr>
          <w:rFonts w:hint="eastAsia"/>
        </w:rPr>
        <w:t>商誉减值风险仍是当前</w:t>
      </w:r>
      <w:r>
        <w:rPr>
          <w:rFonts w:hint="eastAsia"/>
        </w:rPr>
        <w:lastRenderedPageBreak/>
        <w:t>市场的风险点，</w:t>
      </w:r>
      <w:r>
        <w:rPr>
          <w:rFonts w:hint="eastAsia"/>
        </w:rPr>
        <w:t xml:space="preserve">2017 </w:t>
      </w:r>
      <w:r>
        <w:rPr>
          <w:rFonts w:hint="eastAsia"/>
        </w:rPr>
        <w:t>年创业板总的资产减值损失近</w:t>
      </w:r>
      <w:r>
        <w:rPr>
          <w:rFonts w:hint="eastAsia"/>
        </w:rPr>
        <w:t xml:space="preserve"> 420 </w:t>
      </w:r>
      <w:r>
        <w:rPr>
          <w:rFonts w:hint="eastAsia"/>
        </w:rPr>
        <w:t>亿，占总营收的</w:t>
      </w:r>
      <w:r>
        <w:rPr>
          <w:rFonts w:hint="eastAsia"/>
        </w:rPr>
        <w:t xml:space="preserve"> 4.2%</w:t>
      </w:r>
      <w:r>
        <w:rPr>
          <w:rFonts w:hint="eastAsia"/>
        </w:rPr>
        <w:t>今年可能有会边际改善，但高商誉资产比的公司还应尽量避开。</w:t>
      </w:r>
    </w:p>
    <w:p w14:paraId="2F371ECE" w14:textId="77777777" w:rsidR="00422252" w:rsidRDefault="00422252" w:rsidP="001170B2">
      <w:pPr>
        <w:ind w:firstLine="480"/>
      </w:pPr>
    </w:p>
    <w:p w14:paraId="61AAC15F" w14:textId="77777777" w:rsidR="00070F80" w:rsidRDefault="00070F80" w:rsidP="001170B2">
      <w:pPr>
        <w:ind w:firstLine="480"/>
      </w:pPr>
    </w:p>
    <w:p w14:paraId="3C1F2330" w14:textId="77777777" w:rsidR="00070F80" w:rsidRDefault="00070F80" w:rsidP="001170B2">
      <w:pPr>
        <w:ind w:firstLine="480"/>
      </w:pPr>
    </w:p>
    <w:p w14:paraId="3B16DAC6" w14:textId="32189F6E" w:rsidR="00070F80" w:rsidRDefault="00070F80" w:rsidP="001170B2">
      <w:pPr>
        <w:ind w:firstLine="480"/>
        <w:rPr>
          <w:rFonts w:hint="eastAsia"/>
        </w:rPr>
      </w:pPr>
      <w:r>
        <w:rPr>
          <w:rFonts w:hint="eastAsia"/>
        </w:rPr>
        <w:t>残差动量</w:t>
      </w:r>
    </w:p>
    <w:p w14:paraId="4E9067BA" w14:textId="77777777" w:rsidR="00070F80" w:rsidRPr="00DB2419" w:rsidRDefault="00070F80" w:rsidP="00070F80">
      <w:pPr>
        <w:numPr>
          <w:ilvl w:val="1"/>
          <w:numId w:val="21"/>
        </w:numPr>
        <w:ind w:firstLine="480"/>
      </w:pPr>
      <w:r w:rsidRPr="00DB2419">
        <w:t>您的想法</w:t>
      </w:r>
      <w:r w:rsidRPr="00DB2419">
        <w:t>“</w:t>
      </w:r>
      <w:r w:rsidRPr="00DB2419">
        <w:t>买入那些相对上一期（或者</w:t>
      </w:r>
      <w:r w:rsidRPr="00DB2419">
        <w:t>6</w:t>
      </w:r>
      <w:r w:rsidRPr="00DB2419">
        <w:t>期前）的残差下降最多的公司</w:t>
      </w:r>
      <w:r w:rsidRPr="00DB2419">
        <w:t>”</w:t>
      </w:r>
      <w:r w:rsidRPr="00DB2419">
        <w:t>非常精彩。这本质上是一个</w:t>
      </w:r>
      <w:r w:rsidRPr="00DB2419">
        <w:t>**“</w:t>
      </w:r>
      <w:r w:rsidRPr="00DB2419">
        <w:t>价值因子</w:t>
      </w:r>
      <w:r w:rsidRPr="00DB2419">
        <w:t>”</w:t>
      </w:r>
      <w:r w:rsidRPr="00DB2419">
        <w:t>与</w:t>
      </w:r>
      <w:r w:rsidRPr="00DB2419">
        <w:t>“</w:t>
      </w:r>
      <w:r w:rsidRPr="00DB2419">
        <w:t>动量因子</w:t>
      </w:r>
      <w:r w:rsidRPr="00DB2419">
        <w:t>”</w:t>
      </w:r>
      <w:r w:rsidRPr="00DB2419">
        <w:t>的结合</w:t>
      </w:r>
      <w:r w:rsidRPr="00DB2419">
        <w:t>**</w:t>
      </w:r>
      <w:r w:rsidRPr="00DB2419">
        <w:t>。</w:t>
      </w:r>
    </w:p>
    <w:p w14:paraId="14E81906" w14:textId="77777777" w:rsidR="00070F80" w:rsidRPr="00DB2419" w:rsidRDefault="00070F80" w:rsidP="00070F80">
      <w:pPr>
        <w:numPr>
          <w:ilvl w:val="1"/>
          <w:numId w:val="21"/>
        </w:numPr>
        <w:ind w:firstLine="482"/>
      </w:pPr>
      <w:r w:rsidRPr="00DB2419">
        <w:rPr>
          <w:b/>
          <w:bCs/>
        </w:rPr>
        <w:t>策略名称</w:t>
      </w:r>
      <w:r w:rsidRPr="00DB2419">
        <w:t>：可以称之为</w:t>
      </w:r>
      <w:r w:rsidRPr="00DB2419">
        <w:t>“</w:t>
      </w:r>
      <w:r w:rsidRPr="00DB2419">
        <w:t>残差动量策略</w:t>
      </w:r>
      <w:r w:rsidRPr="00DB2419">
        <w:t>”</w:t>
      </w:r>
      <w:r w:rsidRPr="00DB2419">
        <w:t>（</w:t>
      </w:r>
      <w:r w:rsidRPr="00DB2419">
        <w:t>Residual Momentum Strategy</w:t>
      </w:r>
      <w:r w:rsidRPr="00DB2419">
        <w:t>）。</w:t>
      </w:r>
    </w:p>
    <w:p w14:paraId="2714B57A" w14:textId="77777777" w:rsidR="00070F80" w:rsidRPr="00DB2419" w:rsidRDefault="00070F80" w:rsidP="00070F80">
      <w:pPr>
        <w:numPr>
          <w:ilvl w:val="1"/>
          <w:numId w:val="21"/>
        </w:numPr>
        <w:ind w:firstLine="482"/>
      </w:pPr>
      <w:r w:rsidRPr="00DB2419">
        <w:rPr>
          <w:b/>
          <w:bCs/>
        </w:rPr>
        <w:t>逻辑阐述</w:t>
      </w:r>
      <w:r w:rsidRPr="00DB2419">
        <w:t>：</w:t>
      </w:r>
    </w:p>
    <w:p w14:paraId="6082C8EF" w14:textId="77777777" w:rsidR="00070F80" w:rsidRPr="00DB2419" w:rsidRDefault="00070F80" w:rsidP="00070F80">
      <w:pPr>
        <w:numPr>
          <w:ilvl w:val="2"/>
          <w:numId w:val="21"/>
        </w:numPr>
        <w:ind w:firstLine="480"/>
      </w:pPr>
      <w:r w:rsidRPr="00DB2419">
        <w:t>残差为负，代表公司被低估。</w:t>
      </w:r>
    </w:p>
    <w:p w14:paraId="14635AD5" w14:textId="77777777" w:rsidR="00070F80" w:rsidRPr="00DB2419" w:rsidRDefault="00070F80" w:rsidP="00070F80">
      <w:pPr>
        <w:numPr>
          <w:ilvl w:val="2"/>
          <w:numId w:val="21"/>
        </w:numPr>
        <w:ind w:firstLine="480"/>
      </w:pPr>
      <w:r w:rsidRPr="00DB2419">
        <w:t>残差的变动（</w:t>
      </w:r>
      <w:r w:rsidRPr="00DB2419">
        <w:t>Δepsilon = epsilon_t - epsilon_{t-n}</w:t>
      </w:r>
      <w:r w:rsidRPr="00DB2419">
        <w:t>）代表了市场对该公司认知修正的速度。</w:t>
      </w:r>
    </w:p>
    <w:p w14:paraId="42A06755" w14:textId="77777777" w:rsidR="00070F80" w:rsidRPr="00DB2419" w:rsidRDefault="00070F80" w:rsidP="00070F80">
      <w:pPr>
        <w:numPr>
          <w:ilvl w:val="2"/>
          <w:numId w:val="21"/>
        </w:numPr>
        <w:ind w:firstLine="480"/>
      </w:pPr>
      <w:r w:rsidRPr="00DB2419">
        <w:t xml:space="preserve">Δepsilon </w:t>
      </w:r>
      <w:r w:rsidRPr="00DB2419">
        <w:t>为负且绝对值很大，意味着该公司正在被市场快速地</w:t>
      </w:r>
      <w:r w:rsidRPr="00DB2419">
        <w:t>“</w:t>
      </w:r>
      <w:r w:rsidRPr="00DB2419">
        <w:t>价值重估</w:t>
      </w:r>
      <w:r w:rsidRPr="00DB2419">
        <w:t>”</w:t>
      </w:r>
      <w:r w:rsidRPr="00DB2419">
        <w:t>，其低估程度正在迅速收敛。我们买入的，正是这种价值修复的</w:t>
      </w:r>
      <w:r w:rsidRPr="00DB2419">
        <w:t>“</w:t>
      </w:r>
      <w:r w:rsidRPr="00DB2419">
        <w:t>加速度</w:t>
      </w:r>
      <w:r w:rsidRPr="00DB2419">
        <w:t>”</w:t>
      </w:r>
      <w:r w:rsidRPr="00DB2419">
        <w:t>。</w:t>
      </w:r>
    </w:p>
    <w:p w14:paraId="1EA90C6F" w14:textId="77777777" w:rsidR="00070F80" w:rsidRPr="00DB2419" w:rsidRDefault="00070F80" w:rsidP="00070F80">
      <w:pPr>
        <w:numPr>
          <w:ilvl w:val="1"/>
          <w:numId w:val="21"/>
        </w:numPr>
        <w:ind w:firstLine="482"/>
      </w:pPr>
      <w:r w:rsidRPr="00DB2419">
        <w:rPr>
          <w:b/>
          <w:bCs/>
        </w:rPr>
        <w:t>具体步骤</w:t>
      </w:r>
      <w:r w:rsidRPr="00DB2419">
        <w:t>：</w:t>
      </w:r>
    </w:p>
    <w:p w14:paraId="564ECF05" w14:textId="77777777" w:rsidR="00070F80" w:rsidRPr="00DB2419" w:rsidRDefault="00070F80" w:rsidP="00070F80">
      <w:pPr>
        <w:numPr>
          <w:ilvl w:val="2"/>
          <w:numId w:val="22"/>
        </w:numPr>
        <w:ind w:firstLine="480"/>
      </w:pPr>
      <w:r w:rsidRPr="00DB2419">
        <w:t>在每个调仓期（如每季度末），获取所有</w:t>
      </w:r>
      <w:r w:rsidRPr="00DB2419">
        <w:t>A</w:t>
      </w:r>
      <w:r w:rsidRPr="00DB2419">
        <w:t>股的</w:t>
      </w:r>
      <w:r w:rsidRPr="00DB2419">
        <w:t>P, B, ROE, Goodwill</w:t>
      </w:r>
      <w:r w:rsidRPr="00DB2419">
        <w:t>等数据。</w:t>
      </w:r>
    </w:p>
    <w:p w14:paraId="2868E4B6" w14:textId="77777777" w:rsidR="00070F80" w:rsidRPr="00DB2419" w:rsidRDefault="00070F80" w:rsidP="00070F80">
      <w:pPr>
        <w:numPr>
          <w:ilvl w:val="2"/>
          <w:numId w:val="22"/>
        </w:numPr>
        <w:ind w:firstLine="480"/>
      </w:pPr>
      <w:r w:rsidRPr="00DB2419">
        <w:t>计算每个公司的</w:t>
      </w:r>
      <w:r w:rsidRPr="00DB2419">
        <w:t>B_adj</w:t>
      </w:r>
      <w:r w:rsidRPr="00DB2419">
        <w:t>和</w:t>
      </w:r>
      <w:r w:rsidRPr="00DB2419">
        <w:t>P/B_adj</w:t>
      </w:r>
      <w:r w:rsidRPr="00DB2419">
        <w:t>。</w:t>
      </w:r>
    </w:p>
    <w:p w14:paraId="5B1AD130" w14:textId="77777777" w:rsidR="00070F80" w:rsidRPr="00DB2419" w:rsidRDefault="00070F80" w:rsidP="00070F80">
      <w:pPr>
        <w:numPr>
          <w:ilvl w:val="2"/>
          <w:numId w:val="22"/>
        </w:numPr>
        <w:ind w:firstLine="480"/>
      </w:pPr>
      <w:r w:rsidRPr="00DB2419">
        <w:t>使用全市场（或行业内）数据，进行</w:t>
      </w:r>
      <w:r w:rsidRPr="00DB2419">
        <w:t>ln(P/B_adj)</w:t>
      </w:r>
      <w:r w:rsidRPr="00DB2419">
        <w:t>对</w:t>
      </w:r>
      <w:r w:rsidRPr="00DB2419">
        <w:t>ROE</w:t>
      </w:r>
      <w:r w:rsidRPr="00DB2419">
        <w:t>的截面回归，得到每个公司在当期的残差</w:t>
      </w:r>
      <w:r w:rsidRPr="00DB2419">
        <w:t>epsilon'_t</w:t>
      </w:r>
      <w:r w:rsidRPr="00DB2419">
        <w:t>。</w:t>
      </w:r>
    </w:p>
    <w:p w14:paraId="2ED80BAF" w14:textId="77777777" w:rsidR="00070F80" w:rsidRPr="00DB2419" w:rsidRDefault="00070F80" w:rsidP="00070F80">
      <w:pPr>
        <w:numPr>
          <w:ilvl w:val="2"/>
          <w:numId w:val="22"/>
        </w:numPr>
        <w:ind w:firstLine="480"/>
      </w:pPr>
      <w:r w:rsidRPr="00DB2419">
        <w:t>计算每个公司当期残差相对于</w:t>
      </w:r>
      <w:r w:rsidRPr="00DB2419">
        <w:t>n</w:t>
      </w:r>
      <w:r w:rsidRPr="00DB2419">
        <w:t>期前（如</w:t>
      </w:r>
      <w:r w:rsidRPr="00DB2419">
        <w:t>2</w:t>
      </w:r>
      <w:r w:rsidRPr="00DB2419">
        <w:t>个季度前）残差的变化量</w:t>
      </w:r>
      <w:r w:rsidRPr="00DB2419">
        <w:t xml:space="preserve"> Δepsilon'</w:t>
      </w:r>
      <w:r w:rsidRPr="00DB2419">
        <w:t>。</w:t>
      </w:r>
    </w:p>
    <w:p w14:paraId="31450BF8" w14:textId="77777777" w:rsidR="00070F80" w:rsidRPr="00DB2419" w:rsidRDefault="00070F80" w:rsidP="00070F80">
      <w:pPr>
        <w:numPr>
          <w:ilvl w:val="2"/>
          <w:numId w:val="22"/>
        </w:numPr>
        <w:ind w:firstLine="480"/>
      </w:pPr>
      <w:r w:rsidRPr="00DB2419">
        <w:t>构建投资组合：买入</w:t>
      </w:r>
      <w:r w:rsidRPr="00DB2419">
        <w:t>epsilon'_t</w:t>
      </w:r>
      <w:r w:rsidRPr="00DB2419">
        <w:t>为负，且</w:t>
      </w:r>
      <w:r w:rsidRPr="00DB2419">
        <w:t>Δepsilon'</w:t>
      </w:r>
      <w:r w:rsidRPr="00DB2419">
        <w:t>同样为负（即残差下降最多）的前</w:t>
      </w:r>
      <w:r w:rsidRPr="00DB2419">
        <w:t>10%</w:t>
      </w:r>
      <w:r w:rsidRPr="00DB2419">
        <w:t>的公司。</w:t>
      </w:r>
    </w:p>
    <w:p w14:paraId="18167A73" w14:textId="77777777" w:rsidR="00422252" w:rsidRPr="00070F80" w:rsidRDefault="00422252" w:rsidP="001170B2">
      <w:pPr>
        <w:ind w:firstLine="480"/>
      </w:pPr>
    </w:p>
    <w:p w14:paraId="1F3E400B" w14:textId="77777777" w:rsidR="00C334AC" w:rsidRDefault="00C334AC" w:rsidP="00C334AC">
      <w:pPr>
        <w:ind w:firstLine="480"/>
        <w:outlineLvl w:val="0"/>
      </w:pPr>
      <w:r>
        <w:rPr>
          <w:rFonts w:hint="eastAsia"/>
        </w:rPr>
        <w:t>第八章</w:t>
      </w:r>
    </w:p>
    <w:p w14:paraId="220F0A7E" w14:textId="77777777" w:rsidR="00C334AC" w:rsidRDefault="00C334AC" w:rsidP="001170B2">
      <w:pPr>
        <w:ind w:firstLine="480"/>
      </w:pPr>
    </w:p>
    <w:p w14:paraId="1F9FCE89" w14:textId="77777777" w:rsidR="00282877" w:rsidRPr="00282877" w:rsidRDefault="00282877" w:rsidP="00282877">
      <w:pPr>
        <w:ind w:firstLine="480"/>
      </w:pPr>
      <w:r w:rsidRPr="00282877">
        <w:t>根据您的需求，我将推导股利支付率（</w:t>
      </w:r>
      <w:r w:rsidRPr="00282877">
        <w:t>d</w:t>
      </w:r>
      <w:r w:rsidRPr="00282877">
        <w:t>）、市净率（</w:t>
      </w:r>
      <w:r w:rsidRPr="00282877">
        <w:t>PB</w:t>
      </w:r>
      <w:r w:rsidRPr="00282877">
        <w:t>）、</w:t>
      </w:r>
      <w:r w:rsidRPr="00282877">
        <w:t>ROE</w:t>
      </w:r>
      <w:r w:rsidRPr="00282877">
        <w:t>与要求回报率的差值（</w:t>
      </w:r>
      <w:r w:rsidRPr="00282877">
        <w:t>ROE - k</w:t>
      </w:r>
      <w:r w:rsidRPr="00282877">
        <w:t>）以及投资期限（</w:t>
      </w:r>
      <w:r w:rsidRPr="00282877">
        <w:t>T</w:t>
      </w:r>
      <w:r w:rsidRPr="00282877">
        <w:t>）之间的关系。推导过程严格遵循：</w:t>
      </w:r>
      <w:r w:rsidRPr="00282877">
        <w:t>​</w:t>
      </w:r>
      <w:r w:rsidRPr="00282877">
        <w:rPr>
          <w:b/>
          <w:bCs/>
        </w:rPr>
        <w:t>不依赖股息率</w:t>
      </w:r>
      <w:r w:rsidRPr="00282877">
        <w:t>，同时明确包含</w:t>
      </w:r>
      <w:r w:rsidRPr="00282877">
        <w:t xml:space="preserve"> k </w:t>
      </w:r>
      <w:r w:rsidRPr="00282877">
        <w:t>和</w:t>
      </w:r>
      <w:r w:rsidRPr="00282877">
        <w:t xml:space="preserve"> T </w:t>
      </w:r>
      <w:r w:rsidRPr="00282877">
        <w:t>的角色。以下是完整的数学推导：</w:t>
      </w:r>
    </w:p>
    <w:p w14:paraId="50C32434" w14:textId="77777777" w:rsidR="00282877" w:rsidRPr="00282877" w:rsidRDefault="00000000" w:rsidP="00282877">
      <w:pPr>
        <w:ind w:firstLine="480"/>
      </w:pPr>
      <w:r>
        <w:pict w14:anchorId="4AD29AC2">
          <v:rect id="_x0000_i1025" style="width:0;height:1.5pt" o:hralign="center" o:hrstd="t" o:hr="t" fillcolor="#a0a0a0" stroked="f"/>
        </w:pict>
      </w:r>
    </w:p>
    <w:p w14:paraId="6950AED6" w14:textId="77777777" w:rsidR="00282877" w:rsidRPr="00282877" w:rsidRDefault="00282877" w:rsidP="00282877">
      <w:pPr>
        <w:ind w:firstLine="482"/>
        <w:rPr>
          <w:b/>
          <w:bCs/>
        </w:rPr>
      </w:pPr>
      <w:r w:rsidRPr="00282877">
        <w:rPr>
          <w:b/>
          <w:bCs/>
        </w:rPr>
        <w:t>​</w:t>
      </w:r>
      <w:r w:rsidRPr="00282877">
        <w:rPr>
          <w:b/>
          <w:bCs/>
        </w:rPr>
        <w:t>核心假设</w:t>
      </w:r>
      <w:r w:rsidRPr="00282877">
        <w:rPr>
          <w:b/>
          <w:bCs/>
        </w:rPr>
        <w:t>​</w:t>
      </w:r>
    </w:p>
    <w:p w14:paraId="575040AD" w14:textId="77777777" w:rsidR="00282877" w:rsidRPr="00282877" w:rsidRDefault="00282877">
      <w:pPr>
        <w:numPr>
          <w:ilvl w:val="0"/>
          <w:numId w:val="2"/>
        </w:numPr>
        <w:ind w:firstLine="480"/>
      </w:pPr>
      <w:r w:rsidRPr="00282877">
        <w:lastRenderedPageBreak/>
        <w:t>​</w:t>
      </w:r>
      <w:r w:rsidRPr="00282877">
        <w:rPr>
          <w:b/>
          <w:bCs/>
        </w:rPr>
        <w:t>均值回归</w:t>
      </w:r>
      <w:r w:rsidRPr="00282877">
        <w:t>​</w:t>
      </w:r>
      <w:r w:rsidRPr="00282877">
        <w:t>：投资期限</w:t>
      </w:r>
      <w:r w:rsidRPr="00282877">
        <w:t xml:space="preserve"> T </w:t>
      </w:r>
      <w:r w:rsidRPr="00282877">
        <w:t>年后，市净率回归基本面：</w:t>
      </w:r>
      <w:r w:rsidRPr="00282877">
        <w:t xml:space="preserve"> </w:t>
      </w:r>
    </w:p>
    <w:p w14:paraId="3CCE0D22" w14:textId="77777777" w:rsidR="00282877" w:rsidRPr="00282877" w:rsidRDefault="00282877" w:rsidP="00282877">
      <w:pPr>
        <w:ind w:firstLine="480"/>
      </w:pPr>
      <w:r w:rsidRPr="00282877">
        <w:t>\frac{P}{B}\Big|_{t=T} = 1</w:t>
      </w:r>
    </w:p>
    <w:p w14:paraId="47DA947D" w14:textId="77777777" w:rsidR="00282877" w:rsidRPr="00282877" w:rsidRDefault="00282877">
      <w:pPr>
        <w:numPr>
          <w:ilvl w:val="0"/>
          <w:numId w:val="2"/>
        </w:numPr>
        <w:ind w:firstLine="480"/>
      </w:pPr>
      <w:r w:rsidRPr="00282877">
        <w:t>​</w:t>
      </w:r>
      <w:r w:rsidRPr="00282877">
        <w:rPr>
          <w:b/>
          <w:bCs/>
        </w:rPr>
        <w:t xml:space="preserve">ROE </w:t>
      </w:r>
      <w:r w:rsidRPr="00282877">
        <w:rPr>
          <w:b/>
          <w:bCs/>
        </w:rPr>
        <w:t>趋近</w:t>
      </w:r>
      <w:r w:rsidRPr="00282877">
        <w:rPr>
          <w:b/>
          <w:bCs/>
        </w:rPr>
        <w:t xml:space="preserve"> k</w:t>
      </w:r>
      <w:r w:rsidRPr="00282877">
        <w:t>​</w:t>
      </w:r>
      <w:r w:rsidRPr="00282877">
        <w:t>：长期盈利能力趋近要求回报率：</w:t>
      </w:r>
      <w:r w:rsidRPr="00282877">
        <w:t xml:space="preserve"> </w:t>
      </w:r>
    </w:p>
    <w:p w14:paraId="277F4FA9" w14:textId="77777777" w:rsidR="00282877" w:rsidRPr="00282877" w:rsidRDefault="00282877" w:rsidP="00282877">
      <w:pPr>
        <w:ind w:firstLine="480"/>
      </w:pPr>
      <w:r w:rsidRPr="00282877">
        <w:t>\text{ROE} \to k \quad \text{</w:t>
      </w:r>
      <w:r w:rsidRPr="00282877">
        <w:t>当</w:t>
      </w:r>
      <w:r w:rsidRPr="00282877">
        <w:t>} \quad t \to T</w:t>
      </w:r>
    </w:p>
    <w:p w14:paraId="5A1FCE79" w14:textId="77777777" w:rsidR="00282877" w:rsidRPr="00282877" w:rsidRDefault="00282877">
      <w:pPr>
        <w:numPr>
          <w:ilvl w:val="0"/>
          <w:numId w:val="2"/>
        </w:numPr>
        <w:ind w:firstLine="480"/>
      </w:pPr>
      <w:r w:rsidRPr="00282877">
        <w:t>​</w:t>
      </w:r>
      <w:r w:rsidRPr="00282877">
        <w:rPr>
          <w:b/>
          <w:bCs/>
        </w:rPr>
        <w:t>分红政策稳定</w:t>
      </w:r>
      <w:r w:rsidRPr="00282877">
        <w:t>​</w:t>
      </w:r>
      <w:r w:rsidRPr="00282877">
        <w:t>：股利支付率（</w:t>
      </w:r>
      <w:r w:rsidRPr="00282877">
        <w:t>d</w:t>
      </w:r>
      <w:r w:rsidRPr="00282877">
        <w:t>）在</w:t>
      </w:r>
      <w:r w:rsidRPr="00282877">
        <w:t xml:space="preserve"> T </w:t>
      </w:r>
      <w:r w:rsidRPr="00282877">
        <w:t>年内保持不变。</w:t>
      </w:r>
    </w:p>
    <w:p w14:paraId="1140EE1F" w14:textId="77777777" w:rsidR="00282877" w:rsidRPr="00282877" w:rsidRDefault="00000000" w:rsidP="00282877">
      <w:pPr>
        <w:ind w:firstLine="480"/>
      </w:pPr>
      <w:r>
        <w:pict w14:anchorId="0C87F04D">
          <v:rect id="_x0000_i1026" style="width:0;height:1.5pt" o:hralign="center" o:hrstd="t" o:hr="t" fillcolor="#a0a0a0" stroked="f"/>
        </w:pict>
      </w:r>
    </w:p>
    <w:p w14:paraId="02FBDFE6" w14:textId="77777777" w:rsidR="00282877" w:rsidRPr="00282877" w:rsidRDefault="00282877" w:rsidP="00282877">
      <w:pPr>
        <w:ind w:firstLine="482"/>
        <w:rPr>
          <w:b/>
          <w:bCs/>
        </w:rPr>
      </w:pPr>
      <w:r w:rsidRPr="00282877">
        <w:rPr>
          <w:b/>
          <w:bCs/>
        </w:rPr>
        <w:t>​</w:t>
      </w:r>
      <w:r w:rsidRPr="00282877">
        <w:rPr>
          <w:b/>
          <w:bCs/>
        </w:rPr>
        <w:t>推导步骤</w:t>
      </w:r>
      <w:r w:rsidRPr="00282877">
        <w:rPr>
          <w:b/>
          <w:bCs/>
        </w:rPr>
        <w:t>​</w:t>
      </w:r>
    </w:p>
    <w:p w14:paraId="13C93CB8"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1</w:t>
      </w:r>
      <w:r w:rsidRPr="00282877">
        <w:rPr>
          <w:b/>
          <w:bCs/>
        </w:rPr>
        <w:t>：建立市净率演化方程</w:t>
      </w:r>
      <w:r w:rsidRPr="00282877">
        <w:rPr>
          <w:b/>
          <w:bCs/>
        </w:rPr>
        <w:t>​</w:t>
      </w:r>
    </w:p>
    <w:p w14:paraId="2A2B213C" w14:textId="77777777" w:rsidR="00282877" w:rsidRPr="00282877" w:rsidRDefault="00282877" w:rsidP="00282877">
      <w:pPr>
        <w:ind w:firstLine="480"/>
      </w:pPr>
      <w:r w:rsidRPr="00282877">
        <w:t>根据均值回归假设，初始市净率（</w:t>
      </w:r>
      <w:r w:rsidRPr="00282877">
        <w:t>PB</w:t>
      </w:r>
      <w:r w:rsidRPr="00282877">
        <w:t>）的对数变化满足：</w:t>
      </w:r>
    </w:p>
    <w:p w14:paraId="53A6C2BA" w14:textId="77777777" w:rsidR="00282877" w:rsidRPr="00282877" w:rsidRDefault="00282877" w:rsidP="00282877">
      <w:pPr>
        <w:ind w:firstLine="480"/>
      </w:pPr>
      <w:r w:rsidRPr="00282877">
        <w:t>\ln\left(\frac{P}{B}\Big|_{t=T}\right) - \ln\left(\frac{P}{B}\Big|_{t=0}\right) = (k - \text{ROE}) \cdot T</w:t>
      </w:r>
    </w:p>
    <w:p w14:paraId="3F8941CC" w14:textId="77777777" w:rsidR="00282877" w:rsidRPr="00282877" w:rsidRDefault="00282877" w:rsidP="00282877">
      <w:pPr>
        <w:ind w:firstLine="480"/>
      </w:pPr>
      <w:r w:rsidRPr="00282877">
        <w:t>代入终点条件</w:t>
      </w:r>
      <w:r w:rsidRPr="00282877">
        <w:t xml:space="preserve"> \frac{P}{B}\big|_{t=T} = 1</w:t>
      </w:r>
      <w:r w:rsidRPr="00282877">
        <w:t>（即</w:t>
      </w:r>
      <w:r w:rsidRPr="00282877">
        <w:t xml:space="preserve"> \ln(1) = 0</w:t>
      </w:r>
      <w:r w:rsidRPr="00282877">
        <w:t>）：</w:t>
      </w:r>
    </w:p>
    <w:p w14:paraId="0FADFBFD" w14:textId="77777777" w:rsidR="00282877" w:rsidRPr="00282877" w:rsidRDefault="00282877" w:rsidP="00282877">
      <w:pPr>
        <w:ind w:firstLine="480"/>
      </w:pPr>
      <w:r w:rsidRPr="00282877">
        <w:t>0 - \ln(\text{PB}) = (k - \text{ROE}) \cdot T</w:t>
      </w:r>
    </w:p>
    <w:p w14:paraId="20A8DA53" w14:textId="77777777" w:rsidR="00282877" w:rsidRPr="00282877" w:rsidRDefault="00282877" w:rsidP="00282877">
      <w:pPr>
        <w:ind w:firstLine="480"/>
      </w:pPr>
      <w:r w:rsidRPr="00282877">
        <w:t>整理得：</w:t>
      </w:r>
    </w:p>
    <w:p w14:paraId="08CC6B96" w14:textId="77777777" w:rsidR="00282877" w:rsidRPr="00282877" w:rsidRDefault="00282877" w:rsidP="00282877">
      <w:pPr>
        <w:ind w:firstLine="480"/>
      </w:pPr>
      <w:r w:rsidRPr="00282877">
        <w:t>\ln(\text{PB}) = (\text{ROE} - k) \cdot T \quad \text{(1)}</w:t>
      </w:r>
    </w:p>
    <w:p w14:paraId="25480D45" w14:textId="77777777" w:rsidR="00282877" w:rsidRPr="00282877" w:rsidRDefault="00282877" w:rsidP="00282877">
      <w:pPr>
        <w:ind w:firstLine="480"/>
      </w:pPr>
      <w:r w:rsidRPr="00282877">
        <w:t>​</w:t>
      </w:r>
      <w:r w:rsidRPr="00282877">
        <w:rPr>
          <w:b/>
          <w:bCs/>
        </w:rPr>
        <w:t>说明</w:t>
      </w:r>
      <w:r w:rsidRPr="00282877">
        <w:t>​</w:t>
      </w:r>
      <w:r w:rsidRPr="00282877">
        <w:t>：此式建立了</w:t>
      </w:r>
      <w:r w:rsidRPr="00282877">
        <w:t xml:space="preserve"> PB </w:t>
      </w:r>
      <w:r w:rsidRPr="00282877">
        <w:t>与</w:t>
      </w:r>
      <w:r w:rsidRPr="00282877">
        <w:t xml:space="preserve"> ROE - k </w:t>
      </w:r>
      <w:r w:rsidRPr="00282877">
        <w:t>和</w:t>
      </w:r>
      <w:r w:rsidRPr="00282877">
        <w:t xml:space="preserve"> T </w:t>
      </w:r>
      <w:r w:rsidRPr="00282877">
        <w:t>的直接关系，但尚未引入分红政策（</w:t>
      </w:r>
      <w:r w:rsidRPr="00282877">
        <w:t>d</w:t>
      </w:r>
      <w:r w:rsidRPr="00282877">
        <w:t>）。</w:t>
      </w:r>
    </w:p>
    <w:p w14:paraId="5831D73F" w14:textId="77777777" w:rsidR="00282877" w:rsidRPr="00282877" w:rsidRDefault="00000000" w:rsidP="00282877">
      <w:pPr>
        <w:ind w:firstLine="480"/>
      </w:pPr>
      <w:r>
        <w:pict w14:anchorId="561A7C0F">
          <v:rect id="_x0000_i1027" style="width:0;height:1.5pt" o:hralign="center" o:hrstd="t" o:hr="t" fillcolor="#a0a0a0" stroked="f"/>
        </w:pict>
      </w:r>
    </w:p>
    <w:p w14:paraId="0B1B7B29"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2</w:t>
      </w:r>
      <w:r w:rsidRPr="00282877">
        <w:rPr>
          <w:b/>
          <w:bCs/>
        </w:rPr>
        <w:t>：引入股利支付率（</w:t>
      </w:r>
      <w:r w:rsidRPr="00282877">
        <w:rPr>
          <w:b/>
          <w:bCs/>
        </w:rPr>
        <w:t>d</w:t>
      </w:r>
      <w:r w:rsidRPr="00282877">
        <w:rPr>
          <w:b/>
          <w:bCs/>
        </w:rPr>
        <w:t>）</w:t>
      </w:r>
      <w:r w:rsidRPr="00282877">
        <w:rPr>
          <w:b/>
          <w:bCs/>
        </w:rPr>
        <w:t>​​</w:t>
      </w:r>
    </w:p>
    <w:p w14:paraId="38507D41" w14:textId="77777777" w:rsidR="00282877" w:rsidRPr="00282877" w:rsidRDefault="00282877" w:rsidP="00282877">
      <w:pPr>
        <w:ind w:firstLine="480"/>
      </w:pPr>
      <w:r w:rsidRPr="00282877">
        <w:t>在</w:t>
      </w:r>
      <w:r w:rsidRPr="00282877">
        <w:t xml:space="preserve"> T </w:t>
      </w:r>
      <w:r w:rsidRPr="00282877">
        <w:t>年内，每股净资产（</w:t>
      </w:r>
      <w:r w:rsidRPr="00282877">
        <w:t>B</w:t>
      </w:r>
      <w:r w:rsidRPr="00282877">
        <w:t>）的增长来源于留存收益再投资：</w:t>
      </w:r>
    </w:p>
    <w:p w14:paraId="02E20AA6" w14:textId="77777777" w:rsidR="00282877" w:rsidRPr="00282877" w:rsidRDefault="00282877" w:rsidP="00282877">
      <w:pPr>
        <w:ind w:firstLine="480"/>
      </w:pPr>
      <w:r w:rsidRPr="00282877">
        <w:t>\frac{\Delta B}{B} = \text{ROE} \times (1 - d)</w:t>
      </w:r>
    </w:p>
    <w:p w14:paraId="34BF223A" w14:textId="77777777" w:rsidR="00282877" w:rsidRPr="00282877" w:rsidRDefault="00282877">
      <w:pPr>
        <w:numPr>
          <w:ilvl w:val="0"/>
          <w:numId w:val="3"/>
        </w:numPr>
        <w:ind w:firstLine="480"/>
      </w:pPr>
      <w:r w:rsidRPr="00282877">
        <w:t>​</w:t>
      </w:r>
      <w:r w:rsidRPr="00282877">
        <w:rPr>
          <w:b/>
          <w:bCs/>
        </w:rPr>
        <w:t>经济含义</w:t>
      </w:r>
      <w:r w:rsidRPr="00282877">
        <w:t>​</w:t>
      </w:r>
      <w:r w:rsidRPr="00282877">
        <w:t>：未分红部分（比例</w:t>
      </w:r>
      <w:r w:rsidRPr="00282877">
        <w:t xml:space="preserve"> 1-d</w:t>
      </w:r>
      <w:r w:rsidRPr="00282877">
        <w:t>）的</w:t>
      </w:r>
      <w:r w:rsidRPr="00282877">
        <w:t xml:space="preserve"> ROE </w:t>
      </w:r>
      <w:r w:rsidRPr="00282877">
        <w:t>驱动净资产增长。</w:t>
      </w:r>
    </w:p>
    <w:p w14:paraId="2390CD16" w14:textId="77777777" w:rsidR="00282877" w:rsidRPr="00282877" w:rsidRDefault="00000000" w:rsidP="00282877">
      <w:pPr>
        <w:ind w:firstLine="480"/>
      </w:pPr>
      <w:r>
        <w:pict w14:anchorId="51162D3B">
          <v:rect id="_x0000_i1028" style="width:0;height:1.5pt" o:hralign="center" o:hrstd="t" o:hr="t" fillcolor="#a0a0a0" stroked="f"/>
        </w:pict>
      </w:r>
    </w:p>
    <w:p w14:paraId="05189073"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3</w:t>
      </w:r>
      <w:r w:rsidRPr="00282877">
        <w:rPr>
          <w:b/>
          <w:bCs/>
        </w:rPr>
        <w:t>：总回报率（</w:t>
      </w:r>
      <w:r w:rsidRPr="00282877">
        <w:rPr>
          <w:b/>
          <w:bCs/>
        </w:rPr>
        <w:t>k</w:t>
      </w:r>
      <w:r w:rsidRPr="00282877">
        <w:rPr>
          <w:b/>
          <w:bCs/>
        </w:rPr>
        <w:t>）的分解</w:t>
      </w:r>
      <w:r w:rsidRPr="00282877">
        <w:rPr>
          <w:b/>
          <w:bCs/>
        </w:rPr>
        <w:t>​</w:t>
      </w:r>
    </w:p>
    <w:p w14:paraId="1A6A3BE2" w14:textId="77777777" w:rsidR="00282877" w:rsidRPr="00282877" w:rsidRDefault="00282877" w:rsidP="00282877">
      <w:pPr>
        <w:ind w:firstLine="480"/>
      </w:pPr>
      <w:r w:rsidRPr="00282877">
        <w:t>股东要求回报率（</w:t>
      </w:r>
      <w:r w:rsidRPr="00282877">
        <w:t>k</w:t>
      </w:r>
      <w:r w:rsidRPr="00282877">
        <w:t>）由三部分构成：</w:t>
      </w:r>
    </w:p>
    <w:p w14:paraId="7888181A" w14:textId="77777777" w:rsidR="00282877" w:rsidRPr="00282877" w:rsidRDefault="00282877" w:rsidP="00282877">
      <w:pPr>
        <w:ind w:firstLine="480"/>
      </w:pPr>
      <w:r w:rsidRPr="00282877">
        <w:t>k = \underbrace{\frac{D}{P}}_{\text{</w:t>
      </w:r>
      <w:r w:rsidRPr="00282877">
        <w:t>股息率</w:t>
      </w:r>
      <w:r w:rsidRPr="00282877">
        <w:t>}} + \underbrace{\frac{\Delta B}{B}}_{\text{</w:t>
      </w:r>
      <w:r w:rsidRPr="00282877">
        <w:t>净资产增长</w:t>
      </w:r>
      <w:r w:rsidRPr="00282877">
        <w:t>}} + \underbrace{\frac{\Delta (\text{PB})}{\text{PB}}}_{\text{</w:t>
      </w:r>
      <w:r w:rsidRPr="00282877">
        <w:t>估值变化</w:t>
      </w:r>
      <w:r w:rsidRPr="00282877">
        <w:t>}}</w:t>
      </w:r>
    </w:p>
    <w:p w14:paraId="181196D5" w14:textId="77777777" w:rsidR="00282877" w:rsidRPr="00282877" w:rsidRDefault="00282877">
      <w:pPr>
        <w:numPr>
          <w:ilvl w:val="0"/>
          <w:numId w:val="4"/>
        </w:numPr>
        <w:ind w:firstLine="480"/>
      </w:pPr>
      <w:r w:rsidRPr="00282877">
        <w:t>​</w:t>
      </w:r>
      <w:r w:rsidRPr="00282877">
        <w:rPr>
          <w:b/>
          <w:bCs/>
        </w:rPr>
        <w:t>股息率</w:t>
      </w:r>
      <w:r w:rsidRPr="00282877">
        <w:t>​</w:t>
      </w:r>
      <w:r w:rsidRPr="00282877">
        <w:t>：用</w:t>
      </w:r>
      <w:r w:rsidRPr="00282877">
        <w:t xml:space="preserve"> PB </w:t>
      </w:r>
      <w:r w:rsidRPr="00282877">
        <w:t>和</w:t>
      </w:r>
      <w:r w:rsidRPr="00282877">
        <w:t xml:space="preserve"> ROE </w:t>
      </w:r>
      <w:r w:rsidRPr="00282877">
        <w:t>表示</w:t>
      </w:r>
      <w:r w:rsidRPr="00282877">
        <w:br/>
      </w:r>
      <w:r w:rsidRPr="00282877">
        <w:t>由股利支付率定义：</w:t>
      </w:r>
    </w:p>
    <w:p w14:paraId="75D426BE" w14:textId="77777777" w:rsidR="00282877" w:rsidRPr="00282877" w:rsidRDefault="00282877" w:rsidP="00282877">
      <w:pPr>
        <w:ind w:firstLine="480"/>
      </w:pPr>
      <w:r w:rsidRPr="00282877">
        <w:t>\frac{D}{P} = \frac{d \times \text{ROE} \times B}{P} = d \times \text{ROE} \times \frac{1}{\text{PB}}</w:t>
      </w:r>
    </w:p>
    <w:p w14:paraId="66DF3E28" w14:textId="77777777" w:rsidR="00282877" w:rsidRPr="00282877" w:rsidRDefault="00282877">
      <w:pPr>
        <w:numPr>
          <w:ilvl w:val="0"/>
          <w:numId w:val="4"/>
        </w:numPr>
        <w:ind w:firstLine="480"/>
      </w:pPr>
      <w:r w:rsidRPr="00282877">
        <w:t>​</w:t>
      </w:r>
      <w:r w:rsidRPr="00282877">
        <w:rPr>
          <w:b/>
          <w:bCs/>
        </w:rPr>
        <w:t>净资产增长率</w:t>
      </w:r>
      <w:r w:rsidRPr="00282877">
        <w:t>​</w:t>
      </w:r>
      <w:r w:rsidRPr="00282877">
        <w:t>（步骤</w:t>
      </w:r>
      <w:r w:rsidRPr="00282877">
        <w:t xml:space="preserve"> 2</w:t>
      </w:r>
      <w:r w:rsidRPr="00282877">
        <w:t>）：</w:t>
      </w:r>
    </w:p>
    <w:p w14:paraId="1D607D8B" w14:textId="77777777" w:rsidR="00282877" w:rsidRPr="00282877" w:rsidRDefault="00282877" w:rsidP="00282877">
      <w:pPr>
        <w:ind w:firstLine="480"/>
      </w:pPr>
      <w:r w:rsidRPr="00282877">
        <w:t>\frac{\Delta B}{B} = \text{ROE} \times (1 - d)</w:t>
      </w:r>
    </w:p>
    <w:p w14:paraId="19BCFE63" w14:textId="77777777" w:rsidR="00282877" w:rsidRPr="00282877" w:rsidRDefault="00282877">
      <w:pPr>
        <w:numPr>
          <w:ilvl w:val="0"/>
          <w:numId w:val="4"/>
        </w:numPr>
        <w:ind w:firstLine="480"/>
      </w:pPr>
      <w:r w:rsidRPr="00282877">
        <w:t>​</w:t>
      </w:r>
      <w:r w:rsidRPr="00282877">
        <w:rPr>
          <w:b/>
          <w:bCs/>
        </w:rPr>
        <w:t>估值变化率</w:t>
      </w:r>
      <w:r w:rsidRPr="00282877">
        <w:t>​</w:t>
      </w:r>
      <w:r w:rsidRPr="00282877">
        <w:t>（对数导数形式）：</w:t>
      </w:r>
      <w:r w:rsidRPr="00282877">
        <w:br/>
      </w:r>
      <w:r w:rsidRPr="00282877">
        <w:t>由假设（</w:t>
      </w:r>
      <w:r w:rsidRPr="00282877">
        <w:t>1</w:t>
      </w:r>
      <w:r w:rsidRPr="00282877">
        <w:t>）得：</w:t>
      </w:r>
    </w:p>
    <w:p w14:paraId="0277DAFC" w14:textId="77777777" w:rsidR="00282877" w:rsidRPr="00282877" w:rsidRDefault="00282877" w:rsidP="00282877">
      <w:pPr>
        <w:ind w:firstLine="480"/>
      </w:pPr>
      <w:r w:rsidRPr="00282877">
        <w:lastRenderedPageBreak/>
        <w:t>\frac{\Delta (\text{PB})}{\text{PB}} \approx \frac{d \ln(\text{PB})}{dt} = -\frac{\ln(\text{PB})}{T}</w:t>
      </w:r>
    </w:p>
    <w:p w14:paraId="4B189FCE" w14:textId="77777777" w:rsidR="00282877" w:rsidRPr="00282877" w:rsidRDefault="00282877" w:rsidP="00282877">
      <w:pPr>
        <w:ind w:firstLine="480"/>
      </w:pPr>
      <w:r w:rsidRPr="00282877">
        <w:t>​</w:t>
      </w:r>
      <w:r w:rsidRPr="00282877">
        <w:rPr>
          <w:b/>
          <w:bCs/>
        </w:rPr>
        <w:t>解释</w:t>
      </w:r>
      <w:r w:rsidRPr="00282877">
        <w:t>​</w:t>
      </w:r>
      <w:r w:rsidRPr="00282877">
        <w:t>：估值变化源于</w:t>
      </w:r>
      <w:r w:rsidRPr="00282877">
        <w:t xml:space="preserve"> PB </w:t>
      </w:r>
      <w:r w:rsidRPr="00282877">
        <w:t>回归</w:t>
      </w:r>
      <w:r w:rsidRPr="00282877">
        <w:t xml:space="preserve"> 1 </w:t>
      </w:r>
      <w:r w:rsidRPr="00282877">
        <w:t>的过程，瞬时变化率由</w:t>
      </w:r>
      <w:r w:rsidRPr="00282877">
        <w:t xml:space="preserve"> \ln(\text{PB}) </w:t>
      </w:r>
      <w:r w:rsidRPr="00282877">
        <w:t>的导数决定。</w:t>
      </w:r>
    </w:p>
    <w:p w14:paraId="0AB78CC4" w14:textId="77777777" w:rsidR="00282877" w:rsidRPr="00282877" w:rsidRDefault="00000000" w:rsidP="00282877">
      <w:pPr>
        <w:ind w:firstLine="480"/>
      </w:pPr>
      <w:r>
        <w:pict w14:anchorId="5AD20BD8">
          <v:rect id="_x0000_i1029" style="width:0;height:1.5pt" o:hralign="center" o:hrstd="t" o:hr="t" fillcolor="#a0a0a0" stroked="f"/>
        </w:pict>
      </w:r>
    </w:p>
    <w:p w14:paraId="3E9FE709"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4</w:t>
      </w:r>
      <w:r w:rsidRPr="00282877">
        <w:rPr>
          <w:b/>
          <w:bCs/>
        </w:rPr>
        <w:t>：代入总回报率公式</w:t>
      </w:r>
      <w:r w:rsidRPr="00282877">
        <w:rPr>
          <w:b/>
          <w:bCs/>
        </w:rPr>
        <w:t>​</w:t>
      </w:r>
    </w:p>
    <w:p w14:paraId="176F2814" w14:textId="77777777" w:rsidR="00282877" w:rsidRPr="00282877" w:rsidRDefault="00282877" w:rsidP="00282877">
      <w:pPr>
        <w:ind w:firstLine="480"/>
      </w:pPr>
      <w:r w:rsidRPr="00282877">
        <w:t>将三项代入总回报率方程：</w:t>
      </w:r>
    </w:p>
    <w:p w14:paraId="1E6138A5" w14:textId="77777777" w:rsidR="00282877" w:rsidRPr="00282877" w:rsidRDefault="00282877" w:rsidP="00282877">
      <w:pPr>
        <w:ind w:firstLine="480"/>
      </w:pPr>
      <w:r w:rsidRPr="00282877">
        <w:t>k = \left[ d \times \text{ROE} \times \frac{1}{\text{PB}} \right] + \left[ \text{ROE} \times (1 - d) \right] + \left[ -\frac{\ln(\text{PB})}{T} \right]</w:t>
      </w:r>
    </w:p>
    <w:p w14:paraId="12C6E052" w14:textId="77777777" w:rsidR="00282877" w:rsidRPr="00282877" w:rsidRDefault="00000000" w:rsidP="00282877">
      <w:pPr>
        <w:ind w:firstLine="480"/>
      </w:pPr>
      <w:r>
        <w:pict w14:anchorId="471D4E63">
          <v:rect id="_x0000_i1030" style="width:0;height:1.5pt" o:hralign="center" o:hrstd="t" o:hr="t" fillcolor="#a0a0a0" stroked="f"/>
        </w:pict>
      </w:r>
    </w:p>
    <w:p w14:paraId="72985D1D"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5</w:t>
      </w:r>
      <w:r w:rsidRPr="00282877">
        <w:rPr>
          <w:b/>
          <w:bCs/>
        </w:rPr>
        <w:t>：结合方程</w:t>
      </w:r>
      <w:r w:rsidRPr="00282877">
        <w:rPr>
          <w:b/>
          <w:bCs/>
        </w:rPr>
        <w:t xml:space="preserve"> (1) </w:t>
      </w:r>
      <w:r w:rsidRPr="00282877">
        <w:rPr>
          <w:b/>
          <w:bCs/>
        </w:rPr>
        <w:t>消元</w:t>
      </w:r>
      <w:r w:rsidRPr="00282877">
        <w:rPr>
          <w:b/>
          <w:bCs/>
        </w:rPr>
        <w:t>​</w:t>
      </w:r>
    </w:p>
    <w:p w14:paraId="5A390BA2" w14:textId="77777777" w:rsidR="00282877" w:rsidRPr="00282877" w:rsidRDefault="00282877" w:rsidP="00282877">
      <w:pPr>
        <w:ind w:firstLine="480"/>
      </w:pPr>
      <w:r w:rsidRPr="00282877">
        <w:t>由方程</w:t>
      </w:r>
      <w:r w:rsidRPr="00282877">
        <w:t xml:space="preserve"> (1) </w:t>
      </w:r>
      <w:r w:rsidRPr="00282877">
        <w:t>解出</w:t>
      </w:r>
      <w:r w:rsidRPr="00282877">
        <w:t xml:space="preserve"> \ln(\text{PB})</w:t>
      </w:r>
      <w:r w:rsidRPr="00282877">
        <w:t>：</w:t>
      </w:r>
    </w:p>
    <w:p w14:paraId="5980277B" w14:textId="77777777" w:rsidR="00282877" w:rsidRPr="00282877" w:rsidRDefault="00282877" w:rsidP="00282877">
      <w:pPr>
        <w:ind w:firstLine="480"/>
      </w:pPr>
      <w:r w:rsidRPr="00282877">
        <w:t>\ln(\text{PB}) = (\text{ROE} - k) \cdot T \quad \Rightarrow \quad -\frac{\ln(\text{PB})}{T} = k - \text{ROE}</w:t>
      </w:r>
    </w:p>
    <w:p w14:paraId="24778D86" w14:textId="77777777" w:rsidR="00282877" w:rsidRPr="00282877" w:rsidRDefault="00282877" w:rsidP="00282877">
      <w:pPr>
        <w:ind w:firstLine="480"/>
      </w:pPr>
      <w:r w:rsidRPr="00282877">
        <w:t>代入总回报率公式：</w:t>
      </w:r>
    </w:p>
    <w:p w14:paraId="197D207A" w14:textId="77777777" w:rsidR="00282877" w:rsidRPr="00282877" w:rsidRDefault="00282877" w:rsidP="00282877">
      <w:pPr>
        <w:ind w:firstLine="480"/>
      </w:pPr>
      <w:r w:rsidRPr="00282877">
        <w:t>k = \frac{d \times \text{ROE}}{\text{PB}} + \text{ROE} \times (1 - d) + (k - \text{ROE})</w:t>
      </w:r>
    </w:p>
    <w:p w14:paraId="7053B724" w14:textId="77777777" w:rsidR="00282877" w:rsidRPr="00282877" w:rsidRDefault="00000000" w:rsidP="00282877">
      <w:pPr>
        <w:ind w:firstLine="480"/>
      </w:pPr>
      <w:r>
        <w:pict w14:anchorId="4A54FB8A">
          <v:rect id="_x0000_i1031" style="width:0;height:1.5pt" o:hralign="center" o:hrstd="t" o:hr="t" fillcolor="#a0a0a0" stroked="f"/>
        </w:pict>
      </w:r>
    </w:p>
    <w:p w14:paraId="56A5E394"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6</w:t>
      </w:r>
      <w:r w:rsidRPr="00282877">
        <w:rPr>
          <w:b/>
          <w:bCs/>
        </w:rPr>
        <w:t>：化简求关系式</w:t>
      </w:r>
      <w:r w:rsidRPr="00282877">
        <w:rPr>
          <w:b/>
          <w:bCs/>
        </w:rPr>
        <w:t>​</w:t>
      </w:r>
    </w:p>
    <w:p w14:paraId="35187637" w14:textId="77777777" w:rsidR="00282877" w:rsidRPr="00282877" w:rsidRDefault="00282877" w:rsidP="00282877">
      <w:pPr>
        <w:ind w:firstLine="480"/>
      </w:pPr>
      <w:r w:rsidRPr="00282877">
        <w:t>等式右侧化简：</w:t>
      </w:r>
    </w:p>
    <w:p w14:paraId="067BE078" w14:textId="77777777" w:rsidR="00282877" w:rsidRPr="00282877" w:rsidRDefault="00282877" w:rsidP="00282877">
      <w:pPr>
        <w:ind w:firstLine="480"/>
      </w:pPr>
      <w:r w:rsidRPr="00282877">
        <w:t>k = \cancel{\text{ROE}} - d \cdot \text{ROE} + \frac{d \cdot \text{ROE}}{\text{PB}} + k - \cancel{\text{ROE}}</w:t>
      </w:r>
    </w:p>
    <w:p w14:paraId="595F0FD1" w14:textId="77777777" w:rsidR="00282877" w:rsidRPr="00282877" w:rsidRDefault="00282877" w:rsidP="00282877">
      <w:pPr>
        <w:ind w:firstLine="480"/>
      </w:pPr>
      <w:r w:rsidRPr="00282877">
        <w:t>移项合并同类项：</w:t>
      </w:r>
    </w:p>
    <w:p w14:paraId="2EEEB5EB" w14:textId="77777777" w:rsidR="00282877" w:rsidRPr="00282877" w:rsidRDefault="00282877" w:rsidP="00282877">
      <w:pPr>
        <w:ind w:firstLine="480"/>
      </w:pPr>
      <w:r w:rsidRPr="00282877">
        <w:t>0 = \frac{d \cdot \text{ROE}}{\text{PB}} - d \cdot \text{ROE}</w:t>
      </w:r>
    </w:p>
    <w:p w14:paraId="16C5CEEB" w14:textId="77777777" w:rsidR="00282877" w:rsidRPr="00282877" w:rsidRDefault="00282877" w:rsidP="00282877">
      <w:pPr>
        <w:ind w:firstLine="480"/>
      </w:pPr>
      <w:r w:rsidRPr="00282877">
        <w:t>整理得最终关系式：</w:t>
      </w:r>
    </w:p>
    <w:p w14:paraId="3D9FB8FB" w14:textId="77777777" w:rsidR="00282877" w:rsidRPr="00282877" w:rsidRDefault="00282877" w:rsidP="00282877">
      <w:pPr>
        <w:ind w:firstLine="480"/>
      </w:pPr>
      <w:r w:rsidRPr="00282877">
        <w:t>\boxed{d \cdot \text{ROE} \left( 1 - \frac{1}{\text{PB}} \right) = 0}</w:t>
      </w:r>
    </w:p>
    <w:p w14:paraId="33884416" w14:textId="77777777" w:rsidR="00282877" w:rsidRPr="00282877" w:rsidRDefault="00282877" w:rsidP="00282877">
      <w:pPr>
        <w:ind w:firstLine="480"/>
      </w:pPr>
      <w:r w:rsidRPr="00282877">
        <w:t>由于</w:t>
      </w:r>
      <w:r w:rsidRPr="00282877">
        <w:t xml:space="preserve"> d \cdot \text{ROE} </w:t>
      </w:r>
      <w:r w:rsidRPr="00282877">
        <w:t>不全为零（除非无分红或零盈利），必有：</w:t>
      </w:r>
    </w:p>
    <w:p w14:paraId="0DA8BDBD" w14:textId="77777777" w:rsidR="00282877" w:rsidRPr="00282877" w:rsidRDefault="00282877" w:rsidP="00282877">
      <w:pPr>
        <w:ind w:firstLine="480"/>
      </w:pPr>
      <w:r w:rsidRPr="00282877">
        <w:t>1 - \frac{1}{\text{PB}} = 0 \quad \Rightarrow \quad \text{PB} = 1</w:t>
      </w:r>
    </w:p>
    <w:p w14:paraId="1D83A28D" w14:textId="77777777" w:rsidR="00282877" w:rsidRPr="00282877" w:rsidRDefault="00282877" w:rsidP="00282877">
      <w:pPr>
        <w:ind w:firstLine="480"/>
      </w:pPr>
      <w:r w:rsidRPr="00282877">
        <w:t>​</w:t>
      </w:r>
      <w:r w:rsidRPr="00282877">
        <w:rPr>
          <w:b/>
          <w:bCs/>
        </w:rPr>
        <w:t>矛盾！</w:t>
      </w:r>
      <w:r w:rsidRPr="00282877">
        <w:rPr>
          <w:b/>
          <w:bCs/>
        </w:rPr>
        <w:t>​</w:t>
      </w:r>
      <w:r w:rsidRPr="00282877">
        <w:t xml:space="preserve">​ </w:t>
      </w:r>
      <w:r w:rsidRPr="00282877">
        <w:t>此结论与均值回归终点（</w:t>
      </w:r>
      <w:r w:rsidRPr="00282877">
        <w:t>PB=1</w:t>
      </w:r>
      <w:r w:rsidRPr="00282877">
        <w:t>）一致，但</w:t>
      </w:r>
      <w:r w:rsidRPr="00282877">
        <w:rPr>
          <w:b/>
          <w:bCs/>
        </w:rPr>
        <w:t>未提供新信息</w:t>
      </w:r>
      <w:r w:rsidRPr="00282877">
        <w:t>，表明模型需额外约束。</w:t>
      </w:r>
    </w:p>
    <w:p w14:paraId="5DFFB91D" w14:textId="77777777" w:rsidR="00282877" w:rsidRPr="00282877" w:rsidRDefault="00000000" w:rsidP="00282877">
      <w:pPr>
        <w:ind w:firstLine="480"/>
      </w:pPr>
      <w:r>
        <w:pict w14:anchorId="3942B33A">
          <v:rect id="_x0000_i1032" style="width:0;height:1.5pt" o:hralign="center" o:hrstd="t" o:hr="t" fillcolor="#a0a0a0" stroked="f"/>
        </w:pict>
      </w:r>
    </w:p>
    <w:p w14:paraId="366D68B9" w14:textId="77777777" w:rsidR="00282877" w:rsidRPr="00282877" w:rsidRDefault="00282877" w:rsidP="00282877">
      <w:pPr>
        <w:ind w:firstLine="482"/>
        <w:rPr>
          <w:b/>
          <w:bCs/>
        </w:rPr>
      </w:pPr>
      <w:r w:rsidRPr="00282877">
        <w:rPr>
          <w:b/>
          <w:bCs/>
        </w:rPr>
        <w:t>​</w:t>
      </w:r>
      <w:r w:rsidRPr="00282877">
        <w:rPr>
          <w:b/>
          <w:bCs/>
        </w:rPr>
        <w:t>关键修正：引入稳态增长条件</w:t>
      </w:r>
      <w:r w:rsidRPr="00282877">
        <w:rPr>
          <w:b/>
          <w:bCs/>
        </w:rPr>
        <w:t>​</w:t>
      </w:r>
    </w:p>
    <w:p w14:paraId="1E575D39" w14:textId="77777777" w:rsidR="00282877" w:rsidRPr="00282877" w:rsidRDefault="00282877" w:rsidP="00282877">
      <w:pPr>
        <w:ind w:firstLine="480"/>
      </w:pPr>
      <w:r w:rsidRPr="00282877">
        <w:t>为解决上述矛盾，补充</w:t>
      </w:r>
      <w:r w:rsidRPr="00282877">
        <w:rPr>
          <w:b/>
          <w:bCs/>
        </w:rPr>
        <w:t>经济合理性约束</w:t>
      </w:r>
      <w:r w:rsidRPr="00282877">
        <w:t>​</w:t>
      </w:r>
      <w:r w:rsidRPr="00282877">
        <w:t>：</w:t>
      </w:r>
    </w:p>
    <w:p w14:paraId="18A00949" w14:textId="77777777" w:rsidR="00282877" w:rsidRPr="00282877" w:rsidRDefault="00282877">
      <w:pPr>
        <w:numPr>
          <w:ilvl w:val="0"/>
          <w:numId w:val="5"/>
        </w:numPr>
        <w:ind w:firstLine="480"/>
      </w:pPr>
      <w:r w:rsidRPr="00282877">
        <w:t>​</w:t>
      </w:r>
      <w:r w:rsidRPr="00282877">
        <w:rPr>
          <w:b/>
          <w:bCs/>
        </w:rPr>
        <w:t>长期稳态</w:t>
      </w:r>
      <w:r w:rsidRPr="00282877">
        <w:t>​</w:t>
      </w:r>
      <w:r w:rsidRPr="00282877">
        <w:t>：</w:t>
      </w:r>
      <w:r w:rsidRPr="00282877">
        <w:t xml:space="preserve">T </w:t>
      </w:r>
      <w:r w:rsidRPr="00282877">
        <w:t>年后当</w:t>
      </w:r>
      <w:r w:rsidRPr="00282877">
        <w:t xml:space="preserve"> ROE = k </w:t>
      </w:r>
      <w:r w:rsidRPr="00282877">
        <w:t>时，增长率</w:t>
      </w:r>
      <w:r w:rsidRPr="00282877">
        <w:t xml:space="preserve"> g </w:t>
      </w:r>
      <w:r w:rsidRPr="00282877">
        <w:t>满足：</w:t>
      </w:r>
      <w:r w:rsidRPr="00282877">
        <w:t xml:space="preserve"> </w:t>
      </w:r>
    </w:p>
    <w:p w14:paraId="4E90E420" w14:textId="77777777" w:rsidR="00282877" w:rsidRPr="00282877" w:rsidRDefault="00282877" w:rsidP="00282877">
      <w:pPr>
        <w:ind w:firstLine="480"/>
      </w:pPr>
      <w:r w:rsidRPr="00282877">
        <w:t>g = \text{ROE} \times (1 - d) = k \times (1 - d)</w:t>
      </w:r>
    </w:p>
    <w:p w14:paraId="278C78B7" w14:textId="77777777" w:rsidR="00282877" w:rsidRPr="00282877" w:rsidRDefault="00282877">
      <w:pPr>
        <w:numPr>
          <w:ilvl w:val="0"/>
          <w:numId w:val="5"/>
        </w:numPr>
        <w:ind w:firstLine="480"/>
      </w:pPr>
      <w:r w:rsidRPr="00282877">
        <w:t>​</w:t>
      </w:r>
      <w:r w:rsidRPr="00282877">
        <w:rPr>
          <w:b/>
          <w:bCs/>
        </w:rPr>
        <w:t>无套利条件</w:t>
      </w:r>
      <w:r w:rsidRPr="00282877">
        <w:t>​</w:t>
      </w:r>
      <w:r w:rsidRPr="00282877">
        <w:t>：要求回报率等于股息率加上增长率：</w:t>
      </w:r>
      <w:r w:rsidRPr="00282877">
        <w:t xml:space="preserve"> </w:t>
      </w:r>
    </w:p>
    <w:p w14:paraId="52FFDD32" w14:textId="77777777" w:rsidR="00282877" w:rsidRPr="00282877" w:rsidRDefault="00282877" w:rsidP="00282877">
      <w:pPr>
        <w:ind w:firstLine="480"/>
      </w:pPr>
      <w:r w:rsidRPr="00282877">
        <w:t>k = \frac{D}{P} + g = \frac{d \cdot k}{\text{PB}} + k(1 - d)</w:t>
      </w:r>
    </w:p>
    <w:p w14:paraId="3CD5A367" w14:textId="77777777" w:rsidR="00282877" w:rsidRPr="00282877" w:rsidRDefault="00282877" w:rsidP="00282877">
      <w:pPr>
        <w:ind w:firstLine="480"/>
      </w:pPr>
      <w:r w:rsidRPr="00282877">
        <w:lastRenderedPageBreak/>
        <w:t>其中</w:t>
      </w:r>
      <w:r w:rsidRPr="00282877">
        <w:t xml:space="preserve"> \frac{D}{P} = \frac{d \cdot \text{ROE}}{\text{PB}} = \frac{d \cdot k}{\text{PB}}</w:t>
      </w:r>
      <w:r w:rsidRPr="00282877">
        <w:t>（因终态</w:t>
      </w:r>
      <w:r w:rsidRPr="00282877">
        <w:t xml:space="preserve"> ROE = k</w:t>
      </w:r>
      <w:r w:rsidRPr="00282877">
        <w:t>）。</w:t>
      </w:r>
    </w:p>
    <w:p w14:paraId="6AEA70E5" w14:textId="77777777" w:rsidR="00282877" w:rsidRPr="00282877" w:rsidRDefault="00282877" w:rsidP="00282877">
      <w:pPr>
        <w:ind w:firstLine="480"/>
      </w:pPr>
      <w:r w:rsidRPr="00282877">
        <w:t>化简无套利方程：</w:t>
      </w:r>
    </w:p>
    <w:p w14:paraId="3EF9F029" w14:textId="77777777" w:rsidR="00282877" w:rsidRPr="00282877" w:rsidRDefault="00282877" w:rsidP="00282877">
      <w:pPr>
        <w:ind w:firstLine="480"/>
      </w:pPr>
      <w:r w:rsidRPr="00282877">
        <w:t>k = \frac{d \cdot k}{\text{PB}} + k(1 - d)</w:t>
      </w:r>
    </w:p>
    <w:p w14:paraId="157F2F30" w14:textId="77777777" w:rsidR="00282877" w:rsidRPr="00282877" w:rsidRDefault="00282877" w:rsidP="00282877">
      <w:pPr>
        <w:ind w:firstLine="480"/>
      </w:pPr>
      <w:r w:rsidRPr="00282877">
        <w:t>两边除以</w:t>
      </w:r>
      <w:r w:rsidRPr="00282877">
        <w:t xml:space="preserve"> k</w:t>
      </w:r>
      <w:r w:rsidRPr="00282877">
        <w:t>（</w:t>
      </w:r>
      <w:r w:rsidRPr="00282877">
        <w:t>k &gt; 0</w:t>
      </w:r>
      <w:r w:rsidRPr="00282877">
        <w:t>）：</w:t>
      </w:r>
    </w:p>
    <w:p w14:paraId="4B41F331" w14:textId="77777777" w:rsidR="00282877" w:rsidRPr="00282877" w:rsidRDefault="00282877" w:rsidP="00282877">
      <w:pPr>
        <w:ind w:firstLine="480"/>
      </w:pPr>
      <w:r w:rsidRPr="00282877">
        <w:t>1 = \frac{d}{\text{PB}} + 1 - d</w:t>
      </w:r>
    </w:p>
    <w:p w14:paraId="3C1B85D4" w14:textId="77777777" w:rsidR="00282877" w:rsidRPr="00282877" w:rsidRDefault="00282877" w:rsidP="00282877">
      <w:pPr>
        <w:ind w:firstLine="480"/>
      </w:pPr>
      <w:r w:rsidRPr="00282877">
        <w:t>解得：</w:t>
      </w:r>
    </w:p>
    <w:p w14:paraId="06E9E67E" w14:textId="77777777" w:rsidR="00282877" w:rsidRPr="00282877" w:rsidRDefault="00282877" w:rsidP="00282877">
      <w:pPr>
        <w:ind w:firstLine="480"/>
      </w:pPr>
      <w:r w:rsidRPr="00282877">
        <w:t>\boxed{\text{PB} = \frac{d}{d} = 1}</w:t>
      </w:r>
    </w:p>
    <w:p w14:paraId="563C2665" w14:textId="77777777" w:rsidR="00282877" w:rsidRPr="00282877" w:rsidRDefault="00282877" w:rsidP="00282877">
      <w:pPr>
        <w:ind w:firstLine="480"/>
      </w:pPr>
      <w:r w:rsidRPr="00282877">
        <w:t>​</w:t>
      </w:r>
      <w:r w:rsidRPr="00282877">
        <w:rPr>
          <w:b/>
          <w:bCs/>
        </w:rPr>
        <w:t>结论</w:t>
      </w:r>
      <w:r w:rsidRPr="00282877">
        <w:t>​</w:t>
      </w:r>
      <w:r w:rsidRPr="00282877">
        <w:t>：在终态（</w:t>
      </w:r>
      <w:r w:rsidRPr="00282877">
        <w:t>t=T</w:t>
      </w:r>
      <w:r w:rsidRPr="00282877">
        <w:t>），</w:t>
      </w:r>
      <w:r w:rsidRPr="00282877">
        <w:t xml:space="preserve">PB </w:t>
      </w:r>
      <w:r w:rsidRPr="00282877">
        <w:t>必然等于</w:t>
      </w:r>
      <w:r w:rsidRPr="00282877">
        <w:t xml:space="preserve"> 1</w:t>
      </w:r>
      <w:r w:rsidRPr="00282877">
        <w:t>，与均值回归假设自洽，但未关联</w:t>
      </w:r>
      <w:r w:rsidRPr="00282877">
        <w:t xml:space="preserve"> ROE - k </w:t>
      </w:r>
      <w:r w:rsidRPr="00282877">
        <w:t>和</w:t>
      </w:r>
      <w:r w:rsidRPr="00282877">
        <w:t xml:space="preserve"> T</w:t>
      </w:r>
      <w:r w:rsidRPr="00282877">
        <w:t>。</w:t>
      </w:r>
    </w:p>
    <w:p w14:paraId="5C99DA7D" w14:textId="77777777" w:rsidR="00282877" w:rsidRPr="00282877" w:rsidRDefault="00000000" w:rsidP="00282877">
      <w:pPr>
        <w:ind w:firstLine="480"/>
      </w:pPr>
      <w:r>
        <w:pict w14:anchorId="4EE28698">
          <v:rect id="_x0000_i1033" style="width:0;height:1.5pt" o:hralign="center" o:hrstd="t" o:hr="t" fillcolor="#a0a0a0" stroked="f"/>
        </w:pict>
      </w:r>
    </w:p>
    <w:p w14:paraId="155FD989" w14:textId="77777777" w:rsidR="00282877" w:rsidRPr="00282877" w:rsidRDefault="00282877" w:rsidP="00282877">
      <w:pPr>
        <w:ind w:firstLine="482"/>
        <w:rPr>
          <w:b/>
          <w:bCs/>
        </w:rPr>
      </w:pPr>
      <w:r w:rsidRPr="00282877">
        <w:rPr>
          <w:b/>
          <w:bCs/>
        </w:rPr>
        <w:t>​</w:t>
      </w:r>
      <w:r w:rsidRPr="00282877">
        <w:rPr>
          <w:b/>
          <w:bCs/>
        </w:rPr>
        <w:t>终极关系：动态路径下的统一公式</w:t>
      </w:r>
      <w:r w:rsidRPr="00282877">
        <w:rPr>
          <w:b/>
          <w:bCs/>
        </w:rPr>
        <w:t>​</w:t>
      </w:r>
    </w:p>
    <w:p w14:paraId="1929145E" w14:textId="77777777" w:rsidR="00282877" w:rsidRPr="00282877" w:rsidRDefault="00282877" w:rsidP="00282877">
      <w:pPr>
        <w:ind w:firstLine="480"/>
      </w:pPr>
      <w:r w:rsidRPr="00282877">
        <w:t>结合均值回归路径和分红政策，将方程（</w:t>
      </w:r>
      <w:r w:rsidRPr="00282877">
        <w:t>1</w:t>
      </w:r>
      <w:r w:rsidRPr="00282877">
        <w:t>）与增长率关联：</w:t>
      </w:r>
    </w:p>
    <w:p w14:paraId="57FF2B72" w14:textId="77777777" w:rsidR="00282877" w:rsidRPr="00282877" w:rsidRDefault="00282877" w:rsidP="00282877">
      <w:pPr>
        <w:ind w:firstLine="480"/>
      </w:pPr>
      <w:r w:rsidRPr="00282877">
        <w:t>\text{ROE} - k = \frac{\ln(\text{PB})}{T} \quad \text{(</w:t>
      </w:r>
      <w:r w:rsidRPr="00282877">
        <w:t>重写自</w:t>
      </w:r>
      <w:r w:rsidRPr="00282877">
        <w:t xml:space="preserve"> (1))}</w:t>
      </w:r>
    </w:p>
    <w:p w14:paraId="73329153" w14:textId="77777777" w:rsidR="00282877" w:rsidRPr="00282877" w:rsidRDefault="00282877" w:rsidP="00282877">
      <w:pPr>
        <w:ind w:firstLine="480"/>
      </w:pPr>
      <w:r w:rsidRPr="00282877">
        <w:t>由留存收益增长率：</w:t>
      </w:r>
    </w:p>
    <w:p w14:paraId="75FDFFFB" w14:textId="77777777" w:rsidR="00282877" w:rsidRPr="00282877" w:rsidRDefault="00282877" w:rsidP="00282877">
      <w:pPr>
        <w:ind w:firstLine="480"/>
      </w:pPr>
      <w:r w:rsidRPr="00282877">
        <w:t>g = \text{ROE}(1 - d)</w:t>
      </w:r>
    </w:p>
    <w:p w14:paraId="2C523081" w14:textId="77777777" w:rsidR="00282877" w:rsidRPr="00282877" w:rsidRDefault="00282877" w:rsidP="00282877">
      <w:pPr>
        <w:ind w:firstLine="480"/>
      </w:pPr>
      <w:r w:rsidRPr="00282877">
        <w:t>​</w:t>
      </w:r>
      <w:r w:rsidRPr="00282877">
        <w:rPr>
          <w:b/>
          <w:bCs/>
        </w:rPr>
        <w:t>动态一致性要求</w:t>
      </w:r>
      <w:r w:rsidRPr="00282877">
        <w:t>​</w:t>
      </w:r>
      <w:r w:rsidRPr="00282877">
        <w:t>：估值变化率与盈利增长匹配，推导得：</w:t>
      </w:r>
    </w:p>
    <w:p w14:paraId="681B8320" w14:textId="77777777" w:rsidR="00282877" w:rsidRPr="00282877" w:rsidRDefault="00282877" w:rsidP="00282877">
      <w:pPr>
        <w:ind w:firstLine="480"/>
      </w:pPr>
      <w:r w:rsidRPr="00282877">
        <w:t>\boxed{\ln(\text{PB}) = T \cdot \left( \text{ROE} - k - \frac{d \cdot \text{ROE}}{\text{PB}} \right)}</w:t>
      </w:r>
    </w:p>
    <w:p w14:paraId="028260A9" w14:textId="77777777" w:rsidR="00282877" w:rsidRPr="00282877" w:rsidRDefault="00282877" w:rsidP="00282877">
      <w:pPr>
        <w:ind w:firstLine="480"/>
      </w:pPr>
      <w:r w:rsidRPr="00282877">
        <w:t>​</w:t>
      </w:r>
      <w:r w:rsidRPr="00282877">
        <w:rPr>
          <w:b/>
          <w:bCs/>
        </w:rPr>
        <w:t>公式意义</w:t>
      </w:r>
      <w:r w:rsidRPr="00282877">
        <w:t>​</w:t>
      </w:r>
      <w:r w:rsidRPr="00282877">
        <w:t>：</w:t>
      </w:r>
    </w:p>
    <w:p w14:paraId="5EC2D470" w14:textId="77777777" w:rsidR="00282877" w:rsidRPr="00282877" w:rsidRDefault="00282877">
      <w:pPr>
        <w:numPr>
          <w:ilvl w:val="0"/>
          <w:numId w:val="6"/>
        </w:numPr>
        <w:ind w:firstLine="480"/>
      </w:pPr>
      <w:r w:rsidRPr="00282877">
        <w:t>​</w:t>
      </w:r>
      <w:r w:rsidRPr="00282877">
        <w:rPr>
          <w:b/>
          <w:bCs/>
        </w:rPr>
        <w:t>左侧</w:t>
      </w:r>
      <w:r w:rsidRPr="00282877">
        <w:t>​</w:t>
      </w:r>
      <w:r w:rsidRPr="00282877">
        <w:t>：市净率对数衡量估值溢价。</w:t>
      </w:r>
    </w:p>
    <w:p w14:paraId="735CAA7F" w14:textId="77777777" w:rsidR="00282877" w:rsidRPr="00282877" w:rsidRDefault="00282877">
      <w:pPr>
        <w:numPr>
          <w:ilvl w:val="0"/>
          <w:numId w:val="6"/>
        </w:numPr>
        <w:ind w:firstLine="480"/>
      </w:pPr>
      <w:r w:rsidRPr="00282877">
        <w:t>​</w:t>
      </w:r>
      <w:r w:rsidRPr="00282877">
        <w:rPr>
          <w:b/>
          <w:bCs/>
        </w:rPr>
        <w:t>右侧</w:t>
      </w:r>
      <w:r w:rsidRPr="00282877">
        <w:t>​</w:t>
      </w:r>
      <w:r w:rsidRPr="00282877">
        <w:t>：</w:t>
      </w:r>
      <w:r w:rsidRPr="00282877">
        <w:t xml:space="preserve"> </w:t>
      </w:r>
    </w:p>
    <w:p w14:paraId="4505CADD" w14:textId="77777777" w:rsidR="00282877" w:rsidRPr="00282877" w:rsidRDefault="00282877">
      <w:pPr>
        <w:numPr>
          <w:ilvl w:val="1"/>
          <w:numId w:val="6"/>
        </w:numPr>
        <w:ind w:firstLine="480"/>
      </w:pPr>
      <w:r w:rsidRPr="00282877">
        <w:t>T \cdot (\text{ROE} - k)</w:t>
      </w:r>
      <w:r w:rsidRPr="00282877">
        <w:t>：盈利能力与要求回报的差异。</w:t>
      </w:r>
    </w:p>
    <w:p w14:paraId="0A445C87" w14:textId="77777777" w:rsidR="00282877" w:rsidRPr="00282877" w:rsidRDefault="00282877">
      <w:pPr>
        <w:numPr>
          <w:ilvl w:val="1"/>
          <w:numId w:val="6"/>
        </w:numPr>
        <w:ind w:firstLine="480"/>
      </w:pPr>
      <w:r w:rsidRPr="00282877">
        <w:t>T \cdot \frac{d \cdot \text{ROE}}{\text{PB}}</w:t>
      </w:r>
      <w:r w:rsidRPr="00282877">
        <w:t>：分红政策对溢价的抑制效应（高</w:t>
      </w:r>
      <w:r w:rsidRPr="00282877">
        <w:t xml:space="preserve"> d </w:t>
      </w:r>
      <w:r w:rsidRPr="00282877">
        <w:t>降低</w:t>
      </w:r>
      <w:r w:rsidRPr="00282877">
        <w:t xml:space="preserve"> PB</w:t>
      </w:r>
      <w:r w:rsidRPr="00282877">
        <w:t>）。</w:t>
      </w:r>
    </w:p>
    <w:p w14:paraId="7B9E4B28" w14:textId="77777777" w:rsidR="00282877" w:rsidRPr="00282877" w:rsidRDefault="00000000" w:rsidP="00282877">
      <w:pPr>
        <w:ind w:firstLine="480"/>
      </w:pPr>
      <w:r>
        <w:pict w14:anchorId="63525CD8">
          <v:rect id="_x0000_i1034" style="width:0;height:1.5pt" o:hralign="center" o:hrstd="t" o:hr="t" fillcolor="#a0a0a0" stroked="f"/>
        </w:pict>
      </w:r>
    </w:p>
    <w:p w14:paraId="02B62C81" w14:textId="77777777" w:rsidR="00282877" w:rsidRPr="00282877" w:rsidRDefault="00282877" w:rsidP="00282877">
      <w:pPr>
        <w:ind w:firstLine="482"/>
        <w:rPr>
          <w:b/>
          <w:bCs/>
        </w:rPr>
      </w:pPr>
      <w:r w:rsidRPr="00282877">
        <w:rPr>
          <w:b/>
          <w:bCs/>
        </w:rPr>
        <w:t>​</w:t>
      </w:r>
      <w:r w:rsidRPr="00282877">
        <w:rPr>
          <w:b/>
          <w:bCs/>
        </w:rPr>
        <w:t>经济解释与验证</w:t>
      </w:r>
      <w:r w:rsidRPr="00282877">
        <w:rPr>
          <w:b/>
          <w:bCs/>
        </w:rPr>
        <w:t>​</w:t>
      </w:r>
    </w:p>
    <w:p w14:paraId="21D604CA" w14:textId="77777777" w:rsidR="00282877" w:rsidRPr="00282877" w:rsidRDefault="00282877" w:rsidP="00282877">
      <w:pPr>
        <w:ind w:firstLine="482"/>
        <w:rPr>
          <w:b/>
          <w:bCs/>
        </w:rPr>
      </w:pPr>
      <w:r w:rsidRPr="00282877">
        <w:rPr>
          <w:b/>
          <w:bCs/>
        </w:rPr>
        <w:t xml:space="preserve">​1. </w:t>
      </w:r>
      <w:r w:rsidRPr="00282877">
        <w:rPr>
          <w:b/>
          <w:bCs/>
        </w:rPr>
        <w:t>分红率（</w:t>
      </w:r>
      <w:r w:rsidRPr="00282877">
        <w:rPr>
          <w:b/>
          <w:bCs/>
        </w:rPr>
        <w:t>d</w:t>
      </w:r>
      <w:r w:rsidRPr="00282877">
        <w:rPr>
          <w:b/>
          <w:bCs/>
        </w:rPr>
        <w:t>）的影响</w:t>
      </w:r>
      <w:r w:rsidRPr="00282877">
        <w:rPr>
          <w:b/>
          <w:bCs/>
        </w:rPr>
        <w:t>​</w:t>
      </w:r>
    </w:p>
    <w:p w14:paraId="2A828E81" w14:textId="77777777" w:rsidR="00282877" w:rsidRPr="00282877" w:rsidRDefault="00282877">
      <w:pPr>
        <w:numPr>
          <w:ilvl w:val="0"/>
          <w:numId w:val="7"/>
        </w:numPr>
        <w:ind w:firstLine="480"/>
      </w:pPr>
      <w:r w:rsidRPr="00282877">
        <w:t>​</w:t>
      </w:r>
      <w:r w:rsidRPr="00282877">
        <w:rPr>
          <w:b/>
          <w:bCs/>
        </w:rPr>
        <w:t>高分红（</w:t>
      </w:r>
      <w:r w:rsidRPr="00282877">
        <w:rPr>
          <w:b/>
          <w:bCs/>
        </w:rPr>
        <w:t>d ↑</w:t>
      </w:r>
      <w:r w:rsidRPr="00282877">
        <w:rPr>
          <w:b/>
          <w:bCs/>
        </w:rPr>
        <w:t>）</w:t>
      </w:r>
      <w:r w:rsidRPr="00282877">
        <w:rPr>
          <w:b/>
          <w:bCs/>
        </w:rPr>
        <w:t>​</w:t>
      </w:r>
      <w:r w:rsidRPr="00282877">
        <w:t>​</w:t>
      </w:r>
      <w:r w:rsidRPr="00282877">
        <w:t>：右侧第二项增大</w:t>
      </w:r>
      <w:r w:rsidRPr="00282877">
        <w:t xml:space="preserve"> </w:t>
      </w:r>
      <w:r w:rsidRPr="00282877">
        <w:rPr>
          <w:rFonts w:ascii="Cambria Math" w:hAnsi="Cambria Math" w:cs="Cambria Math"/>
        </w:rPr>
        <w:t>⇒</w:t>
      </w:r>
      <w:r w:rsidRPr="00282877">
        <w:t xml:space="preserve"> </w:t>
      </w:r>
      <w:r w:rsidRPr="00282877">
        <w:t>为保持等式，</w:t>
      </w:r>
      <w:r w:rsidRPr="00282877">
        <w:t>PB ↓</w:t>
      </w:r>
      <w:r w:rsidRPr="00282877">
        <w:t>（折价扩大）。</w:t>
      </w:r>
    </w:p>
    <w:p w14:paraId="6DA1C287" w14:textId="77777777" w:rsidR="00282877" w:rsidRPr="00282877" w:rsidRDefault="00282877">
      <w:pPr>
        <w:numPr>
          <w:ilvl w:val="0"/>
          <w:numId w:val="7"/>
        </w:numPr>
        <w:ind w:firstLine="480"/>
      </w:pPr>
      <w:r w:rsidRPr="00282877">
        <w:t>​</w:t>
      </w:r>
      <w:r w:rsidRPr="00282877">
        <w:rPr>
          <w:b/>
          <w:bCs/>
        </w:rPr>
        <w:t>低分红（</w:t>
      </w:r>
      <w:r w:rsidRPr="00282877">
        <w:rPr>
          <w:b/>
          <w:bCs/>
        </w:rPr>
        <w:t>d ↓</w:t>
      </w:r>
      <w:r w:rsidRPr="00282877">
        <w:rPr>
          <w:b/>
          <w:bCs/>
        </w:rPr>
        <w:t>）</w:t>
      </w:r>
      <w:r w:rsidRPr="00282877">
        <w:rPr>
          <w:b/>
          <w:bCs/>
        </w:rPr>
        <w:t>​</w:t>
      </w:r>
      <w:r w:rsidRPr="00282877">
        <w:t>​</w:t>
      </w:r>
      <w:r w:rsidRPr="00282877">
        <w:t>：留存再投资增加</w:t>
      </w:r>
      <w:r w:rsidRPr="00282877">
        <w:t xml:space="preserve"> </w:t>
      </w:r>
      <w:r w:rsidRPr="00282877">
        <w:rPr>
          <w:rFonts w:ascii="Cambria Math" w:hAnsi="Cambria Math" w:cs="Cambria Math"/>
        </w:rPr>
        <w:t>⇒</w:t>
      </w:r>
      <w:r w:rsidRPr="00282877">
        <w:t xml:space="preserve"> PB ↑</w:t>
      </w:r>
      <w:r w:rsidRPr="00282877">
        <w:t>（溢价上升），但需</w:t>
      </w:r>
      <w:r w:rsidRPr="00282877">
        <w:t xml:space="preserve"> ROE &gt; k</w:t>
      </w:r>
      <w:r w:rsidRPr="00282877">
        <w:t>。</w:t>
      </w:r>
    </w:p>
    <w:p w14:paraId="71B0A2CF" w14:textId="77777777" w:rsidR="00282877" w:rsidRPr="00282877" w:rsidRDefault="00282877" w:rsidP="00282877">
      <w:pPr>
        <w:ind w:firstLine="482"/>
        <w:rPr>
          <w:b/>
          <w:bCs/>
        </w:rPr>
      </w:pPr>
      <w:r w:rsidRPr="00282877">
        <w:rPr>
          <w:b/>
          <w:bCs/>
        </w:rPr>
        <w:t xml:space="preserve">​2. ROE </w:t>
      </w:r>
      <w:r w:rsidRPr="00282877">
        <w:rPr>
          <w:b/>
          <w:bCs/>
        </w:rPr>
        <w:t>与</w:t>
      </w:r>
      <w:r w:rsidRPr="00282877">
        <w:rPr>
          <w:b/>
          <w:bCs/>
        </w:rPr>
        <w:t xml:space="preserve"> k </w:t>
      </w:r>
      <w:r w:rsidRPr="00282877">
        <w:rPr>
          <w:b/>
          <w:bCs/>
        </w:rPr>
        <w:t>的差值影响</w:t>
      </w:r>
      <w:r w:rsidRPr="00282877">
        <w:rPr>
          <w:b/>
          <w:bCs/>
        </w:rPr>
        <w:t>​</w:t>
      </w:r>
    </w:p>
    <w:p w14:paraId="2062E373" w14:textId="77777777" w:rsidR="00282877" w:rsidRPr="00282877" w:rsidRDefault="00282877">
      <w:pPr>
        <w:numPr>
          <w:ilvl w:val="0"/>
          <w:numId w:val="8"/>
        </w:numPr>
        <w:ind w:firstLine="480"/>
      </w:pPr>
      <w:r w:rsidRPr="00282877">
        <w:t>当</w:t>
      </w:r>
      <w:r w:rsidRPr="00282877">
        <w:t xml:space="preserve"> ROE &gt; k </w:t>
      </w:r>
      <w:r w:rsidRPr="00282877">
        <w:t>时，</w:t>
      </w:r>
      <w:r w:rsidRPr="00282877">
        <w:t xml:space="preserve">ln(PB) &gt; 0 </w:t>
      </w:r>
      <w:r w:rsidRPr="00282877">
        <w:rPr>
          <w:rFonts w:ascii="Cambria Math" w:hAnsi="Cambria Math" w:cs="Cambria Math"/>
        </w:rPr>
        <w:t>⇒</w:t>
      </w:r>
      <w:r w:rsidRPr="00282877">
        <w:t xml:space="preserve"> PB &gt; 1</w:t>
      </w:r>
      <w:r w:rsidRPr="00282877">
        <w:t>（溢价），且差值放大</w:t>
      </w:r>
      <w:r w:rsidRPr="00282877">
        <w:t xml:space="preserve"> PB</w:t>
      </w:r>
      <w:r w:rsidRPr="00282877">
        <w:t>。</w:t>
      </w:r>
    </w:p>
    <w:p w14:paraId="0CBC7D2F" w14:textId="77777777" w:rsidR="00282877" w:rsidRPr="00282877" w:rsidRDefault="00282877">
      <w:pPr>
        <w:numPr>
          <w:ilvl w:val="0"/>
          <w:numId w:val="8"/>
        </w:numPr>
        <w:ind w:firstLine="480"/>
      </w:pPr>
      <w:r w:rsidRPr="00282877">
        <w:t>当</w:t>
      </w:r>
      <w:r w:rsidRPr="00282877">
        <w:t xml:space="preserve"> ROE &lt; k </w:t>
      </w:r>
      <w:r w:rsidRPr="00282877">
        <w:t>时，</w:t>
      </w:r>
      <w:r w:rsidRPr="00282877">
        <w:t xml:space="preserve">ln(PB) &lt; 0 </w:t>
      </w:r>
      <w:r w:rsidRPr="00282877">
        <w:rPr>
          <w:rFonts w:ascii="Cambria Math" w:hAnsi="Cambria Math" w:cs="Cambria Math"/>
        </w:rPr>
        <w:t>⇒</w:t>
      </w:r>
      <w:r w:rsidRPr="00282877">
        <w:t xml:space="preserve"> PB &lt; 1</w:t>
      </w:r>
      <w:r w:rsidRPr="00282877">
        <w:t>（折价）。</w:t>
      </w:r>
    </w:p>
    <w:p w14:paraId="361B35B6" w14:textId="77777777" w:rsidR="00282877" w:rsidRPr="00282877" w:rsidRDefault="00282877" w:rsidP="00282877">
      <w:pPr>
        <w:ind w:firstLine="482"/>
        <w:rPr>
          <w:b/>
          <w:bCs/>
        </w:rPr>
      </w:pPr>
      <w:r w:rsidRPr="00282877">
        <w:rPr>
          <w:b/>
          <w:bCs/>
        </w:rPr>
        <w:t xml:space="preserve">​3. </w:t>
      </w:r>
      <w:r w:rsidRPr="00282877">
        <w:rPr>
          <w:b/>
          <w:bCs/>
        </w:rPr>
        <w:t>时间</w:t>
      </w:r>
      <w:r w:rsidRPr="00282877">
        <w:rPr>
          <w:b/>
          <w:bCs/>
        </w:rPr>
        <w:t xml:space="preserve"> T </w:t>
      </w:r>
      <w:r w:rsidRPr="00282877">
        <w:rPr>
          <w:b/>
          <w:bCs/>
        </w:rPr>
        <w:t>的角色</w:t>
      </w:r>
      <w:r w:rsidRPr="00282877">
        <w:rPr>
          <w:b/>
          <w:bCs/>
        </w:rPr>
        <w:t>​</w:t>
      </w:r>
    </w:p>
    <w:p w14:paraId="4CE86574" w14:textId="77777777" w:rsidR="00282877" w:rsidRPr="00282877" w:rsidRDefault="00282877">
      <w:pPr>
        <w:numPr>
          <w:ilvl w:val="0"/>
          <w:numId w:val="9"/>
        </w:numPr>
        <w:ind w:firstLine="480"/>
      </w:pPr>
      <w:r w:rsidRPr="00282877">
        <w:t>​**T ↑**​</w:t>
      </w:r>
      <w:r w:rsidRPr="00282877">
        <w:t>：允许更大估值偏离（</w:t>
      </w:r>
      <w:r w:rsidRPr="00282877">
        <w:t xml:space="preserve">PB </w:t>
      </w:r>
      <w:r w:rsidRPr="00282877">
        <w:t>更易显著偏离</w:t>
      </w:r>
      <w:r w:rsidRPr="00282877">
        <w:t xml:space="preserve"> 1</w:t>
      </w:r>
      <w:r w:rsidRPr="00282877">
        <w:t>）。</w:t>
      </w:r>
    </w:p>
    <w:p w14:paraId="0A88E0EB" w14:textId="77777777" w:rsidR="00282877" w:rsidRPr="00282877" w:rsidRDefault="00282877">
      <w:pPr>
        <w:numPr>
          <w:ilvl w:val="0"/>
          <w:numId w:val="9"/>
        </w:numPr>
        <w:ind w:firstLine="480"/>
      </w:pPr>
      <w:r w:rsidRPr="00282877">
        <w:lastRenderedPageBreak/>
        <w:t>​**T ↓**​</w:t>
      </w:r>
      <w:r w:rsidRPr="00282877">
        <w:t>：估值快速回归</w:t>
      </w:r>
      <w:r w:rsidRPr="00282877">
        <w:t xml:space="preserve"> PB=1</w:t>
      </w:r>
      <w:r w:rsidRPr="00282877">
        <w:t>，偏离受限。</w:t>
      </w:r>
    </w:p>
    <w:p w14:paraId="40295FAD" w14:textId="77777777" w:rsidR="00282877" w:rsidRPr="00282877" w:rsidRDefault="00000000" w:rsidP="00282877">
      <w:pPr>
        <w:ind w:firstLine="480"/>
      </w:pPr>
      <w:r>
        <w:pict w14:anchorId="69C0AC53">
          <v:rect id="_x0000_i1035" style="width:0;height:1.5pt" o:hralign="center" o:hrstd="t" o:hr="t" fillcolor="#a0a0a0" stroked="f"/>
        </w:pict>
      </w:r>
    </w:p>
    <w:p w14:paraId="0E48548E" w14:textId="77777777" w:rsidR="00282877" w:rsidRPr="00282877" w:rsidRDefault="00282877" w:rsidP="00282877">
      <w:pPr>
        <w:ind w:firstLine="482"/>
        <w:rPr>
          <w:b/>
          <w:bCs/>
        </w:rPr>
      </w:pPr>
      <w:r w:rsidRPr="00282877">
        <w:rPr>
          <w:b/>
          <w:bCs/>
        </w:rPr>
        <w:t>​</w:t>
      </w:r>
      <w:r w:rsidRPr="00282877">
        <w:rPr>
          <w:b/>
          <w:bCs/>
        </w:rPr>
        <w:t>总结：统一的关系式</w:t>
      </w:r>
      <w:r w:rsidRPr="00282877">
        <w:rPr>
          <w:b/>
          <w:bCs/>
        </w:rPr>
        <w:t>​</w:t>
      </w:r>
    </w:p>
    <w:p w14:paraId="07E083DC" w14:textId="77777777" w:rsidR="00282877" w:rsidRPr="00282877" w:rsidRDefault="00282877" w:rsidP="00282877">
      <w:pPr>
        <w:ind w:firstLine="480"/>
      </w:pPr>
      <w:r w:rsidRPr="00282877">
        <w:t>\ln(\text{PB}) = T \cdot (\text{ROE} - k) - T \cdot \frac{d \cdot \text{ROE}}{\text{PB}}</w:t>
      </w:r>
    </w:p>
    <w:p w14:paraId="4B2F5235" w14:textId="77777777" w:rsidR="00282877" w:rsidRPr="00282877" w:rsidRDefault="00282877" w:rsidP="00282877">
      <w:pPr>
        <w:ind w:firstLine="480"/>
      </w:pPr>
      <w:r w:rsidRPr="00282877">
        <w:t>此式明确包含：</w:t>
      </w:r>
    </w:p>
    <w:p w14:paraId="71719970" w14:textId="77777777" w:rsidR="00282877" w:rsidRPr="00282877" w:rsidRDefault="00282877">
      <w:pPr>
        <w:numPr>
          <w:ilvl w:val="0"/>
          <w:numId w:val="10"/>
        </w:numPr>
        <w:ind w:firstLine="480"/>
      </w:pPr>
      <w:r w:rsidRPr="00282877">
        <w:t>​</w:t>
      </w:r>
      <w:r w:rsidRPr="00282877">
        <w:rPr>
          <w:b/>
          <w:bCs/>
        </w:rPr>
        <w:t>股利支付率（</w:t>
      </w:r>
      <w:r w:rsidRPr="00282877">
        <w:rPr>
          <w:b/>
          <w:bCs/>
        </w:rPr>
        <w:t>d</w:t>
      </w:r>
      <w:r w:rsidRPr="00282877">
        <w:rPr>
          <w:b/>
          <w:bCs/>
        </w:rPr>
        <w:t>）</w:t>
      </w:r>
      <w:r w:rsidRPr="00282877">
        <w:rPr>
          <w:b/>
          <w:bCs/>
        </w:rPr>
        <w:t>​</w:t>
      </w:r>
      <w:r w:rsidRPr="00282877">
        <w:t>​</w:t>
      </w:r>
    </w:p>
    <w:p w14:paraId="2E1843E4" w14:textId="77777777" w:rsidR="00282877" w:rsidRPr="00282877" w:rsidRDefault="00282877">
      <w:pPr>
        <w:numPr>
          <w:ilvl w:val="0"/>
          <w:numId w:val="10"/>
        </w:numPr>
        <w:ind w:firstLine="480"/>
      </w:pPr>
      <w:r w:rsidRPr="00282877">
        <w:t>​</w:t>
      </w:r>
      <w:r w:rsidRPr="00282877">
        <w:rPr>
          <w:b/>
          <w:bCs/>
        </w:rPr>
        <w:t>市净率（</w:t>
      </w:r>
      <w:r w:rsidRPr="00282877">
        <w:rPr>
          <w:b/>
          <w:bCs/>
        </w:rPr>
        <w:t>PB</w:t>
      </w:r>
      <w:r w:rsidRPr="00282877">
        <w:rPr>
          <w:b/>
          <w:bCs/>
        </w:rPr>
        <w:t>）</w:t>
      </w:r>
      <w:r w:rsidRPr="00282877">
        <w:rPr>
          <w:b/>
          <w:bCs/>
        </w:rPr>
        <w:t>​</w:t>
      </w:r>
      <w:r w:rsidRPr="00282877">
        <w:t>​</w:t>
      </w:r>
    </w:p>
    <w:p w14:paraId="73F15260" w14:textId="77777777" w:rsidR="00282877" w:rsidRPr="00282877" w:rsidRDefault="00282877">
      <w:pPr>
        <w:numPr>
          <w:ilvl w:val="0"/>
          <w:numId w:val="10"/>
        </w:numPr>
        <w:ind w:firstLine="480"/>
      </w:pPr>
      <w:r w:rsidRPr="00282877">
        <w:t>​</w:t>
      </w:r>
      <w:r w:rsidRPr="00282877">
        <w:rPr>
          <w:b/>
          <w:bCs/>
        </w:rPr>
        <w:t xml:space="preserve">ROE </w:t>
      </w:r>
      <w:r w:rsidRPr="00282877">
        <w:rPr>
          <w:b/>
          <w:bCs/>
        </w:rPr>
        <w:t>与</w:t>
      </w:r>
      <w:r w:rsidRPr="00282877">
        <w:rPr>
          <w:b/>
          <w:bCs/>
        </w:rPr>
        <w:t xml:space="preserve"> k </w:t>
      </w:r>
      <w:r w:rsidRPr="00282877">
        <w:rPr>
          <w:b/>
          <w:bCs/>
        </w:rPr>
        <w:t>的差值（</w:t>
      </w:r>
      <w:r w:rsidRPr="00282877">
        <w:rPr>
          <w:b/>
          <w:bCs/>
        </w:rPr>
        <w:t>ROE - k</w:t>
      </w:r>
      <w:r w:rsidRPr="00282877">
        <w:rPr>
          <w:b/>
          <w:bCs/>
        </w:rPr>
        <w:t>）</w:t>
      </w:r>
      <w:r w:rsidRPr="00282877">
        <w:rPr>
          <w:b/>
          <w:bCs/>
        </w:rPr>
        <w:t>​</w:t>
      </w:r>
      <w:r w:rsidRPr="00282877">
        <w:t>​</w:t>
      </w:r>
    </w:p>
    <w:p w14:paraId="0BF210D5" w14:textId="77777777" w:rsidR="00282877" w:rsidRPr="00282877" w:rsidRDefault="00282877">
      <w:pPr>
        <w:numPr>
          <w:ilvl w:val="0"/>
          <w:numId w:val="10"/>
        </w:numPr>
        <w:ind w:firstLine="480"/>
      </w:pPr>
      <w:r w:rsidRPr="00282877">
        <w:t>​</w:t>
      </w:r>
      <w:r w:rsidRPr="00282877">
        <w:rPr>
          <w:b/>
          <w:bCs/>
        </w:rPr>
        <w:t>投资期限（</w:t>
      </w:r>
      <w:r w:rsidRPr="00282877">
        <w:rPr>
          <w:b/>
          <w:bCs/>
        </w:rPr>
        <w:t>T</w:t>
      </w:r>
      <w:r w:rsidRPr="00282877">
        <w:rPr>
          <w:b/>
          <w:bCs/>
        </w:rPr>
        <w:t>）</w:t>
      </w:r>
      <w:r w:rsidRPr="00282877">
        <w:rPr>
          <w:b/>
          <w:bCs/>
        </w:rPr>
        <w:t>​</w:t>
      </w:r>
      <w:r w:rsidRPr="00282877">
        <w:t>​</w:t>
      </w:r>
      <w:r w:rsidRPr="00282877">
        <w:br/>
      </w:r>
      <w:r w:rsidRPr="00282877">
        <w:t>且无需引入股息率。该模型描述了分红政策如何与盈利能力、要求回报和时间共同决定估值水平。</w:t>
      </w:r>
    </w:p>
    <w:p w14:paraId="7905C88F" w14:textId="5254600A" w:rsidR="00C334AC" w:rsidRDefault="00C334AC" w:rsidP="001170B2">
      <w:pPr>
        <w:ind w:firstLine="480"/>
      </w:pPr>
    </w:p>
    <w:p w14:paraId="0A495A44" w14:textId="77777777" w:rsidR="00282877" w:rsidRDefault="00282877" w:rsidP="00282877">
      <w:pPr>
        <w:ind w:firstLine="480"/>
      </w:pPr>
    </w:p>
    <w:p w14:paraId="3B188E9D" w14:textId="77777777" w:rsidR="00282877" w:rsidRDefault="00282877" w:rsidP="00282877">
      <w:pPr>
        <w:ind w:firstLine="480"/>
      </w:pPr>
    </w:p>
    <w:p w14:paraId="538CA608" w14:textId="4B6AF352" w:rsidR="00282877" w:rsidRDefault="00282877" w:rsidP="00282877">
      <w:pPr>
        <w:ind w:firstLine="480"/>
      </w:pPr>
      <m:oMathPara>
        <m:oMath>
          <m:r>
            <m:rPr>
              <m:nor/>
            </m:rPr>
            <w:rPr>
              <w:rFonts w:ascii="Cambria Math" w:hAnsi="Cambria Math"/>
            </w:rPr>
            <m:t>ROE</m:t>
          </m:r>
          <m:r>
            <w:rPr>
              <w:rFonts w:ascii="Cambria Math" w:hAnsi="Cambria Math"/>
            </w:rPr>
            <m:t>-k=d</m:t>
          </m:r>
          <m:r>
            <m:rPr>
              <m:sty m:val="p"/>
            </m:rPr>
            <w:rPr>
              <w:rFonts w:ascii="Cambria Math" w:hAnsi="Cambria Math"/>
            </w:rPr>
            <m:t>⋅</m:t>
          </m:r>
          <m:r>
            <m:rPr>
              <m:nor/>
            </m:rPr>
            <w:rPr>
              <w:rFonts w:ascii="Cambria Math" w:hAnsi="Cambria Math"/>
            </w:rPr>
            <m:t>ROE</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nor/>
                    </m:rPr>
                    <w:rPr>
                      <w:rFonts w:ascii="Cambria Math" w:hAnsi="Cambria Math"/>
                    </w:rPr>
                    <m:t>PB</m:t>
                  </m:r>
                  <m:r>
                    <w:rPr>
                      <w:rFonts w:ascii="Cambria Math" w:hAnsi="Cambria Math"/>
                    </w:rPr>
                    <m:t>-1</m:t>
                  </m:r>
                  <m:ctrlPr>
                    <w:rPr>
                      <w:rFonts w:ascii="Cambria Math" w:hAnsi="Cambria Math"/>
                      <w:i/>
                    </w:rPr>
                  </m:ctrlPr>
                </m:num>
                <m:den>
                  <m:r>
                    <m:rPr>
                      <m:nor/>
                    </m:rPr>
                    <w:rPr>
                      <w:rFonts w:ascii="Cambria Math" w:hAnsi="Cambria Math"/>
                    </w:rPr>
                    <m:t>PB</m:t>
                  </m:r>
                  <m:ctrlPr>
                    <w:rPr>
                      <w:rFonts w:ascii="Cambria Math" w:hAnsi="Cambria Math"/>
                      <w:i/>
                    </w:rPr>
                  </m:ctrlPr>
                </m:den>
              </m:f>
              <m:ctrlPr>
                <w:rPr>
                  <w:rFonts w:ascii="Cambria Math" w:hAnsi="Cambria Math"/>
                  <w:i/>
                </w:rPr>
              </m:ctrlPr>
            </m:e>
          </m:d>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m:rPr>
                          <m:nor/>
                        </m:rPr>
                        <w:rPr>
                          <w:rFonts w:ascii="Cambria Math" w:hAnsi="Cambria Math"/>
                        </w:rPr>
                        <m:t>PB</m:t>
                      </m:r>
                    </m:e>
                  </m:d>
                </m:e>
              </m:func>
              <m:ctrlPr>
                <w:rPr>
                  <w:rFonts w:ascii="Cambria Math" w:hAnsi="Cambria Math"/>
                  <w:i/>
                </w:rPr>
              </m:ctrlPr>
            </m:num>
            <m:den>
              <m:r>
                <w:rPr>
                  <w:rFonts w:ascii="Cambria Math" w:hAnsi="Cambria Math"/>
                </w:rPr>
                <m:t>T</m:t>
              </m:r>
              <m:ctrlPr>
                <w:rPr>
                  <w:rFonts w:ascii="Cambria Math" w:hAnsi="Cambria Math"/>
                  <w:i/>
                </w:rPr>
              </m:ctrlPr>
            </m:den>
          </m:f>
        </m:oMath>
      </m:oMathPara>
    </w:p>
    <w:p w14:paraId="531E73FC" w14:textId="77777777" w:rsidR="00282877" w:rsidRPr="00282877" w:rsidRDefault="00282877" w:rsidP="00282877">
      <w:pPr>
        <w:ind w:firstLine="480"/>
      </w:pPr>
    </w:p>
    <w:p w14:paraId="048852D5" w14:textId="77777777" w:rsidR="00282877" w:rsidRPr="00282877" w:rsidRDefault="00282877" w:rsidP="001170B2">
      <w:pPr>
        <w:ind w:firstLine="480"/>
      </w:pPr>
    </w:p>
    <w:sectPr w:rsidR="00282877" w:rsidRPr="00282877" w:rsidSect="00687E65">
      <w:headerReference w:type="even" r:id="rId23"/>
      <w:headerReference w:type="default" r:id="rId24"/>
      <w:footerReference w:type="even" r:id="rId25"/>
      <w:footerReference w:type="default" r:id="rId26"/>
      <w:headerReference w:type="first" r:id="rId27"/>
      <w:footerReference w:type="first" r:id="rId28"/>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2B4F9B" w14:textId="77777777" w:rsidR="00CF6A9F" w:rsidRDefault="00CF6A9F" w:rsidP="007478D9">
      <w:pPr>
        <w:spacing w:line="240" w:lineRule="auto"/>
        <w:ind w:firstLine="480"/>
      </w:pPr>
      <w:r>
        <w:separator/>
      </w:r>
    </w:p>
  </w:endnote>
  <w:endnote w:type="continuationSeparator" w:id="0">
    <w:p w14:paraId="6BD9013A" w14:textId="77777777" w:rsidR="00CF6A9F" w:rsidRDefault="00CF6A9F" w:rsidP="007478D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15A0D" w14:textId="77777777" w:rsidR="007478D9" w:rsidRDefault="007478D9">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96713" w14:textId="77777777" w:rsidR="007478D9" w:rsidRDefault="007478D9">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8CEC3" w14:textId="77777777" w:rsidR="007478D9" w:rsidRDefault="007478D9">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3CD6C0" w14:textId="77777777" w:rsidR="00CF6A9F" w:rsidRDefault="00CF6A9F" w:rsidP="007478D9">
      <w:pPr>
        <w:spacing w:line="240" w:lineRule="auto"/>
        <w:ind w:firstLine="480"/>
      </w:pPr>
      <w:r>
        <w:separator/>
      </w:r>
    </w:p>
  </w:footnote>
  <w:footnote w:type="continuationSeparator" w:id="0">
    <w:p w14:paraId="7567F500" w14:textId="77777777" w:rsidR="00CF6A9F" w:rsidRDefault="00CF6A9F" w:rsidP="007478D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5166E" w14:textId="77777777" w:rsidR="007478D9" w:rsidRDefault="007478D9">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E8EF2" w14:textId="77777777" w:rsidR="007478D9" w:rsidRDefault="007478D9">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C1C1F" w14:textId="77777777" w:rsidR="007478D9" w:rsidRDefault="007478D9">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7304E"/>
    <w:multiLevelType w:val="multilevel"/>
    <w:tmpl w:val="A8E2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C4D40"/>
    <w:multiLevelType w:val="multilevel"/>
    <w:tmpl w:val="94A4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50169"/>
    <w:multiLevelType w:val="multilevel"/>
    <w:tmpl w:val="98E8A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EB792E"/>
    <w:multiLevelType w:val="hybridMultilevel"/>
    <w:tmpl w:val="415CE774"/>
    <w:lvl w:ilvl="0" w:tplc="D4B853E0">
      <w:start w:val="1"/>
      <w:numFmt w:val="decimal"/>
      <w:lvlText w:val="%1."/>
      <w:lvlJc w:val="left"/>
      <w:pPr>
        <w:tabs>
          <w:tab w:val="num" w:pos="720"/>
        </w:tabs>
        <w:ind w:left="720" w:hanging="360"/>
      </w:pPr>
    </w:lvl>
    <w:lvl w:ilvl="1" w:tplc="2BB0872E">
      <w:start w:val="1"/>
      <w:numFmt w:val="bullet"/>
      <w:lvlText w:val="o"/>
      <w:lvlJc w:val="left"/>
      <w:pPr>
        <w:tabs>
          <w:tab w:val="num" w:pos="1440"/>
        </w:tabs>
        <w:ind w:left="1440" w:hanging="360"/>
      </w:pPr>
      <w:rPr>
        <w:rFonts w:ascii="Courier New" w:hAnsi="Courier New" w:hint="default"/>
        <w:sz w:val="20"/>
      </w:rPr>
    </w:lvl>
    <w:lvl w:ilvl="2" w:tplc="5CCC5B6C">
      <w:start w:val="1"/>
      <w:numFmt w:val="decimal"/>
      <w:lvlText w:val="%3."/>
      <w:lvlJc w:val="left"/>
      <w:pPr>
        <w:tabs>
          <w:tab w:val="num" w:pos="2160"/>
        </w:tabs>
        <w:ind w:left="2160" w:hanging="360"/>
      </w:pPr>
    </w:lvl>
    <w:lvl w:ilvl="3" w:tplc="C4F0B03C" w:tentative="1">
      <w:start w:val="1"/>
      <w:numFmt w:val="decimal"/>
      <w:lvlText w:val="%4."/>
      <w:lvlJc w:val="left"/>
      <w:pPr>
        <w:tabs>
          <w:tab w:val="num" w:pos="2880"/>
        </w:tabs>
        <w:ind w:left="2880" w:hanging="360"/>
      </w:pPr>
    </w:lvl>
    <w:lvl w:ilvl="4" w:tplc="8CDC48DA" w:tentative="1">
      <w:start w:val="1"/>
      <w:numFmt w:val="decimal"/>
      <w:lvlText w:val="%5."/>
      <w:lvlJc w:val="left"/>
      <w:pPr>
        <w:tabs>
          <w:tab w:val="num" w:pos="3600"/>
        </w:tabs>
        <w:ind w:left="3600" w:hanging="360"/>
      </w:pPr>
    </w:lvl>
    <w:lvl w:ilvl="5" w:tplc="48C41BB8" w:tentative="1">
      <w:start w:val="1"/>
      <w:numFmt w:val="decimal"/>
      <w:lvlText w:val="%6."/>
      <w:lvlJc w:val="left"/>
      <w:pPr>
        <w:tabs>
          <w:tab w:val="num" w:pos="4320"/>
        </w:tabs>
        <w:ind w:left="4320" w:hanging="360"/>
      </w:pPr>
    </w:lvl>
    <w:lvl w:ilvl="6" w:tplc="C81EB35C" w:tentative="1">
      <w:start w:val="1"/>
      <w:numFmt w:val="decimal"/>
      <w:lvlText w:val="%7."/>
      <w:lvlJc w:val="left"/>
      <w:pPr>
        <w:tabs>
          <w:tab w:val="num" w:pos="5040"/>
        </w:tabs>
        <w:ind w:left="5040" w:hanging="360"/>
      </w:pPr>
    </w:lvl>
    <w:lvl w:ilvl="7" w:tplc="57B061BC" w:tentative="1">
      <w:start w:val="1"/>
      <w:numFmt w:val="decimal"/>
      <w:lvlText w:val="%8."/>
      <w:lvlJc w:val="left"/>
      <w:pPr>
        <w:tabs>
          <w:tab w:val="num" w:pos="5760"/>
        </w:tabs>
        <w:ind w:left="5760" w:hanging="360"/>
      </w:pPr>
    </w:lvl>
    <w:lvl w:ilvl="8" w:tplc="DB025656" w:tentative="1">
      <w:start w:val="1"/>
      <w:numFmt w:val="decimal"/>
      <w:lvlText w:val="%9."/>
      <w:lvlJc w:val="left"/>
      <w:pPr>
        <w:tabs>
          <w:tab w:val="num" w:pos="6480"/>
        </w:tabs>
        <w:ind w:left="6480" w:hanging="360"/>
      </w:pPr>
    </w:lvl>
  </w:abstractNum>
  <w:abstractNum w:abstractNumId="4" w15:restartNumberingAfterBreak="0">
    <w:nsid w:val="1C0C35E8"/>
    <w:multiLevelType w:val="multilevel"/>
    <w:tmpl w:val="8D98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627B5"/>
    <w:multiLevelType w:val="multilevel"/>
    <w:tmpl w:val="E5AED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607AE5"/>
    <w:multiLevelType w:val="multilevel"/>
    <w:tmpl w:val="EB5E1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995ED8"/>
    <w:multiLevelType w:val="multilevel"/>
    <w:tmpl w:val="B900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DF3352"/>
    <w:multiLevelType w:val="multilevel"/>
    <w:tmpl w:val="B4E0958C"/>
    <w:lvl w:ilvl="0">
      <w:start w:val="1"/>
      <w:numFmt w:val="bullet"/>
      <w:lvlText w:val=""/>
      <w:lvlJc w:val="left"/>
      <w:pPr>
        <w:tabs>
          <w:tab w:val="num" w:pos="720"/>
        </w:tabs>
        <w:ind w:left="720" w:hanging="607"/>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A86D40"/>
    <w:multiLevelType w:val="multilevel"/>
    <w:tmpl w:val="0BFE7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66249"/>
    <w:multiLevelType w:val="multilevel"/>
    <w:tmpl w:val="9C7A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CA25B2"/>
    <w:multiLevelType w:val="multilevel"/>
    <w:tmpl w:val="8AF42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E5F67"/>
    <w:multiLevelType w:val="multilevel"/>
    <w:tmpl w:val="7122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067D75"/>
    <w:multiLevelType w:val="multilevel"/>
    <w:tmpl w:val="7F988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66770"/>
    <w:multiLevelType w:val="multilevel"/>
    <w:tmpl w:val="04F44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6331C7"/>
    <w:multiLevelType w:val="multilevel"/>
    <w:tmpl w:val="9C28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F97260"/>
    <w:multiLevelType w:val="multilevel"/>
    <w:tmpl w:val="56DC97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1911A0"/>
    <w:multiLevelType w:val="multilevel"/>
    <w:tmpl w:val="A3824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B4106D"/>
    <w:multiLevelType w:val="multilevel"/>
    <w:tmpl w:val="8F66C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35750C"/>
    <w:multiLevelType w:val="multilevel"/>
    <w:tmpl w:val="1DB64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31329E"/>
    <w:multiLevelType w:val="multilevel"/>
    <w:tmpl w:val="3522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382359"/>
    <w:multiLevelType w:val="multilevel"/>
    <w:tmpl w:val="74C8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91793E"/>
    <w:multiLevelType w:val="multilevel"/>
    <w:tmpl w:val="4870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532252"/>
    <w:multiLevelType w:val="multilevel"/>
    <w:tmpl w:val="B78E4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8C0138"/>
    <w:multiLevelType w:val="multilevel"/>
    <w:tmpl w:val="D35A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730655"/>
    <w:multiLevelType w:val="multilevel"/>
    <w:tmpl w:val="33407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AA4B6A"/>
    <w:multiLevelType w:val="multilevel"/>
    <w:tmpl w:val="F1FC0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6B4902"/>
    <w:multiLevelType w:val="multilevel"/>
    <w:tmpl w:val="1DB64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FB233B"/>
    <w:multiLevelType w:val="multilevel"/>
    <w:tmpl w:val="A0D0F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F15685"/>
    <w:multiLevelType w:val="multilevel"/>
    <w:tmpl w:val="CE563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607883"/>
    <w:multiLevelType w:val="multilevel"/>
    <w:tmpl w:val="2E106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F602B6"/>
    <w:multiLevelType w:val="multilevel"/>
    <w:tmpl w:val="6C8A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1621582">
    <w:abstractNumId w:val="6"/>
  </w:num>
  <w:num w:numId="2" w16cid:durableId="1721048266">
    <w:abstractNumId w:val="17"/>
  </w:num>
  <w:num w:numId="3" w16cid:durableId="1240562006">
    <w:abstractNumId w:val="4"/>
  </w:num>
  <w:num w:numId="4" w16cid:durableId="1316300306">
    <w:abstractNumId w:val="11"/>
  </w:num>
  <w:num w:numId="5" w16cid:durableId="585572235">
    <w:abstractNumId w:val="15"/>
  </w:num>
  <w:num w:numId="6" w16cid:durableId="1792283216">
    <w:abstractNumId w:val="9"/>
  </w:num>
  <w:num w:numId="7" w16cid:durableId="71128675">
    <w:abstractNumId w:val="7"/>
  </w:num>
  <w:num w:numId="8" w16cid:durableId="2116048609">
    <w:abstractNumId w:val="22"/>
  </w:num>
  <w:num w:numId="9" w16cid:durableId="1256942143">
    <w:abstractNumId w:val="13"/>
  </w:num>
  <w:num w:numId="10" w16cid:durableId="995643681">
    <w:abstractNumId w:val="10"/>
  </w:num>
  <w:num w:numId="11" w16cid:durableId="1498034172">
    <w:abstractNumId w:val="31"/>
  </w:num>
  <w:num w:numId="12" w16cid:durableId="1637880883">
    <w:abstractNumId w:val="29"/>
  </w:num>
  <w:num w:numId="13" w16cid:durableId="68819074">
    <w:abstractNumId w:val="20"/>
  </w:num>
  <w:num w:numId="14" w16cid:durableId="1546523386">
    <w:abstractNumId w:val="26"/>
  </w:num>
  <w:num w:numId="15" w16cid:durableId="368384159">
    <w:abstractNumId w:val="14"/>
  </w:num>
  <w:num w:numId="16" w16cid:durableId="1924098102">
    <w:abstractNumId w:val="2"/>
  </w:num>
  <w:num w:numId="17" w16cid:durableId="1695761251">
    <w:abstractNumId w:val="5"/>
  </w:num>
  <w:num w:numId="18" w16cid:durableId="518667033">
    <w:abstractNumId w:val="8"/>
  </w:num>
  <w:num w:numId="19" w16cid:durableId="437214123">
    <w:abstractNumId w:val="16"/>
  </w:num>
  <w:num w:numId="20" w16cid:durableId="975570129">
    <w:abstractNumId w:val="27"/>
  </w:num>
  <w:num w:numId="21" w16cid:durableId="2064519365">
    <w:abstractNumId w:val="28"/>
  </w:num>
  <w:num w:numId="22" w16cid:durableId="1442142154">
    <w:abstractNumId w:val="3"/>
  </w:num>
  <w:num w:numId="23" w16cid:durableId="1762068063">
    <w:abstractNumId w:val="0"/>
  </w:num>
  <w:num w:numId="24" w16cid:durableId="917908187">
    <w:abstractNumId w:val="1"/>
  </w:num>
  <w:num w:numId="25" w16cid:durableId="1063873075">
    <w:abstractNumId w:val="21"/>
  </w:num>
  <w:num w:numId="26" w16cid:durableId="1520391679">
    <w:abstractNumId w:val="30"/>
  </w:num>
  <w:num w:numId="27" w16cid:durableId="1608390616">
    <w:abstractNumId w:val="25"/>
  </w:num>
  <w:num w:numId="28" w16cid:durableId="1419593173">
    <w:abstractNumId w:val="24"/>
  </w:num>
  <w:num w:numId="29" w16cid:durableId="301230842">
    <w:abstractNumId w:val="18"/>
  </w:num>
  <w:num w:numId="30" w16cid:durableId="1472868603">
    <w:abstractNumId w:val="12"/>
  </w:num>
  <w:num w:numId="31" w16cid:durableId="983894621">
    <w:abstractNumId w:val="23"/>
  </w:num>
  <w:num w:numId="32" w16cid:durableId="45475748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6DC"/>
    <w:rsid w:val="0000066D"/>
    <w:rsid w:val="000042D5"/>
    <w:rsid w:val="00046415"/>
    <w:rsid w:val="0005235D"/>
    <w:rsid w:val="0005587F"/>
    <w:rsid w:val="00055944"/>
    <w:rsid w:val="000646DC"/>
    <w:rsid w:val="00065D8A"/>
    <w:rsid w:val="00070DAD"/>
    <w:rsid w:val="00070F80"/>
    <w:rsid w:val="000712C6"/>
    <w:rsid w:val="000753FB"/>
    <w:rsid w:val="00076A68"/>
    <w:rsid w:val="00076AD8"/>
    <w:rsid w:val="0009207E"/>
    <w:rsid w:val="000A13E3"/>
    <w:rsid w:val="000A2165"/>
    <w:rsid w:val="000A2C32"/>
    <w:rsid w:val="000A48D0"/>
    <w:rsid w:val="000B638C"/>
    <w:rsid w:val="000C27A7"/>
    <w:rsid w:val="000D44B4"/>
    <w:rsid w:val="000D49AE"/>
    <w:rsid w:val="000E104C"/>
    <w:rsid w:val="000F0500"/>
    <w:rsid w:val="001014EF"/>
    <w:rsid w:val="00103B66"/>
    <w:rsid w:val="0010418B"/>
    <w:rsid w:val="00104BC9"/>
    <w:rsid w:val="001108CE"/>
    <w:rsid w:val="00110D82"/>
    <w:rsid w:val="001147CF"/>
    <w:rsid w:val="001170B2"/>
    <w:rsid w:val="00135D17"/>
    <w:rsid w:val="00142073"/>
    <w:rsid w:val="00143EFC"/>
    <w:rsid w:val="00151F46"/>
    <w:rsid w:val="00175566"/>
    <w:rsid w:val="00183DB9"/>
    <w:rsid w:val="00191F9A"/>
    <w:rsid w:val="001A1C6E"/>
    <w:rsid w:val="001C2272"/>
    <w:rsid w:val="001D2A3D"/>
    <w:rsid w:val="001D3CE1"/>
    <w:rsid w:val="001E30AF"/>
    <w:rsid w:val="001E648D"/>
    <w:rsid w:val="00216BC1"/>
    <w:rsid w:val="00223A83"/>
    <w:rsid w:val="002311E4"/>
    <w:rsid w:val="002372FE"/>
    <w:rsid w:val="00242C8B"/>
    <w:rsid w:val="0025073F"/>
    <w:rsid w:val="002557F3"/>
    <w:rsid w:val="00262C96"/>
    <w:rsid w:val="00264304"/>
    <w:rsid w:val="002706ED"/>
    <w:rsid w:val="00282877"/>
    <w:rsid w:val="00286EF7"/>
    <w:rsid w:val="0028701C"/>
    <w:rsid w:val="00297082"/>
    <w:rsid w:val="002A055B"/>
    <w:rsid w:val="002B0068"/>
    <w:rsid w:val="002B3457"/>
    <w:rsid w:val="002E2879"/>
    <w:rsid w:val="002E3412"/>
    <w:rsid w:val="002E6A04"/>
    <w:rsid w:val="002F22EC"/>
    <w:rsid w:val="00310DFD"/>
    <w:rsid w:val="003160F6"/>
    <w:rsid w:val="00333645"/>
    <w:rsid w:val="0033391D"/>
    <w:rsid w:val="00336656"/>
    <w:rsid w:val="003408B1"/>
    <w:rsid w:val="003424C4"/>
    <w:rsid w:val="003623BE"/>
    <w:rsid w:val="0037657F"/>
    <w:rsid w:val="0038585A"/>
    <w:rsid w:val="003913B0"/>
    <w:rsid w:val="003A211F"/>
    <w:rsid w:val="003B46AD"/>
    <w:rsid w:val="003C5B30"/>
    <w:rsid w:val="003F4D56"/>
    <w:rsid w:val="0040240C"/>
    <w:rsid w:val="00406725"/>
    <w:rsid w:val="00410164"/>
    <w:rsid w:val="0041785E"/>
    <w:rsid w:val="00417A39"/>
    <w:rsid w:val="00422252"/>
    <w:rsid w:val="004233E0"/>
    <w:rsid w:val="00440438"/>
    <w:rsid w:val="00446145"/>
    <w:rsid w:val="00452598"/>
    <w:rsid w:val="004748D8"/>
    <w:rsid w:val="00482421"/>
    <w:rsid w:val="0049710D"/>
    <w:rsid w:val="00497A5B"/>
    <w:rsid w:val="004A2C84"/>
    <w:rsid w:val="004A7116"/>
    <w:rsid w:val="004B276E"/>
    <w:rsid w:val="00501D80"/>
    <w:rsid w:val="005032FD"/>
    <w:rsid w:val="00507810"/>
    <w:rsid w:val="00510B42"/>
    <w:rsid w:val="005303DF"/>
    <w:rsid w:val="0056522F"/>
    <w:rsid w:val="00571F07"/>
    <w:rsid w:val="005914CE"/>
    <w:rsid w:val="005A38D9"/>
    <w:rsid w:val="005B355F"/>
    <w:rsid w:val="005B6B89"/>
    <w:rsid w:val="005C2279"/>
    <w:rsid w:val="005D1C6F"/>
    <w:rsid w:val="00602A20"/>
    <w:rsid w:val="00616F2A"/>
    <w:rsid w:val="00626257"/>
    <w:rsid w:val="00634BDF"/>
    <w:rsid w:val="0066062E"/>
    <w:rsid w:val="00664771"/>
    <w:rsid w:val="0066573F"/>
    <w:rsid w:val="00687E65"/>
    <w:rsid w:val="006907DF"/>
    <w:rsid w:val="006C2B51"/>
    <w:rsid w:val="006E528D"/>
    <w:rsid w:val="006E5ED3"/>
    <w:rsid w:val="006E6314"/>
    <w:rsid w:val="0070511A"/>
    <w:rsid w:val="007242CC"/>
    <w:rsid w:val="00741F83"/>
    <w:rsid w:val="007478D9"/>
    <w:rsid w:val="00774B80"/>
    <w:rsid w:val="0077501B"/>
    <w:rsid w:val="00790634"/>
    <w:rsid w:val="007A39B4"/>
    <w:rsid w:val="007B05A7"/>
    <w:rsid w:val="007B1623"/>
    <w:rsid w:val="007B18A2"/>
    <w:rsid w:val="007B2F9A"/>
    <w:rsid w:val="0080064E"/>
    <w:rsid w:val="00803356"/>
    <w:rsid w:val="00804E05"/>
    <w:rsid w:val="00805A58"/>
    <w:rsid w:val="008077BE"/>
    <w:rsid w:val="00835931"/>
    <w:rsid w:val="00841622"/>
    <w:rsid w:val="0085373C"/>
    <w:rsid w:val="008559B2"/>
    <w:rsid w:val="00860182"/>
    <w:rsid w:val="0087412B"/>
    <w:rsid w:val="008773EE"/>
    <w:rsid w:val="0088416C"/>
    <w:rsid w:val="008871EA"/>
    <w:rsid w:val="008A0CD8"/>
    <w:rsid w:val="008A4AE6"/>
    <w:rsid w:val="008B00C3"/>
    <w:rsid w:val="008B760D"/>
    <w:rsid w:val="008C3032"/>
    <w:rsid w:val="008C7561"/>
    <w:rsid w:val="008F6B60"/>
    <w:rsid w:val="009111CD"/>
    <w:rsid w:val="00942B2B"/>
    <w:rsid w:val="00944AB3"/>
    <w:rsid w:val="00946603"/>
    <w:rsid w:val="0094731F"/>
    <w:rsid w:val="009715D9"/>
    <w:rsid w:val="00972B33"/>
    <w:rsid w:val="0098703F"/>
    <w:rsid w:val="00997012"/>
    <w:rsid w:val="009A1651"/>
    <w:rsid w:val="009B08F7"/>
    <w:rsid w:val="009B302A"/>
    <w:rsid w:val="009B77FF"/>
    <w:rsid w:val="009C00A0"/>
    <w:rsid w:val="009C5672"/>
    <w:rsid w:val="009D042B"/>
    <w:rsid w:val="009F0ADE"/>
    <w:rsid w:val="00A11957"/>
    <w:rsid w:val="00A1432E"/>
    <w:rsid w:val="00A20106"/>
    <w:rsid w:val="00A2733F"/>
    <w:rsid w:val="00A36281"/>
    <w:rsid w:val="00A45FF7"/>
    <w:rsid w:val="00A461D7"/>
    <w:rsid w:val="00A46628"/>
    <w:rsid w:val="00A55D39"/>
    <w:rsid w:val="00A64A28"/>
    <w:rsid w:val="00A65C7B"/>
    <w:rsid w:val="00A66BB8"/>
    <w:rsid w:val="00A67AE9"/>
    <w:rsid w:val="00A7074F"/>
    <w:rsid w:val="00A81D56"/>
    <w:rsid w:val="00A86406"/>
    <w:rsid w:val="00AA2213"/>
    <w:rsid w:val="00AA5E49"/>
    <w:rsid w:val="00AC4151"/>
    <w:rsid w:val="00AE4BE5"/>
    <w:rsid w:val="00B006BF"/>
    <w:rsid w:val="00B0590E"/>
    <w:rsid w:val="00B11BB7"/>
    <w:rsid w:val="00B2756A"/>
    <w:rsid w:val="00B30B31"/>
    <w:rsid w:val="00B42523"/>
    <w:rsid w:val="00B5195B"/>
    <w:rsid w:val="00B67DF9"/>
    <w:rsid w:val="00B711F2"/>
    <w:rsid w:val="00B812FE"/>
    <w:rsid w:val="00BB40B5"/>
    <w:rsid w:val="00BB59CE"/>
    <w:rsid w:val="00BD09E5"/>
    <w:rsid w:val="00BE5560"/>
    <w:rsid w:val="00C13C51"/>
    <w:rsid w:val="00C334AC"/>
    <w:rsid w:val="00C375AC"/>
    <w:rsid w:val="00C7427E"/>
    <w:rsid w:val="00C77655"/>
    <w:rsid w:val="00C84952"/>
    <w:rsid w:val="00C8735D"/>
    <w:rsid w:val="00C914C8"/>
    <w:rsid w:val="00C936D5"/>
    <w:rsid w:val="00C97701"/>
    <w:rsid w:val="00CA628B"/>
    <w:rsid w:val="00CB617D"/>
    <w:rsid w:val="00CC0A1E"/>
    <w:rsid w:val="00CC29E9"/>
    <w:rsid w:val="00CD010B"/>
    <w:rsid w:val="00CD116D"/>
    <w:rsid w:val="00CD5184"/>
    <w:rsid w:val="00CE5552"/>
    <w:rsid w:val="00CF0460"/>
    <w:rsid w:val="00CF6A9F"/>
    <w:rsid w:val="00D00604"/>
    <w:rsid w:val="00D043CC"/>
    <w:rsid w:val="00D05F80"/>
    <w:rsid w:val="00D14D29"/>
    <w:rsid w:val="00D33747"/>
    <w:rsid w:val="00D35A72"/>
    <w:rsid w:val="00D374D4"/>
    <w:rsid w:val="00D37EFB"/>
    <w:rsid w:val="00D46649"/>
    <w:rsid w:val="00D63F71"/>
    <w:rsid w:val="00D67AF0"/>
    <w:rsid w:val="00D731BA"/>
    <w:rsid w:val="00D77882"/>
    <w:rsid w:val="00D83472"/>
    <w:rsid w:val="00DA4F27"/>
    <w:rsid w:val="00DA53E5"/>
    <w:rsid w:val="00DA704E"/>
    <w:rsid w:val="00DB2419"/>
    <w:rsid w:val="00DD46CD"/>
    <w:rsid w:val="00DE4678"/>
    <w:rsid w:val="00DF58F1"/>
    <w:rsid w:val="00E10499"/>
    <w:rsid w:val="00E127F0"/>
    <w:rsid w:val="00E42B7A"/>
    <w:rsid w:val="00E46840"/>
    <w:rsid w:val="00E5517D"/>
    <w:rsid w:val="00E556C9"/>
    <w:rsid w:val="00E6312F"/>
    <w:rsid w:val="00E64CDD"/>
    <w:rsid w:val="00E655CF"/>
    <w:rsid w:val="00E700D3"/>
    <w:rsid w:val="00E71496"/>
    <w:rsid w:val="00E7672D"/>
    <w:rsid w:val="00E81617"/>
    <w:rsid w:val="00EA1480"/>
    <w:rsid w:val="00EA7DDE"/>
    <w:rsid w:val="00EB0C9E"/>
    <w:rsid w:val="00EB52A0"/>
    <w:rsid w:val="00ED1988"/>
    <w:rsid w:val="00ED1E36"/>
    <w:rsid w:val="00EF1B9D"/>
    <w:rsid w:val="00EF2C2A"/>
    <w:rsid w:val="00F103B6"/>
    <w:rsid w:val="00F1437B"/>
    <w:rsid w:val="00F307E6"/>
    <w:rsid w:val="00F70300"/>
    <w:rsid w:val="00F717FF"/>
    <w:rsid w:val="00F7226F"/>
    <w:rsid w:val="00F777B7"/>
    <w:rsid w:val="00F87BCD"/>
    <w:rsid w:val="00FB5D33"/>
    <w:rsid w:val="00FD6B55"/>
    <w:rsid w:val="00FD7FEC"/>
    <w:rsid w:val="00FE0396"/>
    <w:rsid w:val="00FF1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A0281"/>
  <w15:chartTrackingRefBased/>
  <w15:docId w15:val="{B920B306-0A63-4256-BB7E-E53B25F39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color w:val="00000A"/>
        <w:sz w:val="24"/>
        <w:szCs w:val="24"/>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2073"/>
  </w:style>
  <w:style w:type="paragraph" w:styleId="1">
    <w:name w:val="heading 1"/>
    <w:basedOn w:val="a"/>
    <w:next w:val="a"/>
    <w:link w:val="10"/>
    <w:uiPriority w:val="9"/>
    <w:qFormat/>
    <w:rsid w:val="000646D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646D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646D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0646DC"/>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unhideWhenUsed/>
    <w:qFormat/>
    <w:rsid w:val="000646DC"/>
    <w:pPr>
      <w:keepNext/>
      <w:keepLines/>
      <w:spacing w:before="80" w:after="40"/>
      <w:outlineLvl w:val="4"/>
    </w:pPr>
    <w:rPr>
      <w:rFonts w:asciiTheme="minorHAnsi" w:eastAsiaTheme="minorEastAsia" w:hAnsiTheme="minorHAnsi" w:cstheme="majorBidi"/>
      <w:color w:val="0F4761" w:themeColor="accent1" w:themeShade="BF"/>
    </w:rPr>
  </w:style>
  <w:style w:type="paragraph" w:styleId="6">
    <w:name w:val="heading 6"/>
    <w:basedOn w:val="a"/>
    <w:next w:val="a"/>
    <w:link w:val="60"/>
    <w:uiPriority w:val="9"/>
    <w:semiHidden/>
    <w:unhideWhenUsed/>
    <w:qFormat/>
    <w:rsid w:val="000646DC"/>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0646DC"/>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0646DC"/>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0646DC"/>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46D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646D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0646D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0646DC"/>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rsid w:val="000646DC"/>
    <w:rPr>
      <w:rFonts w:asciiTheme="minorHAnsi" w:eastAsiaTheme="minorEastAsia" w:hAnsiTheme="minorHAnsi" w:cstheme="majorBidi"/>
      <w:color w:val="0F4761" w:themeColor="accent1" w:themeShade="BF"/>
    </w:rPr>
  </w:style>
  <w:style w:type="character" w:customStyle="1" w:styleId="60">
    <w:name w:val="标题 6 字符"/>
    <w:basedOn w:val="a0"/>
    <w:link w:val="6"/>
    <w:uiPriority w:val="9"/>
    <w:semiHidden/>
    <w:rsid w:val="000646DC"/>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0646DC"/>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0646DC"/>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0646DC"/>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0646DC"/>
    <w:pPr>
      <w:spacing w:after="80" w:line="240" w:lineRule="auto"/>
      <w:contextualSpacing/>
      <w:jc w:val="center"/>
    </w:pPr>
    <w:rPr>
      <w:rFonts w:asciiTheme="majorHAnsi" w:eastAsiaTheme="majorEastAsia" w:hAnsiTheme="majorHAnsi" w:cstheme="majorBidi"/>
      <w:color w:val="auto"/>
      <w:spacing w:val="-10"/>
      <w:kern w:val="28"/>
      <w:sz w:val="56"/>
      <w:szCs w:val="56"/>
    </w:rPr>
  </w:style>
  <w:style w:type="character" w:customStyle="1" w:styleId="a4">
    <w:name w:val="标题 字符"/>
    <w:basedOn w:val="a0"/>
    <w:link w:val="a3"/>
    <w:uiPriority w:val="10"/>
    <w:rsid w:val="000646DC"/>
    <w:rPr>
      <w:rFonts w:asciiTheme="majorHAnsi" w:eastAsiaTheme="majorEastAsia" w:hAnsiTheme="majorHAnsi" w:cstheme="majorBidi"/>
      <w:color w:val="auto"/>
      <w:spacing w:val="-10"/>
      <w:kern w:val="28"/>
      <w:sz w:val="56"/>
      <w:szCs w:val="56"/>
    </w:rPr>
  </w:style>
  <w:style w:type="paragraph" w:styleId="a5">
    <w:name w:val="Subtitle"/>
    <w:basedOn w:val="a"/>
    <w:next w:val="a"/>
    <w:link w:val="a6"/>
    <w:uiPriority w:val="11"/>
    <w:qFormat/>
    <w:rsid w:val="000646DC"/>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646D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646DC"/>
    <w:pPr>
      <w:spacing w:before="160" w:after="160"/>
      <w:jc w:val="center"/>
    </w:pPr>
    <w:rPr>
      <w:i/>
      <w:iCs/>
      <w:color w:val="404040" w:themeColor="text1" w:themeTint="BF"/>
    </w:rPr>
  </w:style>
  <w:style w:type="character" w:customStyle="1" w:styleId="a8">
    <w:name w:val="引用 字符"/>
    <w:basedOn w:val="a0"/>
    <w:link w:val="a7"/>
    <w:uiPriority w:val="29"/>
    <w:rsid w:val="000646DC"/>
    <w:rPr>
      <w:i/>
      <w:iCs/>
      <w:color w:val="404040" w:themeColor="text1" w:themeTint="BF"/>
    </w:rPr>
  </w:style>
  <w:style w:type="paragraph" w:styleId="a9">
    <w:name w:val="List Paragraph"/>
    <w:basedOn w:val="a"/>
    <w:uiPriority w:val="34"/>
    <w:qFormat/>
    <w:rsid w:val="000646DC"/>
    <w:pPr>
      <w:ind w:left="720"/>
      <w:contextualSpacing/>
    </w:pPr>
  </w:style>
  <w:style w:type="character" w:styleId="aa">
    <w:name w:val="Intense Emphasis"/>
    <w:basedOn w:val="a0"/>
    <w:uiPriority w:val="21"/>
    <w:qFormat/>
    <w:rsid w:val="000646DC"/>
    <w:rPr>
      <w:i/>
      <w:iCs/>
      <w:color w:val="0F4761" w:themeColor="accent1" w:themeShade="BF"/>
    </w:rPr>
  </w:style>
  <w:style w:type="paragraph" w:styleId="ab">
    <w:name w:val="Intense Quote"/>
    <w:basedOn w:val="a"/>
    <w:next w:val="a"/>
    <w:link w:val="ac"/>
    <w:uiPriority w:val="30"/>
    <w:qFormat/>
    <w:rsid w:val="000646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646DC"/>
    <w:rPr>
      <w:i/>
      <w:iCs/>
      <w:color w:val="0F4761" w:themeColor="accent1" w:themeShade="BF"/>
    </w:rPr>
  </w:style>
  <w:style w:type="character" w:styleId="ad">
    <w:name w:val="Intense Reference"/>
    <w:basedOn w:val="a0"/>
    <w:uiPriority w:val="32"/>
    <w:qFormat/>
    <w:rsid w:val="000646DC"/>
    <w:rPr>
      <w:b/>
      <w:bCs/>
      <w:smallCaps/>
      <w:color w:val="0F4761" w:themeColor="accent1" w:themeShade="BF"/>
      <w:spacing w:val="5"/>
    </w:rPr>
  </w:style>
  <w:style w:type="paragraph" w:styleId="ae">
    <w:name w:val="header"/>
    <w:basedOn w:val="a"/>
    <w:link w:val="af"/>
    <w:uiPriority w:val="99"/>
    <w:unhideWhenUsed/>
    <w:rsid w:val="007478D9"/>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478D9"/>
    <w:rPr>
      <w:sz w:val="18"/>
      <w:szCs w:val="18"/>
    </w:rPr>
  </w:style>
  <w:style w:type="paragraph" w:styleId="af0">
    <w:name w:val="footer"/>
    <w:basedOn w:val="a"/>
    <w:link w:val="af1"/>
    <w:uiPriority w:val="99"/>
    <w:unhideWhenUsed/>
    <w:rsid w:val="007478D9"/>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7478D9"/>
    <w:rPr>
      <w:sz w:val="18"/>
      <w:szCs w:val="18"/>
    </w:rPr>
  </w:style>
  <w:style w:type="character" w:styleId="af2">
    <w:name w:val="Placeholder Text"/>
    <w:basedOn w:val="a0"/>
    <w:uiPriority w:val="99"/>
    <w:semiHidden/>
    <w:rsid w:val="002E2879"/>
    <w:rPr>
      <w:color w:val="666666"/>
    </w:rPr>
  </w:style>
  <w:style w:type="paragraph" w:styleId="af3">
    <w:name w:val="Normal (Web)"/>
    <w:basedOn w:val="a"/>
    <w:uiPriority w:val="99"/>
    <w:semiHidden/>
    <w:unhideWhenUsed/>
    <w:rsid w:val="00DA53E5"/>
  </w:style>
  <w:style w:type="paragraph" w:styleId="HTML">
    <w:name w:val="HTML Preformatted"/>
    <w:basedOn w:val="a"/>
    <w:link w:val="HTML0"/>
    <w:uiPriority w:val="99"/>
    <w:semiHidden/>
    <w:unhideWhenUsed/>
    <w:rsid w:val="004A7116"/>
    <w:rPr>
      <w:rFonts w:ascii="Courier New" w:hAnsi="Courier New" w:cs="Courier New"/>
      <w:sz w:val="20"/>
      <w:szCs w:val="20"/>
    </w:rPr>
  </w:style>
  <w:style w:type="character" w:customStyle="1" w:styleId="HTML0">
    <w:name w:val="HTML 预设格式 字符"/>
    <w:basedOn w:val="a0"/>
    <w:link w:val="HTML"/>
    <w:uiPriority w:val="99"/>
    <w:semiHidden/>
    <w:rsid w:val="004A7116"/>
    <w:rPr>
      <w:rFonts w:ascii="Courier New" w:hAnsi="Courier New" w:cs="Courier New"/>
      <w:sz w:val="20"/>
      <w:szCs w:val="20"/>
    </w:rPr>
  </w:style>
  <w:style w:type="character" w:customStyle="1" w:styleId="selected">
    <w:name w:val="selected"/>
    <w:basedOn w:val="a0"/>
    <w:rsid w:val="00F87BCD"/>
  </w:style>
  <w:style w:type="table" w:styleId="af4">
    <w:name w:val="Table Grid"/>
    <w:basedOn w:val="a1"/>
    <w:uiPriority w:val="39"/>
    <w:rsid w:val="00497A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uiPriority w:val="99"/>
    <w:semiHidden/>
    <w:unhideWhenUsed/>
    <w:rsid w:val="00333645"/>
    <w:rPr>
      <w:rFonts w:ascii="宋体" w:eastAsia="宋体" w:hAnsi="宋体" w:cs="宋体"/>
      <w:sz w:val="24"/>
      <w:szCs w:val="24"/>
    </w:rPr>
  </w:style>
  <w:style w:type="table" w:styleId="af5">
    <w:name w:val="Grid Table Light"/>
    <w:basedOn w:val="a1"/>
    <w:uiPriority w:val="40"/>
    <w:rsid w:val="007242C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
    <w:name w:val="样式1"/>
    <w:basedOn w:val="a1"/>
    <w:uiPriority w:val="99"/>
    <w:rsid w:val="007242CC"/>
    <w:pPr>
      <w:spacing w:line="240" w:lineRule="auto"/>
      <w:ind w:firstLineChars="0" w:firstLine="0"/>
      <w:jc w:val="left"/>
    </w:pPr>
    <w:tblPr>
      <w:tblBorders>
        <w:top w:val="single" w:sz="12" w:space="0" w:color="auto"/>
        <w:bottom w:val="single" w:sz="12"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5875">
      <w:bodyDiv w:val="1"/>
      <w:marLeft w:val="0"/>
      <w:marRight w:val="0"/>
      <w:marTop w:val="0"/>
      <w:marBottom w:val="0"/>
      <w:divBdr>
        <w:top w:val="none" w:sz="0" w:space="0" w:color="auto"/>
        <w:left w:val="none" w:sz="0" w:space="0" w:color="auto"/>
        <w:bottom w:val="none" w:sz="0" w:space="0" w:color="auto"/>
        <w:right w:val="none" w:sz="0" w:space="0" w:color="auto"/>
      </w:divBdr>
    </w:div>
    <w:div w:id="14967654">
      <w:bodyDiv w:val="1"/>
      <w:marLeft w:val="0"/>
      <w:marRight w:val="0"/>
      <w:marTop w:val="0"/>
      <w:marBottom w:val="0"/>
      <w:divBdr>
        <w:top w:val="none" w:sz="0" w:space="0" w:color="auto"/>
        <w:left w:val="none" w:sz="0" w:space="0" w:color="auto"/>
        <w:bottom w:val="none" w:sz="0" w:space="0" w:color="auto"/>
        <w:right w:val="none" w:sz="0" w:space="0" w:color="auto"/>
      </w:divBdr>
    </w:div>
    <w:div w:id="50465920">
      <w:bodyDiv w:val="1"/>
      <w:marLeft w:val="0"/>
      <w:marRight w:val="0"/>
      <w:marTop w:val="0"/>
      <w:marBottom w:val="0"/>
      <w:divBdr>
        <w:top w:val="none" w:sz="0" w:space="0" w:color="auto"/>
        <w:left w:val="none" w:sz="0" w:space="0" w:color="auto"/>
        <w:bottom w:val="none" w:sz="0" w:space="0" w:color="auto"/>
        <w:right w:val="none" w:sz="0" w:space="0" w:color="auto"/>
      </w:divBdr>
    </w:div>
    <w:div w:id="65343217">
      <w:bodyDiv w:val="1"/>
      <w:marLeft w:val="0"/>
      <w:marRight w:val="0"/>
      <w:marTop w:val="0"/>
      <w:marBottom w:val="0"/>
      <w:divBdr>
        <w:top w:val="none" w:sz="0" w:space="0" w:color="auto"/>
        <w:left w:val="none" w:sz="0" w:space="0" w:color="auto"/>
        <w:bottom w:val="none" w:sz="0" w:space="0" w:color="auto"/>
        <w:right w:val="none" w:sz="0" w:space="0" w:color="auto"/>
      </w:divBdr>
    </w:div>
    <w:div w:id="68121501">
      <w:bodyDiv w:val="1"/>
      <w:marLeft w:val="0"/>
      <w:marRight w:val="0"/>
      <w:marTop w:val="0"/>
      <w:marBottom w:val="0"/>
      <w:divBdr>
        <w:top w:val="none" w:sz="0" w:space="0" w:color="auto"/>
        <w:left w:val="none" w:sz="0" w:space="0" w:color="auto"/>
        <w:bottom w:val="none" w:sz="0" w:space="0" w:color="auto"/>
        <w:right w:val="none" w:sz="0" w:space="0" w:color="auto"/>
      </w:divBdr>
    </w:div>
    <w:div w:id="86081016">
      <w:bodyDiv w:val="1"/>
      <w:marLeft w:val="0"/>
      <w:marRight w:val="0"/>
      <w:marTop w:val="0"/>
      <w:marBottom w:val="0"/>
      <w:divBdr>
        <w:top w:val="none" w:sz="0" w:space="0" w:color="auto"/>
        <w:left w:val="none" w:sz="0" w:space="0" w:color="auto"/>
        <w:bottom w:val="none" w:sz="0" w:space="0" w:color="auto"/>
        <w:right w:val="none" w:sz="0" w:space="0" w:color="auto"/>
      </w:divBdr>
    </w:div>
    <w:div w:id="138112698">
      <w:bodyDiv w:val="1"/>
      <w:marLeft w:val="0"/>
      <w:marRight w:val="0"/>
      <w:marTop w:val="0"/>
      <w:marBottom w:val="0"/>
      <w:divBdr>
        <w:top w:val="none" w:sz="0" w:space="0" w:color="auto"/>
        <w:left w:val="none" w:sz="0" w:space="0" w:color="auto"/>
        <w:bottom w:val="none" w:sz="0" w:space="0" w:color="auto"/>
        <w:right w:val="none" w:sz="0" w:space="0" w:color="auto"/>
      </w:divBdr>
    </w:div>
    <w:div w:id="171142978">
      <w:bodyDiv w:val="1"/>
      <w:marLeft w:val="0"/>
      <w:marRight w:val="0"/>
      <w:marTop w:val="0"/>
      <w:marBottom w:val="0"/>
      <w:divBdr>
        <w:top w:val="none" w:sz="0" w:space="0" w:color="auto"/>
        <w:left w:val="none" w:sz="0" w:space="0" w:color="auto"/>
        <w:bottom w:val="none" w:sz="0" w:space="0" w:color="auto"/>
        <w:right w:val="none" w:sz="0" w:space="0" w:color="auto"/>
      </w:divBdr>
    </w:div>
    <w:div w:id="174420447">
      <w:bodyDiv w:val="1"/>
      <w:marLeft w:val="0"/>
      <w:marRight w:val="0"/>
      <w:marTop w:val="0"/>
      <w:marBottom w:val="0"/>
      <w:divBdr>
        <w:top w:val="none" w:sz="0" w:space="0" w:color="auto"/>
        <w:left w:val="none" w:sz="0" w:space="0" w:color="auto"/>
        <w:bottom w:val="none" w:sz="0" w:space="0" w:color="auto"/>
        <w:right w:val="none" w:sz="0" w:space="0" w:color="auto"/>
      </w:divBdr>
    </w:div>
    <w:div w:id="186723923">
      <w:bodyDiv w:val="1"/>
      <w:marLeft w:val="0"/>
      <w:marRight w:val="0"/>
      <w:marTop w:val="0"/>
      <w:marBottom w:val="0"/>
      <w:divBdr>
        <w:top w:val="none" w:sz="0" w:space="0" w:color="auto"/>
        <w:left w:val="none" w:sz="0" w:space="0" w:color="auto"/>
        <w:bottom w:val="none" w:sz="0" w:space="0" w:color="auto"/>
        <w:right w:val="none" w:sz="0" w:space="0" w:color="auto"/>
      </w:divBdr>
    </w:div>
    <w:div w:id="186800779">
      <w:bodyDiv w:val="1"/>
      <w:marLeft w:val="0"/>
      <w:marRight w:val="0"/>
      <w:marTop w:val="0"/>
      <w:marBottom w:val="0"/>
      <w:divBdr>
        <w:top w:val="none" w:sz="0" w:space="0" w:color="auto"/>
        <w:left w:val="none" w:sz="0" w:space="0" w:color="auto"/>
        <w:bottom w:val="none" w:sz="0" w:space="0" w:color="auto"/>
        <w:right w:val="none" w:sz="0" w:space="0" w:color="auto"/>
      </w:divBdr>
    </w:div>
    <w:div w:id="193232798">
      <w:bodyDiv w:val="1"/>
      <w:marLeft w:val="0"/>
      <w:marRight w:val="0"/>
      <w:marTop w:val="0"/>
      <w:marBottom w:val="0"/>
      <w:divBdr>
        <w:top w:val="none" w:sz="0" w:space="0" w:color="auto"/>
        <w:left w:val="none" w:sz="0" w:space="0" w:color="auto"/>
        <w:bottom w:val="none" w:sz="0" w:space="0" w:color="auto"/>
        <w:right w:val="none" w:sz="0" w:space="0" w:color="auto"/>
      </w:divBdr>
    </w:div>
    <w:div w:id="194999438">
      <w:bodyDiv w:val="1"/>
      <w:marLeft w:val="0"/>
      <w:marRight w:val="0"/>
      <w:marTop w:val="0"/>
      <w:marBottom w:val="0"/>
      <w:divBdr>
        <w:top w:val="none" w:sz="0" w:space="0" w:color="auto"/>
        <w:left w:val="none" w:sz="0" w:space="0" w:color="auto"/>
        <w:bottom w:val="none" w:sz="0" w:space="0" w:color="auto"/>
        <w:right w:val="none" w:sz="0" w:space="0" w:color="auto"/>
      </w:divBdr>
    </w:div>
    <w:div w:id="204677094">
      <w:bodyDiv w:val="1"/>
      <w:marLeft w:val="0"/>
      <w:marRight w:val="0"/>
      <w:marTop w:val="0"/>
      <w:marBottom w:val="0"/>
      <w:divBdr>
        <w:top w:val="none" w:sz="0" w:space="0" w:color="auto"/>
        <w:left w:val="none" w:sz="0" w:space="0" w:color="auto"/>
        <w:bottom w:val="none" w:sz="0" w:space="0" w:color="auto"/>
        <w:right w:val="none" w:sz="0" w:space="0" w:color="auto"/>
      </w:divBdr>
    </w:div>
    <w:div w:id="206264850">
      <w:bodyDiv w:val="1"/>
      <w:marLeft w:val="0"/>
      <w:marRight w:val="0"/>
      <w:marTop w:val="0"/>
      <w:marBottom w:val="0"/>
      <w:divBdr>
        <w:top w:val="none" w:sz="0" w:space="0" w:color="auto"/>
        <w:left w:val="none" w:sz="0" w:space="0" w:color="auto"/>
        <w:bottom w:val="none" w:sz="0" w:space="0" w:color="auto"/>
        <w:right w:val="none" w:sz="0" w:space="0" w:color="auto"/>
      </w:divBdr>
    </w:div>
    <w:div w:id="207768331">
      <w:bodyDiv w:val="1"/>
      <w:marLeft w:val="0"/>
      <w:marRight w:val="0"/>
      <w:marTop w:val="0"/>
      <w:marBottom w:val="0"/>
      <w:divBdr>
        <w:top w:val="none" w:sz="0" w:space="0" w:color="auto"/>
        <w:left w:val="none" w:sz="0" w:space="0" w:color="auto"/>
        <w:bottom w:val="none" w:sz="0" w:space="0" w:color="auto"/>
        <w:right w:val="none" w:sz="0" w:space="0" w:color="auto"/>
      </w:divBdr>
    </w:div>
    <w:div w:id="226233465">
      <w:bodyDiv w:val="1"/>
      <w:marLeft w:val="0"/>
      <w:marRight w:val="0"/>
      <w:marTop w:val="0"/>
      <w:marBottom w:val="0"/>
      <w:divBdr>
        <w:top w:val="none" w:sz="0" w:space="0" w:color="auto"/>
        <w:left w:val="none" w:sz="0" w:space="0" w:color="auto"/>
        <w:bottom w:val="none" w:sz="0" w:space="0" w:color="auto"/>
        <w:right w:val="none" w:sz="0" w:space="0" w:color="auto"/>
      </w:divBdr>
    </w:div>
    <w:div w:id="227233125">
      <w:bodyDiv w:val="1"/>
      <w:marLeft w:val="0"/>
      <w:marRight w:val="0"/>
      <w:marTop w:val="0"/>
      <w:marBottom w:val="0"/>
      <w:divBdr>
        <w:top w:val="none" w:sz="0" w:space="0" w:color="auto"/>
        <w:left w:val="none" w:sz="0" w:space="0" w:color="auto"/>
        <w:bottom w:val="none" w:sz="0" w:space="0" w:color="auto"/>
        <w:right w:val="none" w:sz="0" w:space="0" w:color="auto"/>
      </w:divBdr>
    </w:div>
    <w:div w:id="250741372">
      <w:bodyDiv w:val="1"/>
      <w:marLeft w:val="0"/>
      <w:marRight w:val="0"/>
      <w:marTop w:val="0"/>
      <w:marBottom w:val="0"/>
      <w:divBdr>
        <w:top w:val="none" w:sz="0" w:space="0" w:color="auto"/>
        <w:left w:val="none" w:sz="0" w:space="0" w:color="auto"/>
        <w:bottom w:val="none" w:sz="0" w:space="0" w:color="auto"/>
        <w:right w:val="none" w:sz="0" w:space="0" w:color="auto"/>
      </w:divBdr>
    </w:div>
    <w:div w:id="253058421">
      <w:bodyDiv w:val="1"/>
      <w:marLeft w:val="0"/>
      <w:marRight w:val="0"/>
      <w:marTop w:val="0"/>
      <w:marBottom w:val="0"/>
      <w:divBdr>
        <w:top w:val="none" w:sz="0" w:space="0" w:color="auto"/>
        <w:left w:val="none" w:sz="0" w:space="0" w:color="auto"/>
        <w:bottom w:val="none" w:sz="0" w:space="0" w:color="auto"/>
        <w:right w:val="none" w:sz="0" w:space="0" w:color="auto"/>
      </w:divBdr>
    </w:div>
    <w:div w:id="265701496">
      <w:bodyDiv w:val="1"/>
      <w:marLeft w:val="0"/>
      <w:marRight w:val="0"/>
      <w:marTop w:val="0"/>
      <w:marBottom w:val="0"/>
      <w:divBdr>
        <w:top w:val="none" w:sz="0" w:space="0" w:color="auto"/>
        <w:left w:val="none" w:sz="0" w:space="0" w:color="auto"/>
        <w:bottom w:val="none" w:sz="0" w:space="0" w:color="auto"/>
        <w:right w:val="none" w:sz="0" w:space="0" w:color="auto"/>
      </w:divBdr>
    </w:div>
    <w:div w:id="277102473">
      <w:bodyDiv w:val="1"/>
      <w:marLeft w:val="0"/>
      <w:marRight w:val="0"/>
      <w:marTop w:val="0"/>
      <w:marBottom w:val="0"/>
      <w:divBdr>
        <w:top w:val="none" w:sz="0" w:space="0" w:color="auto"/>
        <w:left w:val="none" w:sz="0" w:space="0" w:color="auto"/>
        <w:bottom w:val="none" w:sz="0" w:space="0" w:color="auto"/>
        <w:right w:val="none" w:sz="0" w:space="0" w:color="auto"/>
      </w:divBdr>
    </w:div>
    <w:div w:id="291252342">
      <w:bodyDiv w:val="1"/>
      <w:marLeft w:val="0"/>
      <w:marRight w:val="0"/>
      <w:marTop w:val="0"/>
      <w:marBottom w:val="0"/>
      <w:divBdr>
        <w:top w:val="none" w:sz="0" w:space="0" w:color="auto"/>
        <w:left w:val="none" w:sz="0" w:space="0" w:color="auto"/>
        <w:bottom w:val="none" w:sz="0" w:space="0" w:color="auto"/>
        <w:right w:val="none" w:sz="0" w:space="0" w:color="auto"/>
      </w:divBdr>
    </w:div>
    <w:div w:id="296225701">
      <w:bodyDiv w:val="1"/>
      <w:marLeft w:val="0"/>
      <w:marRight w:val="0"/>
      <w:marTop w:val="0"/>
      <w:marBottom w:val="0"/>
      <w:divBdr>
        <w:top w:val="none" w:sz="0" w:space="0" w:color="auto"/>
        <w:left w:val="none" w:sz="0" w:space="0" w:color="auto"/>
        <w:bottom w:val="none" w:sz="0" w:space="0" w:color="auto"/>
        <w:right w:val="none" w:sz="0" w:space="0" w:color="auto"/>
      </w:divBdr>
    </w:div>
    <w:div w:id="326712626">
      <w:bodyDiv w:val="1"/>
      <w:marLeft w:val="0"/>
      <w:marRight w:val="0"/>
      <w:marTop w:val="0"/>
      <w:marBottom w:val="0"/>
      <w:divBdr>
        <w:top w:val="none" w:sz="0" w:space="0" w:color="auto"/>
        <w:left w:val="none" w:sz="0" w:space="0" w:color="auto"/>
        <w:bottom w:val="none" w:sz="0" w:space="0" w:color="auto"/>
        <w:right w:val="none" w:sz="0" w:space="0" w:color="auto"/>
      </w:divBdr>
    </w:div>
    <w:div w:id="330569953">
      <w:bodyDiv w:val="1"/>
      <w:marLeft w:val="0"/>
      <w:marRight w:val="0"/>
      <w:marTop w:val="0"/>
      <w:marBottom w:val="0"/>
      <w:divBdr>
        <w:top w:val="none" w:sz="0" w:space="0" w:color="auto"/>
        <w:left w:val="none" w:sz="0" w:space="0" w:color="auto"/>
        <w:bottom w:val="none" w:sz="0" w:space="0" w:color="auto"/>
        <w:right w:val="none" w:sz="0" w:space="0" w:color="auto"/>
      </w:divBdr>
    </w:div>
    <w:div w:id="331686765">
      <w:bodyDiv w:val="1"/>
      <w:marLeft w:val="0"/>
      <w:marRight w:val="0"/>
      <w:marTop w:val="0"/>
      <w:marBottom w:val="0"/>
      <w:divBdr>
        <w:top w:val="none" w:sz="0" w:space="0" w:color="auto"/>
        <w:left w:val="none" w:sz="0" w:space="0" w:color="auto"/>
        <w:bottom w:val="none" w:sz="0" w:space="0" w:color="auto"/>
        <w:right w:val="none" w:sz="0" w:space="0" w:color="auto"/>
      </w:divBdr>
    </w:div>
    <w:div w:id="348676116">
      <w:bodyDiv w:val="1"/>
      <w:marLeft w:val="0"/>
      <w:marRight w:val="0"/>
      <w:marTop w:val="0"/>
      <w:marBottom w:val="0"/>
      <w:divBdr>
        <w:top w:val="none" w:sz="0" w:space="0" w:color="auto"/>
        <w:left w:val="none" w:sz="0" w:space="0" w:color="auto"/>
        <w:bottom w:val="none" w:sz="0" w:space="0" w:color="auto"/>
        <w:right w:val="none" w:sz="0" w:space="0" w:color="auto"/>
      </w:divBdr>
    </w:div>
    <w:div w:id="365184896">
      <w:bodyDiv w:val="1"/>
      <w:marLeft w:val="0"/>
      <w:marRight w:val="0"/>
      <w:marTop w:val="0"/>
      <w:marBottom w:val="0"/>
      <w:divBdr>
        <w:top w:val="none" w:sz="0" w:space="0" w:color="auto"/>
        <w:left w:val="none" w:sz="0" w:space="0" w:color="auto"/>
        <w:bottom w:val="none" w:sz="0" w:space="0" w:color="auto"/>
        <w:right w:val="none" w:sz="0" w:space="0" w:color="auto"/>
      </w:divBdr>
    </w:div>
    <w:div w:id="366762932">
      <w:bodyDiv w:val="1"/>
      <w:marLeft w:val="0"/>
      <w:marRight w:val="0"/>
      <w:marTop w:val="0"/>
      <w:marBottom w:val="0"/>
      <w:divBdr>
        <w:top w:val="none" w:sz="0" w:space="0" w:color="auto"/>
        <w:left w:val="none" w:sz="0" w:space="0" w:color="auto"/>
        <w:bottom w:val="none" w:sz="0" w:space="0" w:color="auto"/>
        <w:right w:val="none" w:sz="0" w:space="0" w:color="auto"/>
      </w:divBdr>
    </w:div>
    <w:div w:id="385032942">
      <w:bodyDiv w:val="1"/>
      <w:marLeft w:val="0"/>
      <w:marRight w:val="0"/>
      <w:marTop w:val="0"/>
      <w:marBottom w:val="0"/>
      <w:divBdr>
        <w:top w:val="none" w:sz="0" w:space="0" w:color="auto"/>
        <w:left w:val="none" w:sz="0" w:space="0" w:color="auto"/>
        <w:bottom w:val="none" w:sz="0" w:space="0" w:color="auto"/>
        <w:right w:val="none" w:sz="0" w:space="0" w:color="auto"/>
      </w:divBdr>
      <w:divsChild>
        <w:div w:id="71828036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723258">
          <w:blockQuote w:val="1"/>
          <w:marLeft w:val="720"/>
          <w:marRight w:val="720"/>
          <w:marTop w:val="100"/>
          <w:marBottom w:val="100"/>
          <w:divBdr>
            <w:top w:val="none" w:sz="0" w:space="0" w:color="auto"/>
            <w:left w:val="none" w:sz="0" w:space="0" w:color="auto"/>
            <w:bottom w:val="none" w:sz="0" w:space="0" w:color="auto"/>
            <w:right w:val="none" w:sz="0" w:space="0" w:color="auto"/>
          </w:divBdr>
        </w:div>
        <w:div w:id="426583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065276">
          <w:blockQuote w:val="1"/>
          <w:marLeft w:val="720"/>
          <w:marRight w:val="720"/>
          <w:marTop w:val="100"/>
          <w:marBottom w:val="100"/>
          <w:divBdr>
            <w:top w:val="none" w:sz="0" w:space="0" w:color="auto"/>
            <w:left w:val="none" w:sz="0" w:space="0" w:color="auto"/>
            <w:bottom w:val="none" w:sz="0" w:space="0" w:color="auto"/>
            <w:right w:val="none" w:sz="0" w:space="0" w:color="auto"/>
          </w:divBdr>
        </w:div>
        <w:div w:id="458376718">
          <w:blockQuote w:val="1"/>
          <w:marLeft w:val="720"/>
          <w:marRight w:val="720"/>
          <w:marTop w:val="100"/>
          <w:marBottom w:val="100"/>
          <w:divBdr>
            <w:top w:val="none" w:sz="0" w:space="0" w:color="auto"/>
            <w:left w:val="none" w:sz="0" w:space="0" w:color="auto"/>
            <w:bottom w:val="none" w:sz="0" w:space="0" w:color="auto"/>
            <w:right w:val="none" w:sz="0" w:space="0" w:color="auto"/>
          </w:divBdr>
        </w:div>
        <w:div w:id="892085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99918">
      <w:bodyDiv w:val="1"/>
      <w:marLeft w:val="0"/>
      <w:marRight w:val="0"/>
      <w:marTop w:val="0"/>
      <w:marBottom w:val="0"/>
      <w:divBdr>
        <w:top w:val="none" w:sz="0" w:space="0" w:color="auto"/>
        <w:left w:val="none" w:sz="0" w:space="0" w:color="auto"/>
        <w:bottom w:val="none" w:sz="0" w:space="0" w:color="auto"/>
        <w:right w:val="none" w:sz="0" w:space="0" w:color="auto"/>
      </w:divBdr>
    </w:div>
    <w:div w:id="426315088">
      <w:bodyDiv w:val="1"/>
      <w:marLeft w:val="0"/>
      <w:marRight w:val="0"/>
      <w:marTop w:val="0"/>
      <w:marBottom w:val="0"/>
      <w:divBdr>
        <w:top w:val="none" w:sz="0" w:space="0" w:color="auto"/>
        <w:left w:val="none" w:sz="0" w:space="0" w:color="auto"/>
        <w:bottom w:val="none" w:sz="0" w:space="0" w:color="auto"/>
        <w:right w:val="none" w:sz="0" w:space="0" w:color="auto"/>
      </w:divBdr>
      <w:divsChild>
        <w:div w:id="342360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78225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6415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2862126">
          <w:blockQuote w:val="1"/>
          <w:marLeft w:val="720"/>
          <w:marRight w:val="720"/>
          <w:marTop w:val="100"/>
          <w:marBottom w:val="100"/>
          <w:divBdr>
            <w:top w:val="none" w:sz="0" w:space="0" w:color="auto"/>
            <w:left w:val="none" w:sz="0" w:space="0" w:color="auto"/>
            <w:bottom w:val="none" w:sz="0" w:space="0" w:color="auto"/>
            <w:right w:val="none" w:sz="0" w:space="0" w:color="auto"/>
          </w:divBdr>
        </w:div>
        <w:div w:id="752822894">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49449">
      <w:bodyDiv w:val="1"/>
      <w:marLeft w:val="0"/>
      <w:marRight w:val="0"/>
      <w:marTop w:val="0"/>
      <w:marBottom w:val="0"/>
      <w:divBdr>
        <w:top w:val="none" w:sz="0" w:space="0" w:color="auto"/>
        <w:left w:val="none" w:sz="0" w:space="0" w:color="auto"/>
        <w:bottom w:val="none" w:sz="0" w:space="0" w:color="auto"/>
        <w:right w:val="none" w:sz="0" w:space="0" w:color="auto"/>
      </w:divBdr>
    </w:div>
    <w:div w:id="482281986">
      <w:bodyDiv w:val="1"/>
      <w:marLeft w:val="0"/>
      <w:marRight w:val="0"/>
      <w:marTop w:val="0"/>
      <w:marBottom w:val="0"/>
      <w:divBdr>
        <w:top w:val="none" w:sz="0" w:space="0" w:color="auto"/>
        <w:left w:val="none" w:sz="0" w:space="0" w:color="auto"/>
        <w:bottom w:val="none" w:sz="0" w:space="0" w:color="auto"/>
        <w:right w:val="none" w:sz="0" w:space="0" w:color="auto"/>
      </w:divBdr>
      <w:divsChild>
        <w:div w:id="1111129795">
          <w:marLeft w:val="0"/>
          <w:marRight w:val="0"/>
          <w:marTop w:val="300"/>
          <w:marBottom w:val="300"/>
          <w:divBdr>
            <w:top w:val="none" w:sz="0" w:space="0" w:color="auto"/>
            <w:left w:val="none" w:sz="0" w:space="0" w:color="auto"/>
            <w:bottom w:val="none" w:sz="0" w:space="0" w:color="auto"/>
            <w:right w:val="none" w:sz="0" w:space="0" w:color="auto"/>
          </w:divBdr>
          <w:divsChild>
            <w:div w:id="896475030">
              <w:marLeft w:val="0"/>
              <w:marRight w:val="0"/>
              <w:marTop w:val="0"/>
              <w:marBottom w:val="0"/>
              <w:divBdr>
                <w:top w:val="none" w:sz="0" w:space="0" w:color="auto"/>
                <w:left w:val="none" w:sz="0" w:space="0" w:color="auto"/>
                <w:bottom w:val="none" w:sz="0" w:space="0" w:color="auto"/>
                <w:right w:val="none" w:sz="0" w:space="0" w:color="auto"/>
              </w:divBdr>
            </w:div>
            <w:div w:id="1020081545">
              <w:marLeft w:val="0"/>
              <w:marRight w:val="0"/>
              <w:marTop w:val="0"/>
              <w:marBottom w:val="0"/>
              <w:divBdr>
                <w:top w:val="none" w:sz="0" w:space="0" w:color="auto"/>
                <w:left w:val="none" w:sz="0" w:space="0" w:color="auto"/>
                <w:bottom w:val="none" w:sz="0" w:space="0" w:color="auto"/>
                <w:right w:val="none" w:sz="0" w:space="0" w:color="auto"/>
              </w:divBdr>
            </w:div>
            <w:div w:id="1593584706">
              <w:marLeft w:val="0"/>
              <w:marRight w:val="0"/>
              <w:marTop w:val="0"/>
              <w:marBottom w:val="0"/>
              <w:divBdr>
                <w:top w:val="none" w:sz="0" w:space="0" w:color="auto"/>
                <w:left w:val="none" w:sz="0" w:space="0" w:color="auto"/>
                <w:bottom w:val="none" w:sz="0" w:space="0" w:color="auto"/>
                <w:right w:val="none" w:sz="0" w:space="0" w:color="auto"/>
              </w:divBdr>
            </w:div>
            <w:div w:id="1604655334">
              <w:marLeft w:val="0"/>
              <w:marRight w:val="0"/>
              <w:marTop w:val="0"/>
              <w:marBottom w:val="0"/>
              <w:divBdr>
                <w:top w:val="none" w:sz="0" w:space="0" w:color="auto"/>
                <w:left w:val="none" w:sz="0" w:space="0" w:color="auto"/>
                <w:bottom w:val="none" w:sz="0" w:space="0" w:color="auto"/>
                <w:right w:val="none" w:sz="0" w:space="0" w:color="auto"/>
              </w:divBdr>
            </w:div>
            <w:div w:id="1738163066">
              <w:marLeft w:val="0"/>
              <w:marRight w:val="0"/>
              <w:marTop w:val="0"/>
              <w:marBottom w:val="0"/>
              <w:divBdr>
                <w:top w:val="none" w:sz="0" w:space="0" w:color="auto"/>
                <w:left w:val="none" w:sz="0" w:space="0" w:color="auto"/>
                <w:bottom w:val="none" w:sz="0" w:space="0" w:color="auto"/>
                <w:right w:val="none" w:sz="0" w:space="0" w:color="auto"/>
              </w:divBdr>
            </w:div>
          </w:divsChild>
        </w:div>
        <w:div w:id="1965036011">
          <w:marLeft w:val="0"/>
          <w:marRight w:val="0"/>
          <w:marTop w:val="300"/>
          <w:marBottom w:val="300"/>
          <w:divBdr>
            <w:top w:val="none" w:sz="0" w:space="0" w:color="auto"/>
            <w:left w:val="none" w:sz="0" w:space="0" w:color="auto"/>
            <w:bottom w:val="none" w:sz="0" w:space="0" w:color="auto"/>
            <w:right w:val="none" w:sz="0" w:space="0" w:color="auto"/>
          </w:divBdr>
          <w:divsChild>
            <w:div w:id="88738183">
              <w:marLeft w:val="0"/>
              <w:marRight w:val="0"/>
              <w:marTop w:val="0"/>
              <w:marBottom w:val="0"/>
              <w:divBdr>
                <w:top w:val="none" w:sz="0" w:space="0" w:color="auto"/>
                <w:left w:val="none" w:sz="0" w:space="0" w:color="auto"/>
                <w:bottom w:val="none" w:sz="0" w:space="0" w:color="auto"/>
                <w:right w:val="none" w:sz="0" w:space="0" w:color="auto"/>
              </w:divBdr>
            </w:div>
            <w:div w:id="291252062">
              <w:marLeft w:val="0"/>
              <w:marRight w:val="0"/>
              <w:marTop w:val="0"/>
              <w:marBottom w:val="0"/>
              <w:divBdr>
                <w:top w:val="none" w:sz="0" w:space="0" w:color="auto"/>
                <w:left w:val="none" w:sz="0" w:space="0" w:color="auto"/>
                <w:bottom w:val="none" w:sz="0" w:space="0" w:color="auto"/>
                <w:right w:val="none" w:sz="0" w:space="0" w:color="auto"/>
              </w:divBdr>
            </w:div>
            <w:div w:id="322896954">
              <w:marLeft w:val="0"/>
              <w:marRight w:val="0"/>
              <w:marTop w:val="0"/>
              <w:marBottom w:val="0"/>
              <w:divBdr>
                <w:top w:val="none" w:sz="0" w:space="0" w:color="auto"/>
                <w:left w:val="none" w:sz="0" w:space="0" w:color="auto"/>
                <w:bottom w:val="none" w:sz="0" w:space="0" w:color="auto"/>
                <w:right w:val="none" w:sz="0" w:space="0" w:color="auto"/>
              </w:divBdr>
            </w:div>
            <w:div w:id="703359947">
              <w:marLeft w:val="0"/>
              <w:marRight w:val="0"/>
              <w:marTop w:val="0"/>
              <w:marBottom w:val="0"/>
              <w:divBdr>
                <w:top w:val="none" w:sz="0" w:space="0" w:color="auto"/>
                <w:left w:val="none" w:sz="0" w:space="0" w:color="auto"/>
                <w:bottom w:val="none" w:sz="0" w:space="0" w:color="auto"/>
                <w:right w:val="none" w:sz="0" w:space="0" w:color="auto"/>
              </w:divBdr>
            </w:div>
            <w:div w:id="882332851">
              <w:marLeft w:val="0"/>
              <w:marRight w:val="0"/>
              <w:marTop w:val="0"/>
              <w:marBottom w:val="0"/>
              <w:divBdr>
                <w:top w:val="none" w:sz="0" w:space="0" w:color="auto"/>
                <w:left w:val="none" w:sz="0" w:space="0" w:color="auto"/>
                <w:bottom w:val="none" w:sz="0" w:space="0" w:color="auto"/>
                <w:right w:val="none" w:sz="0" w:space="0" w:color="auto"/>
              </w:divBdr>
            </w:div>
            <w:div w:id="1063673245">
              <w:marLeft w:val="0"/>
              <w:marRight w:val="0"/>
              <w:marTop w:val="0"/>
              <w:marBottom w:val="0"/>
              <w:divBdr>
                <w:top w:val="none" w:sz="0" w:space="0" w:color="auto"/>
                <w:left w:val="none" w:sz="0" w:space="0" w:color="auto"/>
                <w:bottom w:val="none" w:sz="0" w:space="0" w:color="auto"/>
                <w:right w:val="none" w:sz="0" w:space="0" w:color="auto"/>
              </w:divBdr>
            </w:div>
            <w:div w:id="1182013139">
              <w:marLeft w:val="0"/>
              <w:marRight w:val="0"/>
              <w:marTop w:val="0"/>
              <w:marBottom w:val="0"/>
              <w:divBdr>
                <w:top w:val="none" w:sz="0" w:space="0" w:color="auto"/>
                <w:left w:val="none" w:sz="0" w:space="0" w:color="auto"/>
                <w:bottom w:val="none" w:sz="0" w:space="0" w:color="auto"/>
                <w:right w:val="none" w:sz="0" w:space="0" w:color="auto"/>
              </w:divBdr>
            </w:div>
            <w:div w:id="19774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28539">
      <w:bodyDiv w:val="1"/>
      <w:marLeft w:val="0"/>
      <w:marRight w:val="0"/>
      <w:marTop w:val="0"/>
      <w:marBottom w:val="0"/>
      <w:divBdr>
        <w:top w:val="none" w:sz="0" w:space="0" w:color="auto"/>
        <w:left w:val="none" w:sz="0" w:space="0" w:color="auto"/>
        <w:bottom w:val="none" w:sz="0" w:space="0" w:color="auto"/>
        <w:right w:val="none" w:sz="0" w:space="0" w:color="auto"/>
      </w:divBdr>
    </w:div>
    <w:div w:id="510142265">
      <w:bodyDiv w:val="1"/>
      <w:marLeft w:val="0"/>
      <w:marRight w:val="0"/>
      <w:marTop w:val="0"/>
      <w:marBottom w:val="0"/>
      <w:divBdr>
        <w:top w:val="none" w:sz="0" w:space="0" w:color="auto"/>
        <w:left w:val="none" w:sz="0" w:space="0" w:color="auto"/>
        <w:bottom w:val="none" w:sz="0" w:space="0" w:color="auto"/>
        <w:right w:val="none" w:sz="0" w:space="0" w:color="auto"/>
      </w:divBdr>
    </w:div>
    <w:div w:id="526021272">
      <w:bodyDiv w:val="1"/>
      <w:marLeft w:val="0"/>
      <w:marRight w:val="0"/>
      <w:marTop w:val="0"/>
      <w:marBottom w:val="0"/>
      <w:divBdr>
        <w:top w:val="none" w:sz="0" w:space="0" w:color="auto"/>
        <w:left w:val="none" w:sz="0" w:space="0" w:color="auto"/>
        <w:bottom w:val="none" w:sz="0" w:space="0" w:color="auto"/>
        <w:right w:val="none" w:sz="0" w:space="0" w:color="auto"/>
      </w:divBdr>
    </w:div>
    <w:div w:id="539786586">
      <w:bodyDiv w:val="1"/>
      <w:marLeft w:val="0"/>
      <w:marRight w:val="0"/>
      <w:marTop w:val="0"/>
      <w:marBottom w:val="0"/>
      <w:divBdr>
        <w:top w:val="none" w:sz="0" w:space="0" w:color="auto"/>
        <w:left w:val="none" w:sz="0" w:space="0" w:color="auto"/>
        <w:bottom w:val="none" w:sz="0" w:space="0" w:color="auto"/>
        <w:right w:val="none" w:sz="0" w:space="0" w:color="auto"/>
      </w:divBdr>
    </w:div>
    <w:div w:id="559950634">
      <w:bodyDiv w:val="1"/>
      <w:marLeft w:val="0"/>
      <w:marRight w:val="0"/>
      <w:marTop w:val="0"/>
      <w:marBottom w:val="0"/>
      <w:divBdr>
        <w:top w:val="none" w:sz="0" w:space="0" w:color="auto"/>
        <w:left w:val="none" w:sz="0" w:space="0" w:color="auto"/>
        <w:bottom w:val="none" w:sz="0" w:space="0" w:color="auto"/>
        <w:right w:val="none" w:sz="0" w:space="0" w:color="auto"/>
      </w:divBdr>
      <w:divsChild>
        <w:div w:id="1587879579">
          <w:marLeft w:val="0"/>
          <w:marRight w:val="0"/>
          <w:marTop w:val="0"/>
          <w:marBottom w:val="0"/>
          <w:divBdr>
            <w:top w:val="none" w:sz="0" w:space="0" w:color="auto"/>
            <w:left w:val="none" w:sz="0" w:space="0" w:color="auto"/>
            <w:bottom w:val="none" w:sz="0" w:space="0" w:color="auto"/>
            <w:right w:val="none" w:sz="0" w:space="0" w:color="auto"/>
          </w:divBdr>
        </w:div>
      </w:divsChild>
    </w:div>
    <w:div w:id="606011475">
      <w:bodyDiv w:val="1"/>
      <w:marLeft w:val="0"/>
      <w:marRight w:val="0"/>
      <w:marTop w:val="0"/>
      <w:marBottom w:val="0"/>
      <w:divBdr>
        <w:top w:val="none" w:sz="0" w:space="0" w:color="auto"/>
        <w:left w:val="none" w:sz="0" w:space="0" w:color="auto"/>
        <w:bottom w:val="none" w:sz="0" w:space="0" w:color="auto"/>
        <w:right w:val="none" w:sz="0" w:space="0" w:color="auto"/>
      </w:divBdr>
    </w:div>
    <w:div w:id="609434536">
      <w:bodyDiv w:val="1"/>
      <w:marLeft w:val="0"/>
      <w:marRight w:val="0"/>
      <w:marTop w:val="0"/>
      <w:marBottom w:val="0"/>
      <w:divBdr>
        <w:top w:val="none" w:sz="0" w:space="0" w:color="auto"/>
        <w:left w:val="none" w:sz="0" w:space="0" w:color="auto"/>
        <w:bottom w:val="none" w:sz="0" w:space="0" w:color="auto"/>
        <w:right w:val="none" w:sz="0" w:space="0" w:color="auto"/>
      </w:divBdr>
    </w:div>
    <w:div w:id="620111486">
      <w:bodyDiv w:val="1"/>
      <w:marLeft w:val="0"/>
      <w:marRight w:val="0"/>
      <w:marTop w:val="0"/>
      <w:marBottom w:val="0"/>
      <w:divBdr>
        <w:top w:val="none" w:sz="0" w:space="0" w:color="auto"/>
        <w:left w:val="none" w:sz="0" w:space="0" w:color="auto"/>
        <w:bottom w:val="none" w:sz="0" w:space="0" w:color="auto"/>
        <w:right w:val="none" w:sz="0" w:space="0" w:color="auto"/>
      </w:divBdr>
    </w:div>
    <w:div w:id="649749613">
      <w:bodyDiv w:val="1"/>
      <w:marLeft w:val="0"/>
      <w:marRight w:val="0"/>
      <w:marTop w:val="0"/>
      <w:marBottom w:val="0"/>
      <w:divBdr>
        <w:top w:val="none" w:sz="0" w:space="0" w:color="auto"/>
        <w:left w:val="none" w:sz="0" w:space="0" w:color="auto"/>
        <w:bottom w:val="none" w:sz="0" w:space="0" w:color="auto"/>
        <w:right w:val="none" w:sz="0" w:space="0" w:color="auto"/>
      </w:divBdr>
    </w:div>
    <w:div w:id="676268317">
      <w:bodyDiv w:val="1"/>
      <w:marLeft w:val="0"/>
      <w:marRight w:val="0"/>
      <w:marTop w:val="0"/>
      <w:marBottom w:val="0"/>
      <w:divBdr>
        <w:top w:val="none" w:sz="0" w:space="0" w:color="auto"/>
        <w:left w:val="none" w:sz="0" w:space="0" w:color="auto"/>
        <w:bottom w:val="none" w:sz="0" w:space="0" w:color="auto"/>
        <w:right w:val="none" w:sz="0" w:space="0" w:color="auto"/>
      </w:divBdr>
    </w:div>
    <w:div w:id="680934717">
      <w:bodyDiv w:val="1"/>
      <w:marLeft w:val="0"/>
      <w:marRight w:val="0"/>
      <w:marTop w:val="0"/>
      <w:marBottom w:val="0"/>
      <w:divBdr>
        <w:top w:val="none" w:sz="0" w:space="0" w:color="auto"/>
        <w:left w:val="none" w:sz="0" w:space="0" w:color="auto"/>
        <w:bottom w:val="none" w:sz="0" w:space="0" w:color="auto"/>
        <w:right w:val="none" w:sz="0" w:space="0" w:color="auto"/>
      </w:divBdr>
    </w:div>
    <w:div w:id="685522603">
      <w:bodyDiv w:val="1"/>
      <w:marLeft w:val="0"/>
      <w:marRight w:val="0"/>
      <w:marTop w:val="0"/>
      <w:marBottom w:val="0"/>
      <w:divBdr>
        <w:top w:val="none" w:sz="0" w:space="0" w:color="auto"/>
        <w:left w:val="none" w:sz="0" w:space="0" w:color="auto"/>
        <w:bottom w:val="none" w:sz="0" w:space="0" w:color="auto"/>
        <w:right w:val="none" w:sz="0" w:space="0" w:color="auto"/>
      </w:divBdr>
    </w:div>
    <w:div w:id="687104156">
      <w:bodyDiv w:val="1"/>
      <w:marLeft w:val="0"/>
      <w:marRight w:val="0"/>
      <w:marTop w:val="0"/>
      <w:marBottom w:val="0"/>
      <w:divBdr>
        <w:top w:val="none" w:sz="0" w:space="0" w:color="auto"/>
        <w:left w:val="none" w:sz="0" w:space="0" w:color="auto"/>
        <w:bottom w:val="none" w:sz="0" w:space="0" w:color="auto"/>
        <w:right w:val="none" w:sz="0" w:space="0" w:color="auto"/>
      </w:divBdr>
    </w:div>
    <w:div w:id="688919122">
      <w:bodyDiv w:val="1"/>
      <w:marLeft w:val="0"/>
      <w:marRight w:val="0"/>
      <w:marTop w:val="0"/>
      <w:marBottom w:val="0"/>
      <w:divBdr>
        <w:top w:val="none" w:sz="0" w:space="0" w:color="auto"/>
        <w:left w:val="none" w:sz="0" w:space="0" w:color="auto"/>
        <w:bottom w:val="none" w:sz="0" w:space="0" w:color="auto"/>
        <w:right w:val="none" w:sz="0" w:space="0" w:color="auto"/>
      </w:divBdr>
    </w:div>
    <w:div w:id="712927493">
      <w:bodyDiv w:val="1"/>
      <w:marLeft w:val="0"/>
      <w:marRight w:val="0"/>
      <w:marTop w:val="0"/>
      <w:marBottom w:val="0"/>
      <w:divBdr>
        <w:top w:val="none" w:sz="0" w:space="0" w:color="auto"/>
        <w:left w:val="none" w:sz="0" w:space="0" w:color="auto"/>
        <w:bottom w:val="none" w:sz="0" w:space="0" w:color="auto"/>
        <w:right w:val="none" w:sz="0" w:space="0" w:color="auto"/>
      </w:divBdr>
      <w:divsChild>
        <w:div w:id="1528103293">
          <w:marLeft w:val="0"/>
          <w:marRight w:val="0"/>
          <w:marTop w:val="0"/>
          <w:marBottom w:val="0"/>
          <w:divBdr>
            <w:top w:val="none" w:sz="0" w:space="0" w:color="auto"/>
            <w:left w:val="none" w:sz="0" w:space="0" w:color="auto"/>
            <w:bottom w:val="none" w:sz="0" w:space="0" w:color="auto"/>
            <w:right w:val="none" w:sz="0" w:space="0" w:color="auto"/>
          </w:divBdr>
        </w:div>
      </w:divsChild>
    </w:div>
    <w:div w:id="765463436">
      <w:bodyDiv w:val="1"/>
      <w:marLeft w:val="0"/>
      <w:marRight w:val="0"/>
      <w:marTop w:val="0"/>
      <w:marBottom w:val="0"/>
      <w:divBdr>
        <w:top w:val="none" w:sz="0" w:space="0" w:color="auto"/>
        <w:left w:val="none" w:sz="0" w:space="0" w:color="auto"/>
        <w:bottom w:val="none" w:sz="0" w:space="0" w:color="auto"/>
        <w:right w:val="none" w:sz="0" w:space="0" w:color="auto"/>
      </w:divBdr>
      <w:divsChild>
        <w:div w:id="1573464088">
          <w:marLeft w:val="0"/>
          <w:marRight w:val="0"/>
          <w:marTop w:val="0"/>
          <w:marBottom w:val="0"/>
          <w:divBdr>
            <w:top w:val="none" w:sz="0" w:space="0" w:color="auto"/>
            <w:left w:val="none" w:sz="0" w:space="0" w:color="auto"/>
            <w:bottom w:val="none" w:sz="0" w:space="0" w:color="auto"/>
            <w:right w:val="none" w:sz="0" w:space="0" w:color="auto"/>
          </w:divBdr>
        </w:div>
      </w:divsChild>
    </w:div>
    <w:div w:id="775172064">
      <w:bodyDiv w:val="1"/>
      <w:marLeft w:val="0"/>
      <w:marRight w:val="0"/>
      <w:marTop w:val="0"/>
      <w:marBottom w:val="0"/>
      <w:divBdr>
        <w:top w:val="none" w:sz="0" w:space="0" w:color="auto"/>
        <w:left w:val="none" w:sz="0" w:space="0" w:color="auto"/>
        <w:bottom w:val="none" w:sz="0" w:space="0" w:color="auto"/>
        <w:right w:val="none" w:sz="0" w:space="0" w:color="auto"/>
      </w:divBdr>
    </w:div>
    <w:div w:id="776169818">
      <w:bodyDiv w:val="1"/>
      <w:marLeft w:val="0"/>
      <w:marRight w:val="0"/>
      <w:marTop w:val="0"/>
      <w:marBottom w:val="0"/>
      <w:divBdr>
        <w:top w:val="none" w:sz="0" w:space="0" w:color="auto"/>
        <w:left w:val="none" w:sz="0" w:space="0" w:color="auto"/>
        <w:bottom w:val="none" w:sz="0" w:space="0" w:color="auto"/>
        <w:right w:val="none" w:sz="0" w:space="0" w:color="auto"/>
      </w:divBdr>
      <w:divsChild>
        <w:div w:id="1059598767">
          <w:marLeft w:val="0"/>
          <w:marRight w:val="0"/>
          <w:marTop w:val="0"/>
          <w:marBottom w:val="0"/>
          <w:divBdr>
            <w:top w:val="none" w:sz="0" w:space="0" w:color="auto"/>
            <w:left w:val="none" w:sz="0" w:space="0" w:color="auto"/>
            <w:bottom w:val="none" w:sz="0" w:space="0" w:color="auto"/>
            <w:right w:val="none" w:sz="0" w:space="0" w:color="auto"/>
          </w:divBdr>
        </w:div>
      </w:divsChild>
    </w:div>
    <w:div w:id="781266647">
      <w:bodyDiv w:val="1"/>
      <w:marLeft w:val="0"/>
      <w:marRight w:val="0"/>
      <w:marTop w:val="0"/>
      <w:marBottom w:val="0"/>
      <w:divBdr>
        <w:top w:val="none" w:sz="0" w:space="0" w:color="auto"/>
        <w:left w:val="none" w:sz="0" w:space="0" w:color="auto"/>
        <w:bottom w:val="none" w:sz="0" w:space="0" w:color="auto"/>
        <w:right w:val="none" w:sz="0" w:space="0" w:color="auto"/>
      </w:divBdr>
    </w:div>
    <w:div w:id="784691916">
      <w:bodyDiv w:val="1"/>
      <w:marLeft w:val="0"/>
      <w:marRight w:val="0"/>
      <w:marTop w:val="0"/>
      <w:marBottom w:val="0"/>
      <w:divBdr>
        <w:top w:val="none" w:sz="0" w:space="0" w:color="auto"/>
        <w:left w:val="none" w:sz="0" w:space="0" w:color="auto"/>
        <w:bottom w:val="none" w:sz="0" w:space="0" w:color="auto"/>
        <w:right w:val="none" w:sz="0" w:space="0" w:color="auto"/>
      </w:divBdr>
    </w:div>
    <w:div w:id="787357191">
      <w:bodyDiv w:val="1"/>
      <w:marLeft w:val="0"/>
      <w:marRight w:val="0"/>
      <w:marTop w:val="0"/>
      <w:marBottom w:val="0"/>
      <w:divBdr>
        <w:top w:val="none" w:sz="0" w:space="0" w:color="auto"/>
        <w:left w:val="none" w:sz="0" w:space="0" w:color="auto"/>
        <w:bottom w:val="none" w:sz="0" w:space="0" w:color="auto"/>
        <w:right w:val="none" w:sz="0" w:space="0" w:color="auto"/>
      </w:divBdr>
    </w:div>
    <w:div w:id="795490386">
      <w:bodyDiv w:val="1"/>
      <w:marLeft w:val="0"/>
      <w:marRight w:val="0"/>
      <w:marTop w:val="0"/>
      <w:marBottom w:val="0"/>
      <w:divBdr>
        <w:top w:val="none" w:sz="0" w:space="0" w:color="auto"/>
        <w:left w:val="none" w:sz="0" w:space="0" w:color="auto"/>
        <w:bottom w:val="none" w:sz="0" w:space="0" w:color="auto"/>
        <w:right w:val="none" w:sz="0" w:space="0" w:color="auto"/>
      </w:divBdr>
    </w:div>
    <w:div w:id="801389587">
      <w:bodyDiv w:val="1"/>
      <w:marLeft w:val="0"/>
      <w:marRight w:val="0"/>
      <w:marTop w:val="0"/>
      <w:marBottom w:val="0"/>
      <w:divBdr>
        <w:top w:val="none" w:sz="0" w:space="0" w:color="auto"/>
        <w:left w:val="none" w:sz="0" w:space="0" w:color="auto"/>
        <w:bottom w:val="none" w:sz="0" w:space="0" w:color="auto"/>
        <w:right w:val="none" w:sz="0" w:space="0" w:color="auto"/>
      </w:divBdr>
    </w:div>
    <w:div w:id="802963183">
      <w:bodyDiv w:val="1"/>
      <w:marLeft w:val="0"/>
      <w:marRight w:val="0"/>
      <w:marTop w:val="0"/>
      <w:marBottom w:val="0"/>
      <w:divBdr>
        <w:top w:val="none" w:sz="0" w:space="0" w:color="auto"/>
        <w:left w:val="none" w:sz="0" w:space="0" w:color="auto"/>
        <w:bottom w:val="none" w:sz="0" w:space="0" w:color="auto"/>
        <w:right w:val="none" w:sz="0" w:space="0" w:color="auto"/>
      </w:divBdr>
    </w:div>
    <w:div w:id="805508978">
      <w:bodyDiv w:val="1"/>
      <w:marLeft w:val="0"/>
      <w:marRight w:val="0"/>
      <w:marTop w:val="0"/>
      <w:marBottom w:val="0"/>
      <w:divBdr>
        <w:top w:val="none" w:sz="0" w:space="0" w:color="auto"/>
        <w:left w:val="none" w:sz="0" w:space="0" w:color="auto"/>
        <w:bottom w:val="none" w:sz="0" w:space="0" w:color="auto"/>
        <w:right w:val="none" w:sz="0" w:space="0" w:color="auto"/>
      </w:divBdr>
    </w:div>
    <w:div w:id="855657494">
      <w:bodyDiv w:val="1"/>
      <w:marLeft w:val="0"/>
      <w:marRight w:val="0"/>
      <w:marTop w:val="0"/>
      <w:marBottom w:val="0"/>
      <w:divBdr>
        <w:top w:val="none" w:sz="0" w:space="0" w:color="auto"/>
        <w:left w:val="none" w:sz="0" w:space="0" w:color="auto"/>
        <w:bottom w:val="none" w:sz="0" w:space="0" w:color="auto"/>
        <w:right w:val="none" w:sz="0" w:space="0" w:color="auto"/>
      </w:divBdr>
    </w:div>
    <w:div w:id="905259193">
      <w:bodyDiv w:val="1"/>
      <w:marLeft w:val="0"/>
      <w:marRight w:val="0"/>
      <w:marTop w:val="0"/>
      <w:marBottom w:val="0"/>
      <w:divBdr>
        <w:top w:val="none" w:sz="0" w:space="0" w:color="auto"/>
        <w:left w:val="none" w:sz="0" w:space="0" w:color="auto"/>
        <w:bottom w:val="none" w:sz="0" w:space="0" w:color="auto"/>
        <w:right w:val="none" w:sz="0" w:space="0" w:color="auto"/>
      </w:divBdr>
    </w:div>
    <w:div w:id="914826951">
      <w:bodyDiv w:val="1"/>
      <w:marLeft w:val="0"/>
      <w:marRight w:val="0"/>
      <w:marTop w:val="0"/>
      <w:marBottom w:val="0"/>
      <w:divBdr>
        <w:top w:val="none" w:sz="0" w:space="0" w:color="auto"/>
        <w:left w:val="none" w:sz="0" w:space="0" w:color="auto"/>
        <w:bottom w:val="none" w:sz="0" w:space="0" w:color="auto"/>
        <w:right w:val="none" w:sz="0" w:space="0" w:color="auto"/>
      </w:divBdr>
      <w:divsChild>
        <w:div w:id="1809007932">
          <w:marLeft w:val="0"/>
          <w:marRight w:val="0"/>
          <w:marTop w:val="0"/>
          <w:marBottom w:val="0"/>
          <w:divBdr>
            <w:top w:val="none" w:sz="0" w:space="0" w:color="auto"/>
            <w:left w:val="none" w:sz="0" w:space="0" w:color="auto"/>
            <w:bottom w:val="none" w:sz="0" w:space="0" w:color="auto"/>
            <w:right w:val="none" w:sz="0" w:space="0" w:color="auto"/>
          </w:divBdr>
        </w:div>
      </w:divsChild>
    </w:div>
    <w:div w:id="932517013">
      <w:bodyDiv w:val="1"/>
      <w:marLeft w:val="0"/>
      <w:marRight w:val="0"/>
      <w:marTop w:val="0"/>
      <w:marBottom w:val="0"/>
      <w:divBdr>
        <w:top w:val="none" w:sz="0" w:space="0" w:color="auto"/>
        <w:left w:val="none" w:sz="0" w:space="0" w:color="auto"/>
        <w:bottom w:val="none" w:sz="0" w:space="0" w:color="auto"/>
        <w:right w:val="none" w:sz="0" w:space="0" w:color="auto"/>
      </w:divBdr>
    </w:div>
    <w:div w:id="935677655">
      <w:bodyDiv w:val="1"/>
      <w:marLeft w:val="0"/>
      <w:marRight w:val="0"/>
      <w:marTop w:val="0"/>
      <w:marBottom w:val="0"/>
      <w:divBdr>
        <w:top w:val="none" w:sz="0" w:space="0" w:color="auto"/>
        <w:left w:val="none" w:sz="0" w:space="0" w:color="auto"/>
        <w:bottom w:val="none" w:sz="0" w:space="0" w:color="auto"/>
        <w:right w:val="none" w:sz="0" w:space="0" w:color="auto"/>
      </w:divBdr>
    </w:div>
    <w:div w:id="936988879">
      <w:bodyDiv w:val="1"/>
      <w:marLeft w:val="0"/>
      <w:marRight w:val="0"/>
      <w:marTop w:val="0"/>
      <w:marBottom w:val="0"/>
      <w:divBdr>
        <w:top w:val="none" w:sz="0" w:space="0" w:color="auto"/>
        <w:left w:val="none" w:sz="0" w:space="0" w:color="auto"/>
        <w:bottom w:val="none" w:sz="0" w:space="0" w:color="auto"/>
        <w:right w:val="none" w:sz="0" w:space="0" w:color="auto"/>
      </w:divBdr>
    </w:div>
    <w:div w:id="952129233">
      <w:bodyDiv w:val="1"/>
      <w:marLeft w:val="0"/>
      <w:marRight w:val="0"/>
      <w:marTop w:val="0"/>
      <w:marBottom w:val="0"/>
      <w:divBdr>
        <w:top w:val="none" w:sz="0" w:space="0" w:color="auto"/>
        <w:left w:val="none" w:sz="0" w:space="0" w:color="auto"/>
        <w:bottom w:val="none" w:sz="0" w:space="0" w:color="auto"/>
        <w:right w:val="none" w:sz="0" w:space="0" w:color="auto"/>
      </w:divBdr>
    </w:div>
    <w:div w:id="953175180">
      <w:bodyDiv w:val="1"/>
      <w:marLeft w:val="0"/>
      <w:marRight w:val="0"/>
      <w:marTop w:val="0"/>
      <w:marBottom w:val="0"/>
      <w:divBdr>
        <w:top w:val="none" w:sz="0" w:space="0" w:color="auto"/>
        <w:left w:val="none" w:sz="0" w:space="0" w:color="auto"/>
        <w:bottom w:val="none" w:sz="0" w:space="0" w:color="auto"/>
        <w:right w:val="none" w:sz="0" w:space="0" w:color="auto"/>
      </w:divBdr>
    </w:div>
    <w:div w:id="954603213">
      <w:bodyDiv w:val="1"/>
      <w:marLeft w:val="0"/>
      <w:marRight w:val="0"/>
      <w:marTop w:val="0"/>
      <w:marBottom w:val="0"/>
      <w:divBdr>
        <w:top w:val="none" w:sz="0" w:space="0" w:color="auto"/>
        <w:left w:val="none" w:sz="0" w:space="0" w:color="auto"/>
        <w:bottom w:val="none" w:sz="0" w:space="0" w:color="auto"/>
        <w:right w:val="none" w:sz="0" w:space="0" w:color="auto"/>
      </w:divBdr>
    </w:div>
    <w:div w:id="986009433">
      <w:bodyDiv w:val="1"/>
      <w:marLeft w:val="0"/>
      <w:marRight w:val="0"/>
      <w:marTop w:val="0"/>
      <w:marBottom w:val="0"/>
      <w:divBdr>
        <w:top w:val="none" w:sz="0" w:space="0" w:color="auto"/>
        <w:left w:val="none" w:sz="0" w:space="0" w:color="auto"/>
        <w:bottom w:val="none" w:sz="0" w:space="0" w:color="auto"/>
        <w:right w:val="none" w:sz="0" w:space="0" w:color="auto"/>
      </w:divBdr>
    </w:div>
    <w:div w:id="994649591">
      <w:bodyDiv w:val="1"/>
      <w:marLeft w:val="0"/>
      <w:marRight w:val="0"/>
      <w:marTop w:val="0"/>
      <w:marBottom w:val="0"/>
      <w:divBdr>
        <w:top w:val="none" w:sz="0" w:space="0" w:color="auto"/>
        <w:left w:val="none" w:sz="0" w:space="0" w:color="auto"/>
        <w:bottom w:val="none" w:sz="0" w:space="0" w:color="auto"/>
        <w:right w:val="none" w:sz="0" w:space="0" w:color="auto"/>
      </w:divBdr>
    </w:div>
    <w:div w:id="1001354763">
      <w:bodyDiv w:val="1"/>
      <w:marLeft w:val="0"/>
      <w:marRight w:val="0"/>
      <w:marTop w:val="0"/>
      <w:marBottom w:val="0"/>
      <w:divBdr>
        <w:top w:val="none" w:sz="0" w:space="0" w:color="auto"/>
        <w:left w:val="none" w:sz="0" w:space="0" w:color="auto"/>
        <w:bottom w:val="none" w:sz="0" w:space="0" w:color="auto"/>
        <w:right w:val="none" w:sz="0" w:space="0" w:color="auto"/>
      </w:divBdr>
    </w:div>
    <w:div w:id="1015963258">
      <w:bodyDiv w:val="1"/>
      <w:marLeft w:val="0"/>
      <w:marRight w:val="0"/>
      <w:marTop w:val="0"/>
      <w:marBottom w:val="0"/>
      <w:divBdr>
        <w:top w:val="none" w:sz="0" w:space="0" w:color="auto"/>
        <w:left w:val="none" w:sz="0" w:space="0" w:color="auto"/>
        <w:bottom w:val="none" w:sz="0" w:space="0" w:color="auto"/>
        <w:right w:val="none" w:sz="0" w:space="0" w:color="auto"/>
      </w:divBdr>
    </w:div>
    <w:div w:id="1017999129">
      <w:bodyDiv w:val="1"/>
      <w:marLeft w:val="0"/>
      <w:marRight w:val="0"/>
      <w:marTop w:val="0"/>
      <w:marBottom w:val="0"/>
      <w:divBdr>
        <w:top w:val="none" w:sz="0" w:space="0" w:color="auto"/>
        <w:left w:val="none" w:sz="0" w:space="0" w:color="auto"/>
        <w:bottom w:val="none" w:sz="0" w:space="0" w:color="auto"/>
        <w:right w:val="none" w:sz="0" w:space="0" w:color="auto"/>
      </w:divBdr>
    </w:div>
    <w:div w:id="1022053957">
      <w:bodyDiv w:val="1"/>
      <w:marLeft w:val="0"/>
      <w:marRight w:val="0"/>
      <w:marTop w:val="0"/>
      <w:marBottom w:val="0"/>
      <w:divBdr>
        <w:top w:val="none" w:sz="0" w:space="0" w:color="auto"/>
        <w:left w:val="none" w:sz="0" w:space="0" w:color="auto"/>
        <w:bottom w:val="none" w:sz="0" w:space="0" w:color="auto"/>
        <w:right w:val="none" w:sz="0" w:space="0" w:color="auto"/>
      </w:divBdr>
    </w:div>
    <w:div w:id="1027679728">
      <w:bodyDiv w:val="1"/>
      <w:marLeft w:val="0"/>
      <w:marRight w:val="0"/>
      <w:marTop w:val="0"/>
      <w:marBottom w:val="0"/>
      <w:divBdr>
        <w:top w:val="none" w:sz="0" w:space="0" w:color="auto"/>
        <w:left w:val="none" w:sz="0" w:space="0" w:color="auto"/>
        <w:bottom w:val="none" w:sz="0" w:space="0" w:color="auto"/>
        <w:right w:val="none" w:sz="0" w:space="0" w:color="auto"/>
      </w:divBdr>
    </w:div>
    <w:div w:id="1031761181">
      <w:bodyDiv w:val="1"/>
      <w:marLeft w:val="0"/>
      <w:marRight w:val="0"/>
      <w:marTop w:val="0"/>
      <w:marBottom w:val="0"/>
      <w:divBdr>
        <w:top w:val="none" w:sz="0" w:space="0" w:color="auto"/>
        <w:left w:val="none" w:sz="0" w:space="0" w:color="auto"/>
        <w:bottom w:val="none" w:sz="0" w:space="0" w:color="auto"/>
        <w:right w:val="none" w:sz="0" w:space="0" w:color="auto"/>
      </w:divBdr>
    </w:div>
    <w:div w:id="1034765458">
      <w:bodyDiv w:val="1"/>
      <w:marLeft w:val="0"/>
      <w:marRight w:val="0"/>
      <w:marTop w:val="0"/>
      <w:marBottom w:val="0"/>
      <w:divBdr>
        <w:top w:val="none" w:sz="0" w:space="0" w:color="auto"/>
        <w:left w:val="none" w:sz="0" w:space="0" w:color="auto"/>
        <w:bottom w:val="none" w:sz="0" w:space="0" w:color="auto"/>
        <w:right w:val="none" w:sz="0" w:space="0" w:color="auto"/>
      </w:divBdr>
    </w:div>
    <w:div w:id="1048726785">
      <w:bodyDiv w:val="1"/>
      <w:marLeft w:val="0"/>
      <w:marRight w:val="0"/>
      <w:marTop w:val="0"/>
      <w:marBottom w:val="0"/>
      <w:divBdr>
        <w:top w:val="none" w:sz="0" w:space="0" w:color="auto"/>
        <w:left w:val="none" w:sz="0" w:space="0" w:color="auto"/>
        <w:bottom w:val="none" w:sz="0" w:space="0" w:color="auto"/>
        <w:right w:val="none" w:sz="0" w:space="0" w:color="auto"/>
      </w:divBdr>
    </w:div>
    <w:div w:id="1060400871">
      <w:bodyDiv w:val="1"/>
      <w:marLeft w:val="0"/>
      <w:marRight w:val="0"/>
      <w:marTop w:val="0"/>
      <w:marBottom w:val="0"/>
      <w:divBdr>
        <w:top w:val="none" w:sz="0" w:space="0" w:color="auto"/>
        <w:left w:val="none" w:sz="0" w:space="0" w:color="auto"/>
        <w:bottom w:val="none" w:sz="0" w:space="0" w:color="auto"/>
        <w:right w:val="none" w:sz="0" w:space="0" w:color="auto"/>
      </w:divBdr>
    </w:div>
    <w:div w:id="1117062161">
      <w:bodyDiv w:val="1"/>
      <w:marLeft w:val="0"/>
      <w:marRight w:val="0"/>
      <w:marTop w:val="0"/>
      <w:marBottom w:val="0"/>
      <w:divBdr>
        <w:top w:val="none" w:sz="0" w:space="0" w:color="auto"/>
        <w:left w:val="none" w:sz="0" w:space="0" w:color="auto"/>
        <w:bottom w:val="none" w:sz="0" w:space="0" w:color="auto"/>
        <w:right w:val="none" w:sz="0" w:space="0" w:color="auto"/>
      </w:divBdr>
    </w:div>
    <w:div w:id="1134519530">
      <w:bodyDiv w:val="1"/>
      <w:marLeft w:val="0"/>
      <w:marRight w:val="0"/>
      <w:marTop w:val="0"/>
      <w:marBottom w:val="0"/>
      <w:divBdr>
        <w:top w:val="none" w:sz="0" w:space="0" w:color="auto"/>
        <w:left w:val="none" w:sz="0" w:space="0" w:color="auto"/>
        <w:bottom w:val="none" w:sz="0" w:space="0" w:color="auto"/>
        <w:right w:val="none" w:sz="0" w:space="0" w:color="auto"/>
      </w:divBdr>
      <w:divsChild>
        <w:div w:id="255014771">
          <w:marLeft w:val="0"/>
          <w:marRight w:val="0"/>
          <w:marTop w:val="0"/>
          <w:marBottom w:val="0"/>
          <w:divBdr>
            <w:top w:val="none" w:sz="0" w:space="0" w:color="auto"/>
            <w:left w:val="none" w:sz="0" w:space="0" w:color="auto"/>
            <w:bottom w:val="none" w:sz="0" w:space="0" w:color="auto"/>
            <w:right w:val="none" w:sz="0" w:space="0" w:color="auto"/>
          </w:divBdr>
        </w:div>
      </w:divsChild>
    </w:div>
    <w:div w:id="1146623939">
      <w:bodyDiv w:val="1"/>
      <w:marLeft w:val="0"/>
      <w:marRight w:val="0"/>
      <w:marTop w:val="0"/>
      <w:marBottom w:val="0"/>
      <w:divBdr>
        <w:top w:val="none" w:sz="0" w:space="0" w:color="auto"/>
        <w:left w:val="none" w:sz="0" w:space="0" w:color="auto"/>
        <w:bottom w:val="none" w:sz="0" w:space="0" w:color="auto"/>
        <w:right w:val="none" w:sz="0" w:space="0" w:color="auto"/>
      </w:divBdr>
    </w:div>
    <w:div w:id="1156654261">
      <w:bodyDiv w:val="1"/>
      <w:marLeft w:val="0"/>
      <w:marRight w:val="0"/>
      <w:marTop w:val="0"/>
      <w:marBottom w:val="0"/>
      <w:divBdr>
        <w:top w:val="none" w:sz="0" w:space="0" w:color="auto"/>
        <w:left w:val="none" w:sz="0" w:space="0" w:color="auto"/>
        <w:bottom w:val="none" w:sz="0" w:space="0" w:color="auto"/>
        <w:right w:val="none" w:sz="0" w:space="0" w:color="auto"/>
      </w:divBdr>
    </w:div>
    <w:div w:id="1156995233">
      <w:bodyDiv w:val="1"/>
      <w:marLeft w:val="0"/>
      <w:marRight w:val="0"/>
      <w:marTop w:val="0"/>
      <w:marBottom w:val="0"/>
      <w:divBdr>
        <w:top w:val="none" w:sz="0" w:space="0" w:color="auto"/>
        <w:left w:val="none" w:sz="0" w:space="0" w:color="auto"/>
        <w:bottom w:val="none" w:sz="0" w:space="0" w:color="auto"/>
        <w:right w:val="none" w:sz="0" w:space="0" w:color="auto"/>
      </w:divBdr>
    </w:div>
    <w:div w:id="1173565057">
      <w:bodyDiv w:val="1"/>
      <w:marLeft w:val="0"/>
      <w:marRight w:val="0"/>
      <w:marTop w:val="0"/>
      <w:marBottom w:val="0"/>
      <w:divBdr>
        <w:top w:val="none" w:sz="0" w:space="0" w:color="auto"/>
        <w:left w:val="none" w:sz="0" w:space="0" w:color="auto"/>
        <w:bottom w:val="none" w:sz="0" w:space="0" w:color="auto"/>
        <w:right w:val="none" w:sz="0" w:space="0" w:color="auto"/>
      </w:divBdr>
    </w:div>
    <w:div w:id="1178077927">
      <w:bodyDiv w:val="1"/>
      <w:marLeft w:val="0"/>
      <w:marRight w:val="0"/>
      <w:marTop w:val="0"/>
      <w:marBottom w:val="0"/>
      <w:divBdr>
        <w:top w:val="none" w:sz="0" w:space="0" w:color="auto"/>
        <w:left w:val="none" w:sz="0" w:space="0" w:color="auto"/>
        <w:bottom w:val="none" w:sz="0" w:space="0" w:color="auto"/>
        <w:right w:val="none" w:sz="0" w:space="0" w:color="auto"/>
      </w:divBdr>
    </w:div>
    <w:div w:id="1202749313">
      <w:bodyDiv w:val="1"/>
      <w:marLeft w:val="0"/>
      <w:marRight w:val="0"/>
      <w:marTop w:val="0"/>
      <w:marBottom w:val="0"/>
      <w:divBdr>
        <w:top w:val="none" w:sz="0" w:space="0" w:color="auto"/>
        <w:left w:val="none" w:sz="0" w:space="0" w:color="auto"/>
        <w:bottom w:val="none" w:sz="0" w:space="0" w:color="auto"/>
        <w:right w:val="none" w:sz="0" w:space="0" w:color="auto"/>
      </w:divBdr>
    </w:div>
    <w:div w:id="1205409160">
      <w:bodyDiv w:val="1"/>
      <w:marLeft w:val="0"/>
      <w:marRight w:val="0"/>
      <w:marTop w:val="0"/>
      <w:marBottom w:val="0"/>
      <w:divBdr>
        <w:top w:val="none" w:sz="0" w:space="0" w:color="auto"/>
        <w:left w:val="none" w:sz="0" w:space="0" w:color="auto"/>
        <w:bottom w:val="none" w:sz="0" w:space="0" w:color="auto"/>
        <w:right w:val="none" w:sz="0" w:space="0" w:color="auto"/>
      </w:divBdr>
    </w:div>
    <w:div w:id="1211646093">
      <w:bodyDiv w:val="1"/>
      <w:marLeft w:val="0"/>
      <w:marRight w:val="0"/>
      <w:marTop w:val="0"/>
      <w:marBottom w:val="0"/>
      <w:divBdr>
        <w:top w:val="none" w:sz="0" w:space="0" w:color="auto"/>
        <w:left w:val="none" w:sz="0" w:space="0" w:color="auto"/>
        <w:bottom w:val="none" w:sz="0" w:space="0" w:color="auto"/>
        <w:right w:val="none" w:sz="0" w:space="0" w:color="auto"/>
      </w:divBdr>
    </w:div>
    <w:div w:id="1239362391">
      <w:bodyDiv w:val="1"/>
      <w:marLeft w:val="0"/>
      <w:marRight w:val="0"/>
      <w:marTop w:val="0"/>
      <w:marBottom w:val="0"/>
      <w:divBdr>
        <w:top w:val="none" w:sz="0" w:space="0" w:color="auto"/>
        <w:left w:val="none" w:sz="0" w:space="0" w:color="auto"/>
        <w:bottom w:val="none" w:sz="0" w:space="0" w:color="auto"/>
        <w:right w:val="none" w:sz="0" w:space="0" w:color="auto"/>
      </w:divBdr>
    </w:div>
    <w:div w:id="1243299912">
      <w:bodyDiv w:val="1"/>
      <w:marLeft w:val="0"/>
      <w:marRight w:val="0"/>
      <w:marTop w:val="0"/>
      <w:marBottom w:val="0"/>
      <w:divBdr>
        <w:top w:val="none" w:sz="0" w:space="0" w:color="auto"/>
        <w:left w:val="none" w:sz="0" w:space="0" w:color="auto"/>
        <w:bottom w:val="none" w:sz="0" w:space="0" w:color="auto"/>
        <w:right w:val="none" w:sz="0" w:space="0" w:color="auto"/>
      </w:divBdr>
    </w:div>
    <w:div w:id="1250231309">
      <w:bodyDiv w:val="1"/>
      <w:marLeft w:val="0"/>
      <w:marRight w:val="0"/>
      <w:marTop w:val="0"/>
      <w:marBottom w:val="0"/>
      <w:divBdr>
        <w:top w:val="none" w:sz="0" w:space="0" w:color="auto"/>
        <w:left w:val="none" w:sz="0" w:space="0" w:color="auto"/>
        <w:bottom w:val="none" w:sz="0" w:space="0" w:color="auto"/>
        <w:right w:val="none" w:sz="0" w:space="0" w:color="auto"/>
      </w:divBdr>
    </w:div>
    <w:div w:id="1264024533">
      <w:bodyDiv w:val="1"/>
      <w:marLeft w:val="0"/>
      <w:marRight w:val="0"/>
      <w:marTop w:val="0"/>
      <w:marBottom w:val="0"/>
      <w:divBdr>
        <w:top w:val="none" w:sz="0" w:space="0" w:color="auto"/>
        <w:left w:val="none" w:sz="0" w:space="0" w:color="auto"/>
        <w:bottom w:val="none" w:sz="0" w:space="0" w:color="auto"/>
        <w:right w:val="none" w:sz="0" w:space="0" w:color="auto"/>
      </w:divBdr>
    </w:div>
    <w:div w:id="1269774075">
      <w:bodyDiv w:val="1"/>
      <w:marLeft w:val="0"/>
      <w:marRight w:val="0"/>
      <w:marTop w:val="0"/>
      <w:marBottom w:val="0"/>
      <w:divBdr>
        <w:top w:val="none" w:sz="0" w:space="0" w:color="auto"/>
        <w:left w:val="none" w:sz="0" w:space="0" w:color="auto"/>
        <w:bottom w:val="none" w:sz="0" w:space="0" w:color="auto"/>
        <w:right w:val="none" w:sz="0" w:space="0" w:color="auto"/>
      </w:divBdr>
    </w:div>
    <w:div w:id="1273055766">
      <w:bodyDiv w:val="1"/>
      <w:marLeft w:val="0"/>
      <w:marRight w:val="0"/>
      <w:marTop w:val="0"/>
      <w:marBottom w:val="0"/>
      <w:divBdr>
        <w:top w:val="none" w:sz="0" w:space="0" w:color="auto"/>
        <w:left w:val="none" w:sz="0" w:space="0" w:color="auto"/>
        <w:bottom w:val="none" w:sz="0" w:space="0" w:color="auto"/>
        <w:right w:val="none" w:sz="0" w:space="0" w:color="auto"/>
      </w:divBdr>
    </w:div>
    <w:div w:id="1282346401">
      <w:bodyDiv w:val="1"/>
      <w:marLeft w:val="0"/>
      <w:marRight w:val="0"/>
      <w:marTop w:val="0"/>
      <w:marBottom w:val="0"/>
      <w:divBdr>
        <w:top w:val="none" w:sz="0" w:space="0" w:color="auto"/>
        <w:left w:val="none" w:sz="0" w:space="0" w:color="auto"/>
        <w:bottom w:val="none" w:sz="0" w:space="0" w:color="auto"/>
        <w:right w:val="none" w:sz="0" w:space="0" w:color="auto"/>
      </w:divBdr>
      <w:divsChild>
        <w:div w:id="1387879349">
          <w:marLeft w:val="0"/>
          <w:marRight w:val="0"/>
          <w:marTop w:val="0"/>
          <w:marBottom w:val="0"/>
          <w:divBdr>
            <w:top w:val="none" w:sz="0" w:space="0" w:color="auto"/>
            <w:left w:val="none" w:sz="0" w:space="0" w:color="auto"/>
            <w:bottom w:val="none" w:sz="0" w:space="0" w:color="auto"/>
            <w:right w:val="none" w:sz="0" w:space="0" w:color="auto"/>
          </w:divBdr>
        </w:div>
      </w:divsChild>
    </w:div>
    <w:div w:id="1285036496">
      <w:bodyDiv w:val="1"/>
      <w:marLeft w:val="0"/>
      <w:marRight w:val="0"/>
      <w:marTop w:val="0"/>
      <w:marBottom w:val="0"/>
      <w:divBdr>
        <w:top w:val="none" w:sz="0" w:space="0" w:color="auto"/>
        <w:left w:val="none" w:sz="0" w:space="0" w:color="auto"/>
        <w:bottom w:val="none" w:sz="0" w:space="0" w:color="auto"/>
        <w:right w:val="none" w:sz="0" w:space="0" w:color="auto"/>
      </w:divBdr>
    </w:div>
    <w:div w:id="1320184626">
      <w:bodyDiv w:val="1"/>
      <w:marLeft w:val="0"/>
      <w:marRight w:val="0"/>
      <w:marTop w:val="0"/>
      <w:marBottom w:val="0"/>
      <w:divBdr>
        <w:top w:val="none" w:sz="0" w:space="0" w:color="auto"/>
        <w:left w:val="none" w:sz="0" w:space="0" w:color="auto"/>
        <w:bottom w:val="none" w:sz="0" w:space="0" w:color="auto"/>
        <w:right w:val="none" w:sz="0" w:space="0" w:color="auto"/>
      </w:divBdr>
    </w:div>
    <w:div w:id="1331980313">
      <w:bodyDiv w:val="1"/>
      <w:marLeft w:val="0"/>
      <w:marRight w:val="0"/>
      <w:marTop w:val="0"/>
      <w:marBottom w:val="0"/>
      <w:divBdr>
        <w:top w:val="none" w:sz="0" w:space="0" w:color="auto"/>
        <w:left w:val="none" w:sz="0" w:space="0" w:color="auto"/>
        <w:bottom w:val="none" w:sz="0" w:space="0" w:color="auto"/>
        <w:right w:val="none" w:sz="0" w:space="0" w:color="auto"/>
      </w:divBdr>
    </w:div>
    <w:div w:id="1334795976">
      <w:bodyDiv w:val="1"/>
      <w:marLeft w:val="0"/>
      <w:marRight w:val="0"/>
      <w:marTop w:val="0"/>
      <w:marBottom w:val="0"/>
      <w:divBdr>
        <w:top w:val="none" w:sz="0" w:space="0" w:color="auto"/>
        <w:left w:val="none" w:sz="0" w:space="0" w:color="auto"/>
        <w:bottom w:val="none" w:sz="0" w:space="0" w:color="auto"/>
        <w:right w:val="none" w:sz="0" w:space="0" w:color="auto"/>
      </w:divBdr>
    </w:div>
    <w:div w:id="1335957762">
      <w:bodyDiv w:val="1"/>
      <w:marLeft w:val="0"/>
      <w:marRight w:val="0"/>
      <w:marTop w:val="0"/>
      <w:marBottom w:val="0"/>
      <w:divBdr>
        <w:top w:val="none" w:sz="0" w:space="0" w:color="auto"/>
        <w:left w:val="none" w:sz="0" w:space="0" w:color="auto"/>
        <w:bottom w:val="none" w:sz="0" w:space="0" w:color="auto"/>
        <w:right w:val="none" w:sz="0" w:space="0" w:color="auto"/>
      </w:divBdr>
    </w:div>
    <w:div w:id="1339774154">
      <w:bodyDiv w:val="1"/>
      <w:marLeft w:val="0"/>
      <w:marRight w:val="0"/>
      <w:marTop w:val="0"/>
      <w:marBottom w:val="0"/>
      <w:divBdr>
        <w:top w:val="none" w:sz="0" w:space="0" w:color="auto"/>
        <w:left w:val="none" w:sz="0" w:space="0" w:color="auto"/>
        <w:bottom w:val="none" w:sz="0" w:space="0" w:color="auto"/>
        <w:right w:val="none" w:sz="0" w:space="0" w:color="auto"/>
      </w:divBdr>
    </w:div>
    <w:div w:id="1354451348">
      <w:bodyDiv w:val="1"/>
      <w:marLeft w:val="0"/>
      <w:marRight w:val="0"/>
      <w:marTop w:val="0"/>
      <w:marBottom w:val="0"/>
      <w:divBdr>
        <w:top w:val="none" w:sz="0" w:space="0" w:color="auto"/>
        <w:left w:val="none" w:sz="0" w:space="0" w:color="auto"/>
        <w:bottom w:val="none" w:sz="0" w:space="0" w:color="auto"/>
        <w:right w:val="none" w:sz="0" w:space="0" w:color="auto"/>
      </w:divBdr>
    </w:div>
    <w:div w:id="1368531697">
      <w:bodyDiv w:val="1"/>
      <w:marLeft w:val="0"/>
      <w:marRight w:val="0"/>
      <w:marTop w:val="0"/>
      <w:marBottom w:val="0"/>
      <w:divBdr>
        <w:top w:val="none" w:sz="0" w:space="0" w:color="auto"/>
        <w:left w:val="none" w:sz="0" w:space="0" w:color="auto"/>
        <w:bottom w:val="none" w:sz="0" w:space="0" w:color="auto"/>
        <w:right w:val="none" w:sz="0" w:space="0" w:color="auto"/>
      </w:divBdr>
    </w:div>
    <w:div w:id="1394427819">
      <w:bodyDiv w:val="1"/>
      <w:marLeft w:val="0"/>
      <w:marRight w:val="0"/>
      <w:marTop w:val="0"/>
      <w:marBottom w:val="0"/>
      <w:divBdr>
        <w:top w:val="none" w:sz="0" w:space="0" w:color="auto"/>
        <w:left w:val="none" w:sz="0" w:space="0" w:color="auto"/>
        <w:bottom w:val="none" w:sz="0" w:space="0" w:color="auto"/>
        <w:right w:val="none" w:sz="0" w:space="0" w:color="auto"/>
      </w:divBdr>
    </w:div>
    <w:div w:id="1408262598">
      <w:bodyDiv w:val="1"/>
      <w:marLeft w:val="0"/>
      <w:marRight w:val="0"/>
      <w:marTop w:val="0"/>
      <w:marBottom w:val="0"/>
      <w:divBdr>
        <w:top w:val="none" w:sz="0" w:space="0" w:color="auto"/>
        <w:left w:val="none" w:sz="0" w:space="0" w:color="auto"/>
        <w:bottom w:val="none" w:sz="0" w:space="0" w:color="auto"/>
        <w:right w:val="none" w:sz="0" w:space="0" w:color="auto"/>
      </w:divBdr>
    </w:div>
    <w:div w:id="1412655627">
      <w:bodyDiv w:val="1"/>
      <w:marLeft w:val="0"/>
      <w:marRight w:val="0"/>
      <w:marTop w:val="0"/>
      <w:marBottom w:val="0"/>
      <w:divBdr>
        <w:top w:val="none" w:sz="0" w:space="0" w:color="auto"/>
        <w:left w:val="none" w:sz="0" w:space="0" w:color="auto"/>
        <w:bottom w:val="none" w:sz="0" w:space="0" w:color="auto"/>
        <w:right w:val="none" w:sz="0" w:space="0" w:color="auto"/>
      </w:divBdr>
    </w:div>
    <w:div w:id="1440293118">
      <w:bodyDiv w:val="1"/>
      <w:marLeft w:val="0"/>
      <w:marRight w:val="0"/>
      <w:marTop w:val="0"/>
      <w:marBottom w:val="0"/>
      <w:divBdr>
        <w:top w:val="none" w:sz="0" w:space="0" w:color="auto"/>
        <w:left w:val="none" w:sz="0" w:space="0" w:color="auto"/>
        <w:bottom w:val="none" w:sz="0" w:space="0" w:color="auto"/>
        <w:right w:val="none" w:sz="0" w:space="0" w:color="auto"/>
      </w:divBdr>
    </w:div>
    <w:div w:id="1463305603">
      <w:bodyDiv w:val="1"/>
      <w:marLeft w:val="0"/>
      <w:marRight w:val="0"/>
      <w:marTop w:val="0"/>
      <w:marBottom w:val="0"/>
      <w:divBdr>
        <w:top w:val="none" w:sz="0" w:space="0" w:color="auto"/>
        <w:left w:val="none" w:sz="0" w:space="0" w:color="auto"/>
        <w:bottom w:val="none" w:sz="0" w:space="0" w:color="auto"/>
        <w:right w:val="none" w:sz="0" w:space="0" w:color="auto"/>
      </w:divBdr>
    </w:div>
    <w:div w:id="1494485979">
      <w:bodyDiv w:val="1"/>
      <w:marLeft w:val="0"/>
      <w:marRight w:val="0"/>
      <w:marTop w:val="0"/>
      <w:marBottom w:val="0"/>
      <w:divBdr>
        <w:top w:val="none" w:sz="0" w:space="0" w:color="auto"/>
        <w:left w:val="none" w:sz="0" w:space="0" w:color="auto"/>
        <w:bottom w:val="none" w:sz="0" w:space="0" w:color="auto"/>
        <w:right w:val="none" w:sz="0" w:space="0" w:color="auto"/>
      </w:divBdr>
    </w:div>
    <w:div w:id="1534732968">
      <w:bodyDiv w:val="1"/>
      <w:marLeft w:val="0"/>
      <w:marRight w:val="0"/>
      <w:marTop w:val="0"/>
      <w:marBottom w:val="0"/>
      <w:divBdr>
        <w:top w:val="none" w:sz="0" w:space="0" w:color="auto"/>
        <w:left w:val="none" w:sz="0" w:space="0" w:color="auto"/>
        <w:bottom w:val="none" w:sz="0" w:space="0" w:color="auto"/>
        <w:right w:val="none" w:sz="0" w:space="0" w:color="auto"/>
      </w:divBdr>
    </w:div>
    <w:div w:id="1543440274">
      <w:bodyDiv w:val="1"/>
      <w:marLeft w:val="0"/>
      <w:marRight w:val="0"/>
      <w:marTop w:val="0"/>
      <w:marBottom w:val="0"/>
      <w:divBdr>
        <w:top w:val="none" w:sz="0" w:space="0" w:color="auto"/>
        <w:left w:val="none" w:sz="0" w:space="0" w:color="auto"/>
        <w:bottom w:val="none" w:sz="0" w:space="0" w:color="auto"/>
        <w:right w:val="none" w:sz="0" w:space="0" w:color="auto"/>
      </w:divBdr>
    </w:div>
    <w:div w:id="1549419463">
      <w:bodyDiv w:val="1"/>
      <w:marLeft w:val="0"/>
      <w:marRight w:val="0"/>
      <w:marTop w:val="0"/>
      <w:marBottom w:val="0"/>
      <w:divBdr>
        <w:top w:val="none" w:sz="0" w:space="0" w:color="auto"/>
        <w:left w:val="none" w:sz="0" w:space="0" w:color="auto"/>
        <w:bottom w:val="none" w:sz="0" w:space="0" w:color="auto"/>
        <w:right w:val="none" w:sz="0" w:space="0" w:color="auto"/>
      </w:divBdr>
    </w:div>
    <w:div w:id="1571619195">
      <w:bodyDiv w:val="1"/>
      <w:marLeft w:val="0"/>
      <w:marRight w:val="0"/>
      <w:marTop w:val="0"/>
      <w:marBottom w:val="0"/>
      <w:divBdr>
        <w:top w:val="none" w:sz="0" w:space="0" w:color="auto"/>
        <w:left w:val="none" w:sz="0" w:space="0" w:color="auto"/>
        <w:bottom w:val="none" w:sz="0" w:space="0" w:color="auto"/>
        <w:right w:val="none" w:sz="0" w:space="0" w:color="auto"/>
      </w:divBdr>
    </w:div>
    <w:div w:id="1584679248">
      <w:bodyDiv w:val="1"/>
      <w:marLeft w:val="0"/>
      <w:marRight w:val="0"/>
      <w:marTop w:val="0"/>
      <w:marBottom w:val="0"/>
      <w:divBdr>
        <w:top w:val="none" w:sz="0" w:space="0" w:color="auto"/>
        <w:left w:val="none" w:sz="0" w:space="0" w:color="auto"/>
        <w:bottom w:val="none" w:sz="0" w:space="0" w:color="auto"/>
        <w:right w:val="none" w:sz="0" w:space="0" w:color="auto"/>
      </w:divBdr>
      <w:divsChild>
        <w:div w:id="1737319203">
          <w:marLeft w:val="0"/>
          <w:marRight w:val="0"/>
          <w:marTop w:val="0"/>
          <w:marBottom w:val="0"/>
          <w:divBdr>
            <w:top w:val="none" w:sz="0" w:space="0" w:color="auto"/>
            <w:left w:val="none" w:sz="0" w:space="0" w:color="auto"/>
            <w:bottom w:val="none" w:sz="0" w:space="0" w:color="auto"/>
            <w:right w:val="none" w:sz="0" w:space="0" w:color="auto"/>
          </w:divBdr>
        </w:div>
      </w:divsChild>
    </w:div>
    <w:div w:id="1586570975">
      <w:bodyDiv w:val="1"/>
      <w:marLeft w:val="0"/>
      <w:marRight w:val="0"/>
      <w:marTop w:val="0"/>
      <w:marBottom w:val="0"/>
      <w:divBdr>
        <w:top w:val="none" w:sz="0" w:space="0" w:color="auto"/>
        <w:left w:val="none" w:sz="0" w:space="0" w:color="auto"/>
        <w:bottom w:val="none" w:sz="0" w:space="0" w:color="auto"/>
        <w:right w:val="none" w:sz="0" w:space="0" w:color="auto"/>
      </w:divBdr>
    </w:div>
    <w:div w:id="1592540137">
      <w:bodyDiv w:val="1"/>
      <w:marLeft w:val="0"/>
      <w:marRight w:val="0"/>
      <w:marTop w:val="0"/>
      <w:marBottom w:val="0"/>
      <w:divBdr>
        <w:top w:val="none" w:sz="0" w:space="0" w:color="auto"/>
        <w:left w:val="none" w:sz="0" w:space="0" w:color="auto"/>
        <w:bottom w:val="none" w:sz="0" w:space="0" w:color="auto"/>
        <w:right w:val="none" w:sz="0" w:space="0" w:color="auto"/>
      </w:divBdr>
    </w:div>
    <w:div w:id="1599368239">
      <w:bodyDiv w:val="1"/>
      <w:marLeft w:val="0"/>
      <w:marRight w:val="0"/>
      <w:marTop w:val="0"/>
      <w:marBottom w:val="0"/>
      <w:divBdr>
        <w:top w:val="none" w:sz="0" w:space="0" w:color="auto"/>
        <w:left w:val="none" w:sz="0" w:space="0" w:color="auto"/>
        <w:bottom w:val="none" w:sz="0" w:space="0" w:color="auto"/>
        <w:right w:val="none" w:sz="0" w:space="0" w:color="auto"/>
      </w:divBdr>
    </w:div>
    <w:div w:id="1602371653">
      <w:bodyDiv w:val="1"/>
      <w:marLeft w:val="0"/>
      <w:marRight w:val="0"/>
      <w:marTop w:val="0"/>
      <w:marBottom w:val="0"/>
      <w:divBdr>
        <w:top w:val="none" w:sz="0" w:space="0" w:color="auto"/>
        <w:left w:val="none" w:sz="0" w:space="0" w:color="auto"/>
        <w:bottom w:val="none" w:sz="0" w:space="0" w:color="auto"/>
        <w:right w:val="none" w:sz="0" w:space="0" w:color="auto"/>
      </w:divBdr>
      <w:divsChild>
        <w:div w:id="71776222">
          <w:marLeft w:val="0"/>
          <w:marRight w:val="0"/>
          <w:marTop w:val="0"/>
          <w:marBottom w:val="0"/>
          <w:divBdr>
            <w:top w:val="none" w:sz="0" w:space="0" w:color="auto"/>
            <w:left w:val="none" w:sz="0" w:space="0" w:color="auto"/>
            <w:bottom w:val="none" w:sz="0" w:space="0" w:color="auto"/>
            <w:right w:val="none" w:sz="0" w:space="0" w:color="auto"/>
          </w:divBdr>
        </w:div>
      </w:divsChild>
    </w:div>
    <w:div w:id="1617440656">
      <w:bodyDiv w:val="1"/>
      <w:marLeft w:val="0"/>
      <w:marRight w:val="0"/>
      <w:marTop w:val="0"/>
      <w:marBottom w:val="0"/>
      <w:divBdr>
        <w:top w:val="none" w:sz="0" w:space="0" w:color="auto"/>
        <w:left w:val="none" w:sz="0" w:space="0" w:color="auto"/>
        <w:bottom w:val="none" w:sz="0" w:space="0" w:color="auto"/>
        <w:right w:val="none" w:sz="0" w:space="0" w:color="auto"/>
      </w:divBdr>
    </w:div>
    <w:div w:id="1619215814">
      <w:bodyDiv w:val="1"/>
      <w:marLeft w:val="0"/>
      <w:marRight w:val="0"/>
      <w:marTop w:val="0"/>
      <w:marBottom w:val="0"/>
      <w:divBdr>
        <w:top w:val="none" w:sz="0" w:space="0" w:color="auto"/>
        <w:left w:val="none" w:sz="0" w:space="0" w:color="auto"/>
        <w:bottom w:val="none" w:sz="0" w:space="0" w:color="auto"/>
        <w:right w:val="none" w:sz="0" w:space="0" w:color="auto"/>
      </w:divBdr>
    </w:div>
    <w:div w:id="1619754290">
      <w:bodyDiv w:val="1"/>
      <w:marLeft w:val="0"/>
      <w:marRight w:val="0"/>
      <w:marTop w:val="0"/>
      <w:marBottom w:val="0"/>
      <w:divBdr>
        <w:top w:val="none" w:sz="0" w:space="0" w:color="auto"/>
        <w:left w:val="none" w:sz="0" w:space="0" w:color="auto"/>
        <w:bottom w:val="none" w:sz="0" w:space="0" w:color="auto"/>
        <w:right w:val="none" w:sz="0" w:space="0" w:color="auto"/>
      </w:divBdr>
      <w:divsChild>
        <w:div w:id="92405934">
          <w:marLeft w:val="0"/>
          <w:marRight w:val="0"/>
          <w:marTop w:val="300"/>
          <w:marBottom w:val="300"/>
          <w:divBdr>
            <w:top w:val="none" w:sz="0" w:space="0" w:color="auto"/>
            <w:left w:val="none" w:sz="0" w:space="0" w:color="auto"/>
            <w:bottom w:val="none" w:sz="0" w:space="0" w:color="auto"/>
            <w:right w:val="none" w:sz="0" w:space="0" w:color="auto"/>
          </w:divBdr>
          <w:divsChild>
            <w:div w:id="26562664">
              <w:marLeft w:val="0"/>
              <w:marRight w:val="0"/>
              <w:marTop w:val="0"/>
              <w:marBottom w:val="0"/>
              <w:divBdr>
                <w:top w:val="none" w:sz="0" w:space="0" w:color="auto"/>
                <w:left w:val="none" w:sz="0" w:space="0" w:color="auto"/>
                <w:bottom w:val="none" w:sz="0" w:space="0" w:color="auto"/>
                <w:right w:val="none" w:sz="0" w:space="0" w:color="auto"/>
              </w:divBdr>
            </w:div>
            <w:div w:id="132717186">
              <w:marLeft w:val="0"/>
              <w:marRight w:val="0"/>
              <w:marTop w:val="0"/>
              <w:marBottom w:val="0"/>
              <w:divBdr>
                <w:top w:val="none" w:sz="0" w:space="0" w:color="auto"/>
                <w:left w:val="none" w:sz="0" w:space="0" w:color="auto"/>
                <w:bottom w:val="none" w:sz="0" w:space="0" w:color="auto"/>
                <w:right w:val="none" w:sz="0" w:space="0" w:color="auto"/>
              </w:divBdr>
            </w:div>
            <w:div w:id="216556271">
              <w:marLeft w:val="0"/>
              <w:marRight w:val="0"/>
              <w:marTop w:val="0"/>
              <w:marBottom w:val="0"/>
              <w:divBdr>
                <w:top w:val="none" w:sz="0" w:space="0" w:color="auto"/>
                <w:left w:val="none" w:sz="0" w:space="0" w:color="auto"/>
                <w:bottom w:val="none" w:sz="0" w:space="0" w:color="auto"/>
                <w:right w:val="none" w:sz="0" w:space="0" w:color="auto"/>
              </w:divBdr>
            </w:div>
            <w:div w:id="463625637">
              <w:marLeft w:val="0"/>
              <w:marRight w:val="0"/>
              <w:marTop w:val="0"/>
              <w:marBottom w:val="0"/>
              <w:divBdr>
                <w:top w:val="none" w:sz="0" w:space="0" w:color="auto"/>
                <w:left w:val="none" w:sz="0" w:space="0" w:color="auto"/>
                <w:bottom w:val="none" w:sz="0" w:space="0" w:color="auto"/>
                <w:right w:val="none" w:sz="0" w:space="0" w:color="auto"/>
              </w:divBdr>
            </w:div>
            <w:div w:id="904293140">
              <w:marLeft w:val="0"/>
              <w:marRight w:val="0"/>
              <w:marTop w:val="0"/>
              <w:marBottom w:val="0"/>
              <w:divBdr>
                <w:top w:val="none" w:sz="0" w:space="0" w:color="auto"/>
                <w:left w:val="none" w:sz="0" w:space="0" w:color="auto"/>
                <w:bottom w:val="none" w:sz="0" w:space="0" w:color="auto"/>
                <w:right w:val="none" w:sz="0" w:space="0" w:color="auto"/>
              </w:divBdr>
            </w:div>
            <w:div w:id="905527948">
              <w:marLeft w:val="0"/>
              <w:marRight w:val="0"/>
              <w:marTop w:val="0"/>
              <w:marBottom w:val="0"/>
              <w:divBdr>
                <w:top w:val="none" w:sz="0" w:space="0" w:color="auto"/>
                <w:left w:val="none" w:sz="0" w:space="0" w:color="auto"/>
                <w:bottom w:val="none" w:sz="0" w:space="0" w:color="auto"/>
                <w:right w:val="none" w:sz="0" w:space="0" w:color="auto"/>
              </w:divBdr>
            </w:div>
            <w:div w:id="1463697306">
              <w:marLeft w:val="0"/>
              <w:marRight w:val="0"/>
              <w:marTop w:val="0"/>
              <w:marBottom w:val="0"/>
              <w:divBdr>
                <w:top w:val="none" w:sz="0" w:space="0" w:color="auto"/>
                <w:left w:val="none" w:sz="0" w:space="0" w:color="auto"/>
                <w:bottom w:val="none" w:sz="0" w:space="0" w:color="auto"/>
                <w:right w:val="none" w:sz="0" w:space="0" w:color="auto"/>
              </w:divBdr>
            </w:div>
            <w:div w:id="2129935340">
              <w:marLeft w:val="0"/>
              <w:marRight w:val="0"/>
              <w:marTop w:val="0"/>
              <w:marBottom w:val="0"/>
              <w:divBdr>
                <w:top w:val="none" w:sz="0" w:space="0" w:color="auto"/>
                <w:left w:val="none" w:sz="0" w:space="0" w:color="auto"/>
                <w:bottom w:val="none" w:sz="0" w:space="0" w:color="auto"/>
                <w:right w:val="none" w:sz="0" w:space="0" w:color="auto"/>
              </w:divBdr>
            </w:div>
          </w:divsChild>
        </w:div>
        <w:div w:id="1257054096">
          <w:marLeft w:val="0"/>
          <w:marRight w:val="0"/>
          <w:marTop w:val="300"/>
          <w:marBottom w:val="300"/>
          <w:divBdr>
            <w:top w:val="none" w:sz="0" w:space="0" w:color="auto"/>
            <w:left w:val="none" w:sz="0" w:space="0" w:color="auto"/>
            <w:bottom w:val="none" w:sz="0" w:space="0" w:color="auto"/>
            <w:right w:val="none" w:sz="0" w:space="0" w:color="auto"/>
          </w:divBdr>
          <w:divsChild>
            <w:div w:id="368920323">
              <w:marLeft w:val="0"/>
              <w:marRight w:val="0"/>
              <w:marTop w:val="0"/>
              <w:marBottom w:val="0"/>
              <w:divBdr>
                <w:top w:val="none" w:sz="0" w:space="0" w:color="auto"/>
                <w:left w:val="none" w:sz="0" w:space="0" w:color="auto"/>
                <w:bottom w:val="none" w:sz="0" w:space="0" w:color="auto"/>
                <w:right w:val="none" w:sz="0" w:space="0" w:color="auto"/>
              </w:divBdr>
            </w:div>
            <w:div w:id="383602812">
              <w:marLeft w:val="0"/>
              <w:marRight w:val="0"/>
              <w:marTop w:val="0"/>
              <w:marBottom w:val="0"/>
              <w:divBdr>
                <w:top w:val="none" w:sz="0" w:space="0" w:color="auto"/>
                <w:left w:val="none" w:sz="0" w:space="0" w:color="auto"/>
                <w:bottom w:val="none" w:sz="0" w:space="0" w:color="auto"/>
                <w:right w:val="none" w:sz="0" w:space="0" w:color="auto"/>
              </w:divBdr>
            </w:div>
            <w:div w:id="744378547">
              <w:marLeft w:val="0"/>
              <w:marRight w:val="0"/>
              <w:marTop w:val="0"/>
              <w:marBottom w:val="0"/>
              <w:divBdr>
                <w:top w:val="none" w:sz="0" w:space="0" w:color="auto"/>
                <w:left w:val="none" w:sz="0" w:space="0" w:color="auto"/>
                <w:bottom w:val="none" w:sz="0" w:space="0" w:color="auto"/>
                <w:right w:val="none" w:sz="0" w:space="0" w:color="auto"/>
              </w:divBdr>
            </w:div>
            <w:div w:id="1326082416">
              <w:marLeft w:val="0"/>
              <w:marRight w:val="0"/>
              <w:marTop w:val="0"/>
              <w:marBottom w:val="0"/>
              <w:divBdr>
                <w:top w:val="none" w:sz="0" w:space="0" w:color="auto"/>
                <w:left w:val="none" w:sz="0" w:space="0" w:color="auto"/>
                <w:bottom w:val="none" w:sz="0" w:space="0" w:color="auto"/>
                <w:right w:val="none" w:sz="0" w:space="0" w:color="auto"/>
              </w:divBdr>
            </w:div>
            <w:div w:id="1412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4986">
      <w:bodyDiv w:val="1"/>
      <w:marLeft w:val="0"/>
      <w:marRight w:val="0"/>
      <w:marTop w:val="0"/>
      <w:marBottom w:val="0"/>
      <w:divBdr>
        <w:top w:val="none" w:sz="0" w:space="0" w:color="auto"/>
        <w:left w:val="none" w:sz="0" w:space="0" w:color="auto"/>
        <w:bottom w:val="none" w:sz="0" w:space="0" w:color="auto"/>
        <w:right w:val="none" w:sz="0" w:space="0" w:color="auto"/>
      </w:divBdr>
    </w:div>
    <w:div w:id="1643776696">
      <w:bodyDiv w:val="1"/>
      <w:marLeft w:val="0"/>
      <w:marRight w:val="0"/>
      <w:marTop w:val="0"/>
      <w:marBottom w:val="0"/>
      <w:divBdr>
        <w:top w:val="none" w:sz="0" w:space="0" w:color="auto"/>
        <w:left w:val="none" w:sz="0" w:space="0" w:color="auto"/>
        <w:bottom w:val="none" w:sz="0" w:space="0" w:color="auto"/>
        <w:right w:val="none" w:sz="0" w:space="0" w:color="auto"/>
      </w:divBdr>
    </w:div>
    <w:div w:id="1654750525">
      <w:bodyDiv w:val="1"/>
      <w:marLeft w:val="0"/>
      <w:marRight w:val="0"/>
      <w:marTop w:val="0"/>
      <w:marBottom w:val="0"/>
      <w:divBdr>
        <w:top w:val="none" w:sz="0" w:space="0" w:color="auto"/>
        <w:left w:val="none" w:sz="0" w:space="0" w:color="auto"/>
        <w:bottom w:val="none" w:sz="0" w:space="0" w:color="auto"/>
        <w:right w:val="none" w:sz="0" w:space="0" w:color="auto"/>
      </w:divBdr>
    </w:div>
    <w:div w:id="1676418397">
      <w:bodyDiv w:val="1"/>
      <w:marLeft w:val="0"/>
      <w:marRight w:val="0"/>
      <w:marTop w:val="0"/>
      <w:marBottom w:val="0"/>
      <w:divBdr>
        <w:top w:val="none" w:sz="0" w:space="0" w:color="auto"/>
        <w:left w:val="none" w:sz="0" w:space="0" w:color="auto"/>
        <w:bottom w:val="none" w:sz="0" w:space="0" w:color="auto"/>
        <w:right w:val="none" w:sz="0" w:space="0" w:color="auto"/>
      </w:divBdr>
    </w:div>
    <w:div w:id="1695573748">
      <w:bodyDiv w:val="1"/>
      <w:marLeft w:val="0"/>
      <w:marRight w:val="0"/>
      <w:marTop w:val="0"/>
      <w:marBottom w:val="0"/>
      <w:divBdr>
        <w:top w:val="none" w:sz="0" w:space="0" w:color="auto"/>
        <w:left w:val="none" w:sz="0" w:space="0" w:color="auto"/>
        <w:bottom w:val="none" w:sz="0" w:space="0" w:color="auto"/>
        <w:right w:val="none" w:sz="0" w:space="0" w:color="auto"/>
      </w:divBdr>
    </w:div>
    <w:div w:id="1697002777">
      <w:bodyDiv w:val="1"/>
      <w:marLeft w:val="0"/>
      <w:marRight w:val="0"/>
      <w:marTop w:val="0"/>
      <w:marBottom w:val="0"/>
      <w:divBdr>
        <w:top w:val="none" w:sz="0" w:space="0" w:color="auto"/>
        <w:left w:val="none" w:sz="0" w:space="0" w:color="auto"/>
        <w:bottom w:val="none" w:sz="0" w:space="0" w:color="auto"/>
        <w:right w:val="none" w:sz="0" w:space="0" w:color="auto"/>
      </w:divBdr>
    </w:div>
    <w:div w:id="1703281449">
      <w:bodyDiv w:val="1"/>
      <w:marLeft w:val="0"/>
      <w:marRight w:val="0"/>
      <w:marTop w:val="0"/>
      <w:marBottom w:val="0"/>
      <w:divBdr>
        <w:top w:val="none" w:sz="0" w:space="0" w:color="auto"/>
        <w:left w:val="none" w:sz="0" w:space="0" w:color="auto"/>
        <w:bottom w:val="none" w:sz="0" w:space="0" w:color="auto"/>
        <w:right w:val="none" w:sz="0" w:space="0" w:color="auto"/>
      </w:divBdr>
    </w:div>
    <w:div w:id="1704599330">
      <w:bodyDiv w:val="1"/>
      <w:marLeft w:val="0"/>
      <w:marRight w:val="0"/>
      <w:marTop w:val="0"/>
      <w:marBottom w:val="0"/>
      <w:divBdr>
        <w:top w:val="none" w:sz="0" w:space="0" w:color="auto"/>
        <w:left w:val="none" w:sz="0" w:space="0" w:color="auto"/>
        <w:bottom w:val="none" w:sz="0" w:space="0" w:color="auto"/>
        <w:right w:val="none" w:sz="0" w:space="0" w:color="auto"/>
      </w:divBdr>
    </w:div>
    <w:div w:id="1712992267">
      <w:bodyDiv w:val="1"/>
      <w:marLeft w:val="0"/>
      <w:marRight w:val="0"/>
      <w:marTop w:val="0"/>
      <w:marBottom w:val="0"/>
      <w:divBdr>
        <w:top w:val="none" w:sz="0" w:space="0" w:color="auto"/>
        <w:left w:val="none" w:sz="0" w:space="0" w:color="auto"/>
        <w:bottom w:val="none" w:sz="0" w:space="0" w:color="auto"/>
        <w:right w:val="none" w:sz="0" w:space="0" w:color="auto"/>
      </w:divBdr>
    </w:div>
    <w:div w:id="1729453784">
      <w:bodyDiv w:val="1"/>
      <w:marLeft w:val="0"/>
      <w:marRight w:val="0"/>
      <w:marTop w:val="0"/>
      <w:marBottom w:val="0"/>
      <w:divBdr>
        <w:top w:val="none" w:sz="0" w:space="0" w:color="auto"/>
        <w:left w:val="none" w:sz="0" w:space="0" w:color="auto"/>
        <w:bottom w:val="none" w:sz="0" w:space="0" w:color="auto"/>
        <w:right w:val="none" w:sz="0" w:space="0" w:color="auto"/>
      </w:divBdr>
    </w:div>
    <w:div w:id="1752583646">
      <w:bodyDiv w:val="1"/>
      <w:marLeft w:val="0"/>
      <w:marRight w:val="0"/>
      <w:marTop w:val="0"/>
      <w:marBottom w:val="0"/>
      <w:divBdr>
        <w:top w:val="none" w:sz="0" w:space="0" w:color="auto"/>
        <w:left w:val="none" w:sz="0" w:space="0" w:color="auto"/>
        <w:bottom w:val="none" w:sz="0" w:space="0" w:color="auto"/>
        <w:right w:val="none" w:sz="0" w:space="0" w:color="auto"/>
      </w:divBdr>
    </w:div>
    <w:div w:id="1757508886">
      <w:bodyDiv w:val="1"/>
      <w:marLeft w:val="0"/>
      <w:marRight w:val="0"/>
      <w:marTop w:val="0"/>
      <w:marBottom w:val="0"/>
      <w:divBdr>
        <w:top w:val="none" w:sz="0" w:space="0" w:color="auto"/>
        <w:left w:val="none" w:sz="0" w:space="0" w:color="auto"/>
        <w:bottom w:val="none" w:sz="0" w:space="0" w:color="auto"/>
        <w:right w:val="none" w:sz="0" w:space="0" w:color="auto"/>
      </w:divBdr>
    </w:div>
    <w:div w:id="1771730158">
      <w:bodyDiv w:val="1"/>
      <w:marLeft w:val="0"/>
      <w:marRight w:val="0"/>
      <w:marTop w:val="0"/>
      <w:marBottom w:val="0"/>
      <w:divBdr>
        <w:top w:val="none" w:sz="0" w:space="0" w:color="auto"/>
        <w:left w:val="none" w:sz="0" w:space="0" w:color="auto"/>
        <w:bottom w:val="none" w:sz="0" w:space="0" w:color="auto"/>
        <w:right w:val="none" w:sz="0" w:space="0" w:color="auto"/>
      </w:divBdr>
    </w:div>
    <w:div w:id="1787581878">
      <w:bodyDiv w:val="1"/>
      <w:marLeft w:val="0"/>
      <w:marRight w:val="0"/>
      <w:marTop w:val="0"/>
      <w:marBottom w:val="0"/>
      <w:divBdr>
        <w:top w:val="none" w:sz="0" w:space="0" w:color="auto"/>
        <w:left w:val="none" w:sz="0" w:space="0" w:color="auto"/>
        <w:bottom w:val="none" w:sz="0" w:space="0" w:color="auto"/>
        <w:right w:val="none" w:sz="0" w:space="0" w:color="auto"/>
      </w:divBdr>
    </w:div>
    <w:div w:id="1819107946">
      <w:bodyDiv w:val="1"/>
      <w:marLeft w:val="0"/>
      <w:marRight w:val="0"/>
      <w:marTop w:val="0"/>
      <w:marBottom w:val="0"/>
      <w:divBdr>
        <w:top w:val="none" w:sz="0" w:space="0" w:color="auto"/>
        <w:left w:val="none" w:sz="0" w:space="0" w:color="auto"/>
        <w:bottom w:val="none" w:sz="0" w:space="0" w:color="auto"/>
        <w:right w:val="none" w:sz="0" w:space="0" w:color="auto"/>
      </w:divBdr>
    </w:div>
    <w:div w:id="1830487468">
      <w:bodyDiv w:val="1"/>
      <w:marLeft w:val="0"/>
      <w:marRight w:val="0"/>
      <w:marTop w:val="0"/>
      <w:marBottom w:val="0"/>
      <w:divBdr>
        <w:top w:val="none" w:sz="0" w:space="0" w:color="auto"/>
        <w:left w:val="none" w:sz="0" w:space="0" w:color="auto"/>
        <w:bottom w:val="none" w:sz="0" w:space="0" w:color="auto"/>
        <w:right w:val="none" w:sz="0" w:space="0" w:color="auto"/>
      </w:divBdr>
    </w:div>
    <w:div w:id="1859929063">
      <w:bodyDiv w:val="1"/>
      <w:marLeft w:val="0"/>
      <w:marRight w:val="0"/>
      <w:marTop w:val="0"/>
      <w:marBottom w:val="0"/>
      <w:divBdr>
        <w:top w:val="none" w:sz="0" w:space="0" w:color="auto"/>
        <w:left w:val="none" w:sz="0" w:space="0" w:color="auto"/>
        <w:bottom w:val="none" w:sz="0" w:space="0" w:color="auto"/>
        <w:right w:val="none" w:sz="0" w:space="0" w:color="auto"/>
      </w:divBdr>
    </w:div>
    <w:div w:id="1861120637">
      <w:bodyDiv w:val="1"/>
      <w:marLeft w:val="0"/>
      <w:marRight w:val="0"/>
      <w:marTop w:val="0"/>
      <w:marBottom w:val="0"/>
      <w:divBdr>
        <w:top w:val="none" w:sz="0" w:space="0" w:color="auto"/>
        <w:left w:val="none" w:sz="0" w:space="0" w:color="auto"/>
        <w:bottom w:val="none" w:sz="0" w:space="0" w:color="auto"/>
        <w:right w:val="none" w:sz="0" w:space="0" w:color="auto"/>
      </w:divBdr>
    </w:div>
    <w:div w:id="1862545943">
      <w:bodyDiv w:val="1"/>
      <w:marLeft w:val="0"/>
      <w:marRight w:val="0"/>
      <w:marTop w:val="0"/>
      <w:marBottom w:val="0"/>
      <w:divBdr>
        <w:top w:val="none" w:sz="0" w:space="0" w:color="auto"/>
        <w:left w:val="none" w:sz="0" w:space="0" w:color="auto"/>
        <w:bottom w:val="none" w:sz="0" w:space="0" w:color="auto"/>
        <w:right w:val="none" w:sz="0" w:space="0" w:color="auto"/>
      </w:divBdr>
    </w:div>
    <w:div w:id="1897202806">
      <w:bodyDiv w:val="1"/>
      <w:marLeft w:val="0"/>
      <w:marRight w:val="0"/>
      <w:marTop w:val="0"/>
      <w:marBottom w:val="0"/>
      <w:divBdr>
        <w:top w:val="none" w:sz="0" w:space="0" w:color="auto"/>
        <w:left w:val="none" w:sz="0" w:space="0" w:color="auto"/>
        <w:bottom w:val="none" w:sz="0" w:space="0" w:color="auto"/>
        <w:right w:val="none" w:sz="0" w:space="0" w:color="auto"/>
      </w:divBdr>
      <w:divsChild>
        <w:div w:id="1790509986">
          <w:marLeft w:val="0"/>
          <w:marRight w:val="0"/>
          <w:marTop w:val="0"/>
          <w:marBottom w:val="0"/>
          <w:divBdr>
            <w:top w:val="none" w:sz="0" w:space="0" w:color="auto"/>
            <w:left w:val="none" w:sz="0" w:space="0" w:color="auto"/>
            <w:bottom w:val="none" w:sz="0" w:space="0" w:color="auto"/>
            <w:right w:val="none" w:sz="0" w:space="0" w:color="auto"/>
          </w:divBdr>
        </w:div>
      </w:divsChild>
    </w:div>
    <w:div w:id="1931966791">
      <w:bodyDiv w:val="1"/>
      <w:marLeft w:val="0"/>
      <w:marRight w:val="0"/>
      <w:marTop w:val="0"/>
      <w:marBottom w:val="0"/>
      <w:divBdr>
        <w:top w:val="none" w:sz="0" w:space="0" w:color="auto"/>
        <w:left w:val="none" w:sz="0" w:space="0" w:color="auto"/>
        <w:bottom w:val="none" w:sz="0" w:space="0" w:color="auto"/>
        <w:right w:val="none" w:sz="0" w:space="0" w:color="auto"/>
      </w:divBdr>
    </w:div>
    <w:div w:id="1937204695">
      <w:bodyDiv w:val="1"/>
      <w:marLeft w:val="0"/>
      <w:marRight w:val="0"/>
      <w:marTop w:val="0"/>
      <w:marBottom w:val="0"/>
      <w:divBdr>
        <w:top w:val="none" w:sz="0" w:space="0" w:color="auto"/>
        <w:left w:val="none" w:sz="0" w:space="0" w:color="auto"/>
        <w:bottom w:val="none" w:sz="0" w:space="0" w:color="auto"/>
        <w:right w:val="none" w:sz="0" w:space="0" w:color="auto"/>
      </w:divBdr>
    </w:div>
    <w:div w:id="1943486205">
      <w:bodyDiv w:val="1"/>
      <w:marLeft w:val="0"/>
      <w:marRight w:val="0"/>
      <w:marTop w:val="0"/>
      <w:marBottom w:val="0"/>
      <w:divBdr>
        <w:top w:val="none" w:sz="0" w:space="0" w:color="auto"/>
        <w:left w:val="none" w:sz="0" w:space="0" w:color="auto"/>
        <w:bottom w:val="none" w:sz="0" w:space="0" w:color="auto"/>
        <w:right w:val="none" w:sz="0" w:space="0" w:color="auto"/>
      </w:divBdr>
    </w:div>
    <w:div w:id="1950429816">
      <w:bodyDiv w:val="1"/>
      <w:marLeft w:val="0"/>
      <w:marRight w:val="0"/>
      <w:marTop w:val="0"/>
      <w:marBottom w:val="0"/>
      <w:divBdr>
        <w:top w:val="none" w:sz="0" w:space="0" w:color="auto"/>
        <w:left w:val="none" w:sz="0" w:space="0" w:color="auto"/>
        <w:bottom w:val="none" w:sz="0" w:space="0" w:color="auto"/>
        <w:right w:val="none" w:sz="0" w:space="0" w:color="auto"/>
      </w:divBdr>
    </w:div>
    <w:div w:id="1959678558">
      <w:bodyDiv w:val="1"/>
      <w:marLeft w:val="0"/>
      <w:marRight w:val="0"/>
      <w:marTop w:val="0"/>
      <w:marBottom w:val="0"/>
      <w:divBdr>
        <w:top w:val="none" w:sz="0" w:space="0" w:color="auto"/>
        <w:left w:val="none" w:sz="0" w:space="0" w:color="auto"/>
        <w:bottom w:val="none" w:sz="0" w:space="0" w:color="auto"/>
        <w:right w:val="none" w:sz="0" w:space="0" w:color="auto"/>
      </w:divBdr>
    </w:div>
    <w:div w:id="1961960289">
      <w:bodyDiv w:val="1"/>
      <w:marLeft w:val="0"/>
      <w:marRight w:val="0"/>
      <w:marTop w:val="0"/>
      <w:marBottom w:val="0"/>
      <w:divBdr>
        <w:top w:val="none" w:sz="0" w:space="0" w:color="auto"/>
        <w:left w:val="none" w:sz="0" w:space="0" w:color="auto"/>
        <w:bottom w:val="none" w:sz="0" w:space="0" w:color="auto"/>
        <w:right w:val="none" w:sz="0" w:space="0" w:color="auto"/>
      </w:divBdr>
    </w:div>
    <w:div w:id="1976904496">
      <w:bodyDiv w:val="1"/>
      <w:marLeft w:val="0"/>
      <w:marRight w:val="0"/>
      <w:marTop w:val="0"/>
      <w:marBottom w:val="0"/>
      <w:divBdr>
        <w:top w:val="none" w:sz="0" w:space="0" w:color="auto"/>
        <w:left w:val="none" w:sz="0" w:space="0" w:color="auto"/>
        <w:bottom w:val="none" w:sz="0" w:space="0" w:color="auto"/>
        <w:right w:val="none" w:sz="0" w:space="0" w:color="auto"/>
      </w:divBdr>
    </w:div>
    <w:div w:id="1982466770">
      <w:bodyDiv w:val="1"/>
      <w:marLeft w:val="0"/>
      <w:marRight w:val="0"/>
      <w:marTop w:val="0"/>
      <w:marBottom w:val="0"/>
      <w:divBdr>
        <w:top w:val="none" w:sz="0" w:space="0" w:color="auto"/>
        <w:left w:val="none" w:sz="0" w:space="0" w:color="auto"/>
        <w:bottom w:val="none" w:sz="0" w:space="0" w:color="auto"/>
        <w:right w:val="none" w:sz="0" w:space="0" w:color="auto"/>
      </w:divBdr>
    </w:div>
    <w:div w:id="1982924298">
      <w:bodyDiv w:val="1"/>
      <w:marLeft w:val="0"/>
      <w:marRight w:val="0"/>
      <w:marTop w:val="0"/>
      <w:marBottom w:val="0"/>
      <w:divBdr>
        <w:top w:val="none" w:sz="0" w:space="0" w:color="auto"/>
        <w:left w:val="none" w:sz="0" w:space="0" w:color="auto"/>
        <w:bottom w:val="none" w:sz="0" w:space="0" w:color="auto"/>
        <w:right w:val="none" w:sz="0" w:space="0" w:color="auto"/>
      </w:divBdr>
    </w:div>
    <w:div w:id="2003579085">
      <w:bodyDiv w:val="1"/>
      <w:marLeft w:val="0"/>
      <w:marRight w:val="0"/>
      <w:marTop w:val="0"/>
      <w:marBottom w:val="0"/>
      <w:divBdr>
        <w:top w:val="none" w:sz="0" w:space="0" w:color="auto"/>
        <w:left w:val="none" w:sz="0" w:space="0" w:color="auto"/>
        <w:bottom w:val="none" w:sz="0" w:space="0" w:color="auto"/>
        <w:right w:val="none" w:sz="0" w:space="0" w:color="auto"/>
      </w:divBdr>
    </w:div>
    <w:div w:id="2036080073">
      <w:bodyDiv w:val="1"/>
      <w:marLeft w:val="0"/>
      <w:marRight w:val="0"/>
      <w:marTop w:val="0"/>
      <w:marBottom w:val="0"/>
      <w:divBdr>
        <w:top w:val="none" w:sz="0" w:space="0" w:color="auto"/>
        <w:left w:val="none" w:sz="0" w:space="0" w:color="auto"/>
        <w:bottom w:val="none" w:sz="0" w:space="0" w:color="auto"/>
        <w:right w:val="none" w:sz="0" w:space="0" w:color="auto"/>
      </w:divBdr>
    </w:div>
    <w:div w:id="2053842840">
      <w:bodyDiv w:val="1"/>
      <w:marLeft w:val="0"/>
      <w:marRight w:val="0"/>
      <w:marTop w:val="0"/>
      <w:marBottom w:val="0"/>
      <w:divBdr>
        <w:top w:val="none" w:sz="0" w:space="0" w:color="auto"/>
        <w:left w:val="none" w:sz="0" w:space="0" w:color="auto"/>
        <w:bottom w:val="none" w:sz="0" w:space="0" w:color="auto"/>
        <w:right w:val="none" w:sz="0" w:space="0" w:color="auto"/>
      </w:divBdr>
    </w:div>
    <w:div w:id="2066024202">
      <w:bodyDiv w:val="1"/>
      <w:marLeft w:val="0"/>
      <w:marRight w:val="0"/>
      <w:marTop w:val="0"/>
      <w:marBottom w:val="0"/>
      <w:divBdr>
        <w:top w:val="none" w:sz="0" w:space="0" w:color="auto"/>
        <w:left w:val="none" w:sz="0" w:space="0" w:color="auto"/>
        <w:bottom w:val="none" w:sz="0" w:space="0" w:color="auto"/>
        <w:right w:val="none" w:sz="0" w:space="0" w:color="auto"/>
      </w:divBdr>
    </w:div>
    <w:div w:id="2078899872">
      <w:bodyDiv w:val="1"/>
      <w:marLeft w:val="0"/>
      <w:marRight w:val="0"/>
      <w:marTop w:val="0"/>
      <w:marBottom w:val="0"/>
      <w:divBdr>
        <w:top w:val="none" w:sz="0" w:space="0" w:color="auto"/>
        <w:left w:val="none" w:sz="0" w:space="0" w:color="auto"/>
        <w:bottom w:val="none" w:sz="0" w:space="0" w:color="auto"/>
        <w:right w:val="none" w:sz="0" w:space="0" w:color="auto"/>
      </w:divBdr>
    </w:div>
    <w:div w:id="2081783264">
      <w:bodyDiv w:val="1"/>
      <w:marLeft w:val="0"/>
      <w:marRight w:val="0"/>
      <w:marTop w:val="0"/>
      <w:marBottom w:val="0"/>
      <w:divBdr>
        <w:top w:val="none" w:sz="0" w:space="0" w:color="auto"/>
        <w:left w:val="none" w:sz="0" w:space="0" w:color="auto"/>
        <w:bottom w:val="none" w:sz="0" w:space="0" w:color="auto"/>
        <w:right w:val="none" w:sz="0" w:space="0" w:color="auto"/>
      </w:divBdr>
    </w:div>
    <w:div w:id="2109349372">
      <w:bodyDiv w:val="1"/>
      <w:marLeft w:val="0"/>
      <w:marRight w:val="0"/>
      <w:marTop w:val="0"/>
      <w:marBottom w:val="0"/>
      <w:divBdr>
        <w:top w:val="none" w:sz="0" w:space="0" w:color="auto"/>
        <w:left w:val="none" w:sz="0" w:space="0" w:color="auto"/>
        <w:bottom w:val="none" w:sz="0" w:space="0" w:color="auto"/>
        <w:right w:val="none" w:sz="0" w:space="0" w:color="auto"/>
      </w:divBdr>
    </w:div>
    <w:div w:id="2120642190">
      <w:bodyDiv w:val="1"/>
      <w:marLeft w:val="0"/>
      <w:marRight w:val="0"/>
      <w:marTop w:val="0"/>
      <w:marBottom w:val="0"/>
      <w:divBdr>
        <w:top w:val="none" w:sz="0" w:space="0" w:color="auto"/>
        <w:left w:val="none" w:sz="0" w:space="0" w:color="auto"/>
        <w:bottom w:val="none" w:sz="0" w:space="0" w:color="auto"/>
        <w:right w:val="none" w:sz="0" w:space="0" w:color="auto"/>
      </w:divBdr>
    </w:div>
    <w:div w:id="2122456977">
      <w:bodyDiv w:val="1"/>
      <w:marLeft w:val="0"/>
      <w:marRight w:val="0"/>
      <w:marTop w:val="0"/>
      <w:marBottom w:val="0"/>
      <w:divBdr>
        <w:top w:val="none" w:sz="0" w:space="0" w:color="auto"/>
        <w:left w:val="none" w:sz="0" w:space="0" w:color="auto"/>
        <w:bottom w:val="none" w:sz="0" w:space="0" w:color="auto"/>
        <w:right w:val="none" w:sz="0" w:space="0" w:color="auto"/>
      </w:divBdr>
    </w:div>
    <w:div w:id="2137983332">
      <w:bodyDiv w:val="1"/>
      <w:marLeft w:val="0"/>
      <w:marRight w:val="0"/>
      <w:marTop w:val="0"/>
      <w:marBottom w:val="0"/>
      <w:divBdr>
        <w:top w:val="none" w:sz="0" w:space="0" w:color="auto"/>
        <w:left w:val="none" w:sz="0" w:space="0" w:color="auto"/>
        <w:bottom w:val="none" w:sz="0" w:space="0" w:color="auto"/>
        <w:right w:val="none" w:sz="0" w:space="0" w:color="auto"/>
      </w:divBdr>
    </w:div>
    <w:div w:id="214697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宋体+新罗马">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3ABEA-79CF-427F-B70A-EFB69B4E8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7864</TotalTime>
  <Pages>18</Pages>
  <Words>4849</Words>
  <Characters>27644</Characters>
  <Application>Microsoft Office Word</Application>
  <DocSecurity>0</DocSecurity>
  <Lines>230</Lines>
  <Paragraphs>64</Paragraphs>
  <ScaleCrop>false</ScaleCrop>
  <Company/>
  <LinksUpToDate>false</LinksUpToDate>
  <CharactersWithSpaces>32429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锦和 潘</dc:creator>
  <cp:keywords/>
  <dc:description/>
  <cp:lastModifiedBy>锦和 潘</cp:lastModifiedBy>
  <cp:revision>41</cp:revision>
  <dcterms:created xsi:type="dcterms:W3CDTF">2025-06-23T12:08:00Z</dcterms:created>
  <dcterms:modified xsi:type="dcterms:W3CDTF">2025-07-20T16:54:00Z</dcterms:modified>
</cp:coreProperties>
</file>