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03885" w14:textId="7E299FF7" w:rsidR="00D3161E" w:rsidRDefault="18A506B4" w:rsidP="5778762E">
      <w:pPr>
        <w:pStyle w:val="Heading3"/>
        <w:spacing w:before="281" w:after="281"/>
      </w:pPr>
      <w:r w:rsidRPr="5778762E">
        <w:rPr>
          <w:rFonts w:ascii="Aptos" w:eastAsia="Aptos" w:hAnsi="Aptos" w:cs="Aptos"/>
          <w:b/>
          <w:bCs/>
        </w:rPr>
        <w:t>3. Substantive gaps in the policy</w:t>
      </w:r>
    </w:p>
    <w:p w14:paraId="6AC8926B" w14:textId="0351CEBC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</w:rPr>
        <w:t>I've ordered these roughly by how likely they are to cause a problem in practice.</w:t>
      </w:r>
    </w:p>
    <w:p w14:paraId="11694132" w14:textId="32BF4F77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A. No size tiering — this is the one most likely to break the process.</w:t>
      </w:r>
      <w:r w:rsidRPr="5778762E">
        <w:rPr>
          <w:rFonts w:ascii="Aptos" w:eastAsia="Aptos" w:hAnsi="Aptos" w:cs="Aptos"/>
        </w:rPr>
        <w:t xml:space="preserve"> A small </w:t>
      </w:r>
      <w:r w:rsidR="00B351B2">
        <w:rPr>
          <w:rFonts w:ascii="Aptos" w:eastAsia="Aptos" w:hAnsi="Aptos" w:cs="Aptos"/>
        </w:rPr>
        <w:t xml:space="preserve">project or enhancement </w:t>
      </w:r>
      <w:r w:rsidRPr="5778762E">
        <w:rPr>
          <w:rFonts w:ascii="Aptos" w:eastAsia="Aptos" w:hAnsi="Aptos" w:cs="Aptos"/>
        </w:rPr>
        <w:t xml:space="preserve">and </w:t>
      </w:r>
      <w:proofErr w:type="spellStart"/>
      <w:proofErr w:type="gramStart"/>
      <w:r w:rsidRPr="5778762E">
        <w:rPr>
          <w:rFonts w:ascii="Aptos" w:eastAsia="Aptos" w:hAnsi="Aptos" w:cs="Aptos"/>
        </w:rPr>
        <w:t>a</w:t>
      </w:r>
      <w:proofErr w:type="spellEnd"/>
      <w:proofErr w:type="gramEnd"/>
      <w:r w:rsidRPr="5778762E">
        <w:rPr>
          <w:rFonts w:ascii="Aptos" w:eastAsia="Aptos" w:hAnsi="Aptos" w:cs="Aptos"/>
        </w:rPr>
        <w:t xml:space="preserve"> </w:t>
      </w:r>
      <w:r w:rsidR="00B351B2">
        <w:rPr>
          <w:rFonts w:ascii="Aptos" w:eastAsia="Aptos" w:hAnsi="Aptos" w:cs="Aptos"/>
        </w:rPr>
        <w:t>organization</w:t>
      </w:r>
      <w:r w:rsidRPr="5778762E">
        <w:rPr>
          <w:rFonts w:ascii="Aptos" w:eastAsia="Aptos" w:hAnsi="Aptos" w:cs="Aptos"/>
        </w:rPr>
        <w:t>-wide platform both go through four gates with ITC review at each. Departments will route around it. Recommend a two or three</w:t>
      </w:r>
      <w:r w:rsidR="0060374A">
        <w:rPr>
          <w:rFonts w:ascii="Aptos" w:eastAsia="Aptos" w:hAnsi="Aptos" w:cs="Aptos"/>
        </w:rPr>
        <w:t xml:space="preserve"> </w:t>
      </w:r>
      <w:r w:rsidRPr="5778762E">
        <w:rPr>
          <w:rFonts w:ascii="Aptos" w:eastAsia="Aptos" w:hAnsi="Aptos" w:cs="Aptos"/>
        </w:rPr>
        <w:t xml:space="preserve">tier model: a </w:t>
      </w:r>
      <w:r w:rsidRPr="5778762E">
        <w:rPr>
          <w:rFonts w:ascii="Aptos" w:eastAsia="Aptos" w:hAnsi="Aptos" w:cs="Aptos"/>
          <w:i/>
          <w:iCs/>
        </w:rPr>
        <w:t>lite</w:t>
      </w:r>
      <w:r w:rsidRPr="5778762E">
        <w:rPr>
          <w:rFonts w:ascii="Aptos" w:eastAsia="Aptos" w:hAnsi="Aptos" w:cs="Aptos"/>
        </w:rPr>
        <w:t xml:space="preserve"> path (single combined gate, IT-approved) below a defined cost/effort threshold, standard PTX above it, and a </w:t>
      </w:r>
      <w:r w:rsidRPr="5778762E">
        <w:rPr>
          <w:rFonts w:ascii="Aptos" w:eastAsia="Aptos" w:hAnsi="Aptos" w:cs="Aptos"/>
          <w:i/>
          <w:iCs/>
        </w:rPr>
        <w:t>major</w:t>
      </w:r>
      <w:r w:rsidRPr="5778762E">
        <w:rPr>
          <w:rFonts w:ascii="Aptos" w:eastAsia="Aptos" w:hAnsi="Aptos" w:cs="Aptos"/>
        </w:rPr>
        <w:t xml:space="preserve"> tier requiring BAPS Inc. leadership.</w:t>
      </w:r>
    </w:p>
    <w:p w14:paraId="23B97488" w14:textId="5C1002C4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B. ITC has no decision SLA.</w:t>
      </w:r>
      <w:r w:rsidRPr="5778762E">
        <w:rPr>
          <w:rFonts w:ascii="Aptos" w:eastAsia="Aptos" w:hAnsi="Aptos" w:cs="Aptos"/>
        </w:rPr>
        <w:t xml:space="preserve"> Departments have obligations at every gate; ITC has none. Add a meeting cadence, a decision turnaround (e.g. within one ITC cycle of a complete submission), and an auto-escalation if a decision slips. Without this, "the policy is slowing us down" becomes the standing complaint.</w:t>
      </w:r>
    </w:p>
    <w:p w14:paraId="09FB2967" w14:textId="7932003D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C. The support model is genuinely unclear</w:t>
      </w:r>
      <w:r w:rsidRPr="5778762E">
        <w:rPr>
          <w:rFonts w:ascii="Aptos" w:eastAsia="Aptos" w:hAnsi="Aptos" w:cs="Aptos"/>
        </w:rPr>
        <w:t xml:space="preserve"> (Dharmaketu's comment 4 isn't resolved). §3 says operational business-side support sits with Departments; §4.4 says IT transitions to a "production support group" after hypercare. Those aren't reconciled. Define a support tier model — who handles L1 user </w:t>
      </w:r>
      <w:r w:rsidR="000D044B">
        <w:rPr>
          <w:rFonts w:ascii="Aptos" w:eastAsia="Aptos" w:hAnsi="Aptos" w:cs="Aptos"/>
        </w:rPr>
        <w:t xml:space="preserve">how-to </w:t>
      </w:r>
      <w:r w:rsidRPr="5778762E">
        <w:rPr>
          <w:rFonts w:ascii="Aptos" w:eastAsia="Aptos" w:hAnsi="Aptos" w:cs="Aptos"/>
        </w:rPr>
        <w:t>questions, L2 functional</w:t>
      </w:r>
      <w:r w:rsidR="000D044B">
        <w:rPr>
          <w:rFonts w:ascii="Aptos" w:eastAsia="Aptos" w:hAnsi="Aptos" w:cs="Aptos"/>
        </w:rPr>
        <w:t xml:space="preserve"> configurations</w:t>
      </w:r>
      <w:r w:rsidRPr="5778762E">
        <w:rPr>
          <w:rFonts w:ascii="Aptos" w:eastAsia="Aptos" w:hAnsi="Aptos" w:cs="Aptos"/>
        </w:rPr>
        <w:t>, L3 technical — and define hypercare duration and its exit criteria.</w:t>
      </w:r>
    </w:p>
    <w:p w14:paraId="7D2AC913" w14:textId="2EDF68F1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D. Gate 4.2 and 4.3 overlap.</w:t>
      </w:r>
      <w:r w:rsidRPr="5778762E">
        <w:rPr>
          <w:rFonts w:ascii="Aptos" w:eastAsia="Aptos" w:hAnsi="Aptos" w:cs="Aptos"/>
        </w:rPr>
        <w:t xml:space="preserve"> §4.1 grants approval to proceed to </w:t>
      </w:r>
      <w:r w:rsidRPr="5778762E">
        <w:rPr>
          <w:rFonts w:ascii="Aptos" w:eastAsia="Aptos" w:hAnsi="Aptos" w:cs="Aptos"/>
          <w:i/>
          <w:iCs/>
        </w:rPr>
        <w:t>requirements definition</w:t>
      </w:r>
      <w:r w:rsidRPr="5778762E">
        <w:rPr>
          <w:rFonts w:ascii="Aptos" w:eastAsia="Aptos" w:hAnsi="Aptos" w:cs="Aptos"/>
        </w:rPr>
        <w:t xml:space="preserve">. §4.2 is titled "Permit to Design, Estimate, and Plan" but its body describes requirements elicitation, then grants approval to proceed to </w:t>
      </w:r>
      <w:r w:rsidRPr="5778762E">
        <w:rPr>
          <w:rFonts w:ascii="Aptos" w:eastAsia="Aptos" w:hAnsi="Aptos" w:cs="Aptos"/>
          <w:i/>
          <w:iCs/>
        </w:rPr>
        <w:t>design and planning</w:t>
      </w:r>
      <w:r w:rsidRPr="5778762E">
        <w:rPr>
          <w:rFonts w:ascii="Aptos" w:eastAsia="Aptos" w:hAnsi="Aptos" w:cs="Aptos"/>
        </w:rPr>
        <w:t xml:space="preserve">. §4.3 then says IT produces the technical design — which 4.2 just authorized — and grants approval to </w:t>
      </w:r>
      <w:r w:rsidRPr="5778762E">
        <w:rPr>
          <w:rFonts w:ascii="Aptos" w:eastAsia="Aptos" w:hAnsi="Aptos" w:cs="Aptos"/>
          <w:i/>
          <w:iCs/>
        </w:rPr>
        <w:t>build</w:t>
      </w:r>
      <w:r w:rsidRPr="5778762E">
        <w:rPr>
          <w:rFonts w:ascii="Aptos" w:eastAsia="Aptos" w:hAnsi="Aptos" w:cs="Aptos"/>
        </w:rPr>
        <w:t>. The naming is effectively off by one. Either rename 4.2 to "Permit to Define Requirements" or move the design work explicitly into 4.3's pre-work.</w:t>
      </w:r>
    </w:p>
    <w:p w14:paraId="38F1CC5B" w14:textId="3056AC89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 xml:space="preserve">E. P0 classification doesn't say what P0 </w:t>
      </w:r>
      <w:r w:rsidRPr="5778762E">
        <w:rPr>
          <w:rFonts w:ascii="Aptos" w:eastAsia="Aptos" w:hAnsi="Aptos" w:cs="Aptos"/>
          <w:b/>
          <w:bCs/>
          <w:i/>
          <w:iCs/>
        </w:rPr>
        <w:t>gets you</w:t>
      </w:r>
      <w:r w:rsidRPr="5778762E">
        <w:rPr>
          <w:rFonts w:ascii="Aptos" w:eastAsia="Aptos" w:hAnsi="Aptos" w:cs="Aptos"/>
          <w:b/>
          <w:bCs/>
        </w:rPr>
        <w:t>.</w:t>
      </w:r>
      <w:r w:rsidRPr="5778762E">
        <w:rPr>
          <w:rFonts w:ascii="Aptos" w:eastAsia="Aptos" w:hAnsi="Aptos" w:cs="Aptos"/>
        </w:rPr>
        <w:t xml:space="preserve"> §8 explains how ITC decides, but not the consequence. Does a P0 skip gates? Jump the queue? Get dedicated resources? If a P0 still walks all four gates at normal speed, the label is meaningless. Also </w:t>
      </w:r>
      <w:proofErr w:type="gramStart"/>
      <w:r w:rsidRPr="5778762E">
        <w:rPr>
          <w:rFonts w:ascii="Aptos" w:eastAsia="Aptos" w:hAnsi="Aptos" w:cs="Aptos"/>
        </w:rPr>
        <w:t>missing:</w:t>
      </w:r>
      <w:proofErr w:type="gramEnd"/>
      <w:r w:rsidRPr="5778762E">
        <w:rPr>
          <w:rFonts w:ascii="Aptos" w:eastAsia="Aptos" w:hAnsi="Aptos" w:cs="Aptos"/>
        </w:rPr>
        <w:t xml:space="preserve"> priority tiers below P0 (P1/P2/P3) and any published view of the backlog.</w:t>
      </w:r>
    </w:p>
    <w:p w14:paraId="7ABDFEFF" w14:textId="68F6A684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F. The 5% variance rule is under-specified.</w:t>
      </w:r>
      <w:r w:rsidRPr="5778762E">
        <w:rPr>
          <w:rFonts w:ascii="Aptos" w:eastAsia="Aptos" w:hAnsi="Aptos" w:cs="Aptos"/>
        </w:rPr>
        <w:t xml:space="preserve"> 5% of </w:t>
      </w:r>
      <w:r w:rsidRPr="5778762E">
        <w:rPr>
          <w:rFonts w:ascii="Aptos" w:eastAsia="Aptos" w:hAnsi="Aptos" w:cs="Aptos"/>
          <w:i/>
          <w:iCs/>
        </w:rPr>
        <w:t>which</w:t>
      </w:r>
      <w:r w:rsidRPr="5778762E">
        <w:rPr>
          <w:rFonts w:ascii="Aptos" w:eastAsia="Aptos" w:hAnsi="Aptos" w:cs="Aptos"/>
        </w:rPr>
        <w:t xml:space="preserve"> baseline — original or most recently re-approved? Cumulative across changes or per change? 5% of timeline on a 12-month project is 18 days, which is very tight. Suggest: cost threshold = greater of 5% or a fixed dollar floor, tracked cumulatively; separate, looser threshold for schedule. This is also where Satyanishth's cost-cap idea (comment 24) should land — the two mechanisms need to be merged, not stacked.</w:t>
      </w:r>
    </w:p>
    <w:p w14:paraId="140E09F1" w14:textId="74147D01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lastRenderedPageBreak/>
        <w:t>G. Contingency (40% / 20% / 10%) is stated but not governed.</w:t>
      </w:r>
      <w:r w:rsidRPr="5778762E">
        <w:rPr>
          <w:rFonts w:ascii="Aptos" w:eastAsia="Aptos" w:hAnsi="Aptos" w:cs="Aptos"/>
        </w:rPr>
        <w:t xml:space="preserve"> Who owns it? Is it drawn down with approval or automatically available? Does consuming contingency count toward the 5% change threshold? Right </w:t>
      </w:r>
      <w:proofErr w:type="gramStart"/>
      <w:r w:rsidRPr="5778762E">
        <w:rPr>
          <w:rFonts w:ascii="Aptos" w:eastAsia="Aptos" w:hAnsi="Aptos" w:cs="Aptos"/>
        </w:rPr>
        <w:t>now</w:t>
      </w:r>
      <w:proofErr w:type="gramEnd"/>
      <w:r w:rsidRPr="5778762E">
        <w:rPr>
          <w:rFonts w:ascii="Aptos" w:eastAsia="Aptos" w:hAnsi="Aptos" w:cs="Aptos"/>
        </w:rPr>
        <w:t xml:space="preserve"> a project could burn 40% contingency with no change request at all.</w:t>
      </w:r>
    </w:p>
    <w:p w14:paraId="580A002B" w14:textId="4D53DFED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H. No ITC charter details.</w:t>
      </w:r>
      <w:r w:rsidRPr="5778762E">
        <w:rPr>
          <w:rFonts w:ascii="Aptos" w:eastAsia="Aptos" w:hAnsi="Aptos" w:cs="Aptos"/>
        </w:rPr>
        <w:t xml:space="preserve"> Composition, quorum, how decisions are made (consensus or vote), delegation when members are unavailable, and conflict-of-interest handling are all undefined for a body that holds sole discretion over prioritization and P0.</w:t>
      </w:r>
    </w:p>
    <w:p w14:paraId="089C6B57" w14:textId="583AEFAF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I. No Department appeal path.</w:t>
      </w:r>
      <w:r w:rsidRPr="5778762E">
        <w:rPr>
          <w:rFonts w:ascii="Aptos" w:eastAsia="Aptos" w:hAnsi="Aptos" w:cs="Aptos"/>
        </w:rPr>
        <w:t xml:space="preserve"> §8 gives ITC sole discretion; §10 (with "reject" struck) gives ITC broad authority. There's no route for a </w:t>
      </w:r>
      <w:proofErr w:type="gramStart"/>
      <w:r w:rsidRPr="5778762E">
        <w:rPr>
          <w:rFonts w:ascii="Aptos" w:eastAsia="Aptos" w:hAnsi="Aptos" w:cs="Aptos"/>
        </w:rPr>
        <w:t>Department</w:t>
      </w:r>
      <w:proofErr w:type="gramEnd"/>
      <w:r w:rsidRPr="5778762E">
        <w:rPr>
          <w:rFonts w:ascii="Aptos" w:eastAsia="Aptos" w:hAnsi="Aptos" w:cs="Aptos"/>
        </w:rPr>
        <w:t xml:space="preserve"> that disagrees. Add a defined escalation to BAPS Inc. leadership with criteria.</w:t>
      </w:r>
    </w:p>
    <w:p w14:paraId="03B4849F" w14:textId="040CAF30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J. Vendor / third-party procurement is entirely absent.</w:t>
      </w:r>
      <w:r w:rsidRPr="5778762E">
        <w:rPr>
          <w:rFonts w:ascii="Aptos" w:eastAsia="Aptos" w:hAnsi="Aptos" w:cs="Aptos"/>
        </w:rPr>
        <w:t xml:space="preserve"> Many projects will be SaaS or </w:t>
      </w:r>
      <w:proofErr w:type="gramStart"/>
      <w:r w:rsidRPr="5778762E">
        <w:rPr>
          <w:rFonts w:ascii="Aptos" w:eastAsia="Aptos" w:hAnsi="Aptos" w:cs="Aptos"/>
        </w:rPr>
        <w:t>vendor-delivered</w:t>
      </w:r>
      <w:proofErr w:type="gramEnd"/>
      <w:r w:rsidRPr="5778762E">
        <w:rPr>
          <w:rFonts w:ascii="Aptos" w:eastAsia="Aptos" w:hAnsi="Aptos" w:cs="Aptos"/>
        </w:rPr>
        <w:t>. No gate covers vendor selection, contract and licensing review, data processing terms, security assessment of the vendor, or exit/data-portability. Recommend adding this to §4.2's assessment list and a vendor clause in §3.</w:t>
      </w:r>
    </w:p>
    <w:p w14:paraId="416DCDFE" w14:textId="54073F09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K. Funding source is never addressed.</w:t>
      </w:r>
      <w:r w:rsidRPr="5778762E">
        <w:rPr>
          <w:rFonts w:ascii="Aptos" w:eastAsia="Aptos" w:hAnsi="Aptos" w:cs="Aptos"/>
        </w:rPr>
        <w:t xml:space="preserve"> Department budget or central IT budget? What happens when an approved project crosses a fiscal-year boundary or exceeds available funds? §11 gives ITC "review of budgets" but no funding model sits underneath it.</w:t>
      </w:r>
    </w:p>
    <w:p w14:paraId="679CEB21" w14:textId="387782B5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L. No benefits realization.</w:t>
      </w:r>
      <w:r w:rsidRPr="5778762E">
        <w:rPr>
          <w:rFonts w:ascii="Aptos" w:eastAsia="Aptos" w:hAnsi="Aptos" w:cs="Aptos"/>
        </w:rPr>
        <w:t xml:space="preserve"> §7 requires business value and expected benefits at intake, but nothing ever checks whether they materialized. Add a fifth gate or a post-implementation review at 60–90 days, reported to ITC. This also creates the feedback loop that makes future estimates better.</w:t>
      </w:r>
    </w:p>
    <w:p w14:paraId="12CE39FF" w14:textId="6EF0B3CF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M. Data governance is thin</w:t>
      </w:r>
      <w:r w:rsidRPr="5778762E">
        <w:rPr>
          <w:rFonts w:ascii="Aptos" w:eastAsia="Aptos" w:hAnsi="Aptos" w:cs="Aptos"/>
        </w:rPr>
        <w:t xml:space="preserve"> — Satyanishth's comment 13 points at this. Beyond adding those terms, consider donor/devotee PII handling, retention, and the fact that this policy spans multiple jurisdictions (the reviewers are in Melbourne, Chicago, and Houston). Cross-border data handling deserves at least a sentence.</w:t>
      </w:r>
    </w:p>
    <w:p w14:paraId="49DE7577" w14:textId="21D82C72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N. Volunteer resourcing isn't acknowledged.</w:t>
      </w:r>
      <w:r w:rsidRPr="5778762E">
        <w:rPr>
          <w:rFonts w:ascii="Aptos" w:eastAsia="Aptos" w:hAnsi="Aptos" w:cs="Aptos"/>
        </w:rPr>
        <w:t xml:space="preserve"> The policy assumes assignable IT resources with predictable capacity. In practice a significant share of delivery capacity is likely volunteer. Nothing covers what happens when a resource becomes unavailable mid-build, or how capacity is realistically forecast at the Permit to Build gate. This may be the biggest gap between the policy as written and how delivery </w:t>
      </w:r>
      <w:proofErr w:type="gramStart"/>
      <w:r w:rsidRPr="5778762E">
        <w:rPr>
          <w:rFonts w:ascii="Aptos" w:eastAsia="Aptos" w:hAnsi="Aptos" w:cs="Aptos"/>
        </w:rPr>
        <w:t>actually goes</w:t>
      </w:r>
      <w:proofErr w:type="gramEnd"/>
      <w:r w:rsidRPr="5778762E">
        <w:rPr>
          <w:rFonts w:ascii="Aptos" w:eastAsia="Aptos" w:hAnsi="Aptos" w:cs="Aptos"/>
        </w:rPr>
        <w:t>.</w:t>
      </w:r>
    </w:p>
    <w:p w14:paraId="54B4D942" w14:textId="4ABE45F0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O. No emergency / event-driven fast path.</w:t>
      </w:r>
      <w:r w:rsidRPr="5778762E">
        <w:rPr>
          <w:rFonts w:ascii="Aptos" w:eastAsia="Aptos" w:hAnsi="Aptos" w:cs="Aptos"/>
        </w:rPr>
        <w:t xml:space="preserve"> §12 allows exceptions "approved by ITC" with no criteria or timeline. Festival and event deadlines are immovable and real. Without a </w:t>
      </w:r>
      <w:r w:rsidRPr="5778762E">
        <w:rPr>
          <w:rFonts w:ascii="Aptos" w:eastAsia="Aptos" w:hAnsi="Aptos" w:cs="Aptos"/>
        </w:rPr>
        <w:lastRenderedPageBreak/>
        <w:t>defined compressed path, urgent work will simply bypass the policy — and once that happens once, it happens routinely.</w:t>
      </w:r>
    </w:p>
    <w:p w14:paraId="11B4E25D" w14:textId="6238DAB1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P. Missing artifacts.</w:t>
      </w:r>
      <w:r w:rsidRPr="5778762E">
        <w:rPr>
          <w:rFonts w:ascii="Aptos" w:eastAsia="Aptos" w:hAnsi="Aptos" w:cs="Aptos"/>
        </w:rPr>
        <w:t xml:space="preserve"> Both comments 0 and 15 are really asking for this. The memo references but doesn't attach: the project questionnaire, proposal template, change request form, PTX approval record, UAT sign-off, and rollout readiness checklist. List them as appendices with named owners and dates.</w:t>
      </w:r>
    </w:p>
    <w:p w14:paraId="2E15E94F" w14:textId="1FD35C91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Q. No RACI</w:t>
      </w:r>
      <w:r w:rsidRPr="5778762E">
        <w:rPr>
          <w:rFonts w:ascii="Aptos" w:eastAsia="Aptos" w:hAnsi="Aptos" w:cs="Aptos"/>
        </w:rPr>
        <w:t xml:space="preserve"> (Ashish's comment 20). A gate-by-gate RACI table would resolve several of the ambiguities above at once — particularly the IT vs Department support question and who approves rollout.</w:t>
      </w:r>
    </w:p>
    <w:p w14:paraId="60F6E844" w14:textId="1DFE24D0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R. Rollout approval is inconsistent with the other gates.</w:t>
      </w:r>
      <w:r w:rsidRPr="5778762E">
        <w:rPr>
          <w:rFonts w:ascii="Aptos" w:eastAsia="Aptos" w:hAnsi="Aptos" w:cs="Aptos"/>
        </w:rPr>
        <w:t xml:space="preserve"> ITC approves gates 1–3; §4.4 says rollout readiness comes jointly from IT RGC and the Department, with ITC absent. Deliberate or an oversight? State it either way.</w:t>
      </w:r>
    </w:p>
    <w:p w14:paraId="4911A606" w14:textId="31E6FD8D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  <w:b/>
          <w:bCs/>
        </w:rPr>
        <w:t>S. No metrics or policy review cadence.</w:t>
      </w:r>
      <w:r w:rsidRPr="5778762E">
        <w:rPr>
          <w:rFonts w:ascii="Aptos" w:eastAsia="Aptos" w:hAnsi="Aptos" w:cs="Aptos"/>
        </w:rPr>
        <w:t xml:space="preserve"> Add a small set of KPIs (gate cycle time, estimate accuracy, change request volume, % delivered to approved cost) and commit to reviewing the policy itself annually.</w:t>
      </w:r>
    </w:p>
    <w:p w14:paraId="58B587CF" w14:textId="4C79CD25" w:rsidR="00D3161E" w:rsidRDefault="00D3161E"/>
    <w:p w14:paraId="4CBD7D8B" w14:textId="5AF67BC9" w:rsidR="00D3161E" w:rsidRDefault="18A506B4" w:rsidP="5778762E">
      <w:pPr>
        <w:pStyle w:val="Heading3"/>
        <w:spacing w:before="281" w:after="281"/>
      </w:pPr>
      <w:r w:rsidRPr="5778762E">
        <w:rPr>
          <w:rFonts w:ascii="Aptos" w:eastAsia="Aptos" w:hAnsi="Aptos" w:cs="Aptos"/>
          <w:b/>
          <w:bCs/>
        </w:rPr>
        <w:t>4. Editorial fixes</w:t>
      </w:r>
    </w:p>
    <w:p w14:paraId="351EAFA7" w14:textId="5E24FAB6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§3, para 1</w:t>
      </w:r>
      <w:r w:rsidRPr="5778762E">
        <w:rPr>
          <w:rFonts w:ascii="Aptos" w:eastAsia="Aptos" w:hAnsi="Aptos" w:cs="Aptos"/>
        </w:rPr>
        <w:t xml:space="preserve"> is a sentence fragment: </w:t>
      </w:r>
      <w:r w:rsidRPr="5778762E">
        <w:rPr>
          <w:rFonts w:ascii="Aptos" w:eastAsia="Aptos" w:hAnsi="Aptos" w:cs="Aptos"/>
          <w:i/>
          <w:iCs/>
        </w:rPr>
        <w:t>"All resources including development, architecture… and deployment."</w:t>
      </w:r>
      <w:r w:rsidRPr="5778762E">
        <w:rPr>
          <w:rFonts w:ascii="Aptos" w:eastAsia="Aptos" w:hAnsi="Aptos" w:cs="Aptos"/>
        </w:rPr>
        <w:t xml:space="preserve"> — no verb.</w:t>
      </w:r>
    </w:p>
    <w:p w14:paraId="3D33DEAF" w14:textId="1DE4778F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§7 heading line</w:t>
      </w:r>
      <w:r w:rsidRPr="5778762E">
        <w:rPr>
          <w:rFonts w:ascii="Aptos" w:eastAsia="Aptos" w:hAnsi="Aptos" w:cs="Aptos"/>
        </w:rPr>
        <w:t xml:space="preserve"> has unbalanced parentheses: All projects (New (application/platform/system capability) /Existing (new phase/major feature).</w:t>
      </w:r>
    </w:p>
    <w:p w14:paraId="7A780887" w14:textId="2077B4C7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§12</w:t>
      </w:r>
      <w:r w:rsidRPr="5778762E">
        <w:rPr>
          <w:rFonts w:ascii="Aptos" w:eastAsia="Aptos" w:hAnsi="Aptos" w:cs="Aptos"/>
        </w:rPr>
        <w:t>: "returned for reprioritized" → "returned for reprioritization."</w:t>
      </w:r>
    </w:p>
    <w:p w14:paraId="330248B6" w14:textId="3A0EF7D5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§11, IT RGC</w:t>
      </w:r>
      <w:r w:rsidRPr="5778762E">
        <w:rPr>
          <w:rFonts w:ascii="Aptos" w:eastAsia="Aptos" w:hAnsi="Aptos" w:cs="Aptos"/>
        </w:rPr>
        <w:t>: three unlabeled paragraphs follow the bolded role name; a reader can't tell whether they all belong to IT RGC. Merge or sub-label.</w:t>
      </w:r>
    </w:p>
    <w:p w14:paraId="083AF6D1" w14:textId="3A2522B8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§6</w:t>
      </w:r>
      <w:r w:rsidRPr="5778762E">
        <w:rPr>
          <w:rFonts w:ascii="Aptos" w:eastAsia="Aptos" w:hAnsi="Aptos" w:cs="Aptos"/>
        </w:rPr>
        <w:t>: bullet punctuation is inconsistent (some end with periods, most don't).</w:t>
      </w:r>
    </w:p>
    <w:p w14:paraId="594CF445" w14:textId="08A0D8DA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§4.2</w:t>
      </w:r>
      <w:r w:rsidRPr="5778762E">
        <w:rPr>
          <w:rFonts w:ascii="Aptos" w:eastAsia="Aptos" w:hAnsi="Aptos" w:cs="Aptos"/>
        </w:rPr>
        <w:t xml:space="preserve">: "Department SME(s) are </w:t>
      </w:r>
      <w:r w:rsidRPr="5778762E">
        <w:rPr>
          <w:rFonts w:ascii="Aptos" w:eastAsia="Aptos" w:hAnsi="Aptos" w:cs="Aptos"/>
          <w:b/>
          <w:bCs/>
        </w:rPr>
        <w:t>requested to</w:t>
      </w:r>
      <w:r w:rsidRPr="5778762E">
        <w:rPr>
          <w:rFonts w:ascii="Aptos" w:eastAsia="Aptos" w:hAnsi="Aptos" w:cs="Aptos"/>
        </w:rPr>
        <w:t xml:space="preserve"> elicit requirements" — in a governance policy this should be "must" or "are responsible for."</w:t>
      </w:r>
    </w:p>
    <w:p w14:paraId="1E6EDED7" w14:textId="2BA36C31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Add a definitions section.</w:t>
      </w:r>
      <w:r w:rsidRPr="5778762E">
        <w:rPr>
          <w:rFonts w:ascii="Aptos" w:eastAsia="Aptos" w:hAnsi="Aptos" w:cs="Aptos"/>
        </w:rPr>
        <w:t xml:space="preserve"> PTX, ITC, IT RGC, BA, PM, SME, MVP, POC, UAT, hypercare, and especially </w:t>
      </w:r>
      <w:r w:rsidRPr="5778762E">
        <w:rPr>
          <w:rFonts w:ascii="Aptos" w:eastAsia="Aptos" w:hAnsi="Aptos" w:cs="Aptos"/>
          <w:b/>
          <w:bCs/>
        </w:rPr>
        <w:t>P0 vs S0</w:t>
      </w:r>
      <w:r w:rsidRPr="5778762E">
        <w:rPr>
          <w:rFonts w:ascii="Aptos" w:eastAsia="Aptos" w:hAnsi="Aptos" w:cs="Aptos"/>
        </w:rPr>
        <w:t xml:space="preserve"> — which is exactly what Dharmaketu was after in comment 22.</w:t>
      </w:r>
    </w:p>
    <w:p w14:paraId="5B0ED33A" w14:textId="0D927C64" w:rsidR="00D3161E" w:rsidRDefault="18A506B4" w:rsidP="5778762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  <w:b/>
          <w:bCs/>
        </w:rPr>
        <w:t>Versioning</w:t>
      </w:r>
      <w:r w:rsidRPr="5778762E">
        <w:rPr>
          <w:rFonts w:ascii="Aptos" w:eastAsia="Aptos" w:hAnsi="Aptos" w:cs="Aptos"/>
        </w:rPr>
        <w:t>: "Draft v1.0" should be v0.x until approved, with a revision history table showing reviewers and dates.</w:t>
      </w:r>
    </w:p>
    <w:p w14:paraId="5E9825E3" w14:textId="7947599F" w:rsidR="00D3161E" w:rsidRDefault="00D3161E"/>
    <w:p w14:paraId="1193F922" w14:textId="3F1B8727" w:rsidR="00D3161E" w:rsidRDefault="18A506B4" w:rsidP="5778762E">
      <w:pPr>
        <w:pStyle w:val="Heading3"/>
        <w:spacing w:before="281" w:after="281"/>
      </w:pPr>
      <w:r w:rsidRPr="5778762E">
        <w:rPr>
          <w:rFonts w:ascii="Aptos" w:eastAsia="Aptos" w:hAnsi="Aptos" w:cs="Aptos"/>
          <w:b/>
          <w:bCs/>
        </w:rPr>
        <w:t>5. Suggested next steps</w:t>
      </w:r>
    </w:p>
    <w:p w14:paraId="47D6B3D3" w14:textId="7408E2E8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Get a decision on the struck-through "Reject the change request" line — it changes what §10 means.</w:t>
      </w:r>
    </w:p>
    <w:p w14:paraId="0B03C5E6" w14:textId="09A584EB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Route the draft back to Satyanishth Swami; his entire August 1 round is unanswered.</w:t>
      </w:r>
    </w:p>
    <w:p w14:paraId="62B73027" w14:textId="19FC3E2A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Put dates and owners on the two open drafting actions (the IT process doc and the change request process) — both currently sit with Sandip Patel / Ashish Trivedi with no deadline.</w:t>
      </w:r>
    </w:p>
    <w:p w14:paraId="596DB687" w14:textId="134A5153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Add the tiering model (gap A) and the ITC decision SLA (gap B) before publishing. These two determine whether the policy is used or bypassed.</w:t>
      </w:r>
    </w:p>
    <w:p w14:paraId="1A0876A6" w14:textId="4E4EEAD0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Reset the effective date and add a transition clause for in-flight projects.</w:t>
      </w:r>
    </w:p>
    <w:p w14:paraId="0B7E7E2B" w14:textId="32591FD0" w:rsidR="00D3161E" w:rsidRDefault="18A506B4" w:rsidP="5778762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778762E">
        <w:rPr>
          <w:rFonts w:ascii="Aptos" w:eastAsia="Aptos" w:hAnsi="Aptos" w:cs="Aptos"/>
        </w:rPr>
        <w:t>Resolve or reply to all 26 comments in Word so the next version has a clean margin.</w:t>
      </w:r>
    </w:p>
    <w:p w14:paraId="4C90A6BB" w14:textId="5CB10705" w:rsidR="00D3161E" w:rsidRDefault="18A506B4" w:rsidP="5778762E">
      <w:pPr>
        <w:spacing w:before="240" w:after="240"/>
      </w:pPr>
      <w:r w:rsidRPr="5778762E">
        <w:rPr>
          <w:rFonts w:ascii="Aptos" w:eastAsia="Aptos" w:hAnsi="Aptos" w:cs="Aptos"/>
        </w:rPr>
        <w:t xml:space="preserve">If it's useful, I can turn this into a Word document you can </w:t>
      </w:r>
      <w:proofErr w:type="gramStart"/>
      <w:r w:rsidRPr="5778762E">
        <w:rPr>
          <w:rFonts w:ascii="Aptos" w:eastAsia="Aptos" w:hAnsi="Aptos" w:cs="Aptos"/>
        </w:rPr>
        <w:t>circulate, or</w:t>
      </w:r>
      <w:proofErr w:type="gramEnd"/>
      <w:r w:rsidRPr="5778762E">
        <w:rPr>
          <w:rFonts w:ascii="Aptos" w:eastAsia="Aptos" w:hAnsi="Aptos" w:cs="Aptos"/>
        </w:rPr>
        <w:t xml:space="preserve"> produce a marked-up version of the memo itself with these as tracked changes and comments.</w:t>
      </w:r>
    </w:p>
    <w:p w14:paraId="2C078E63" w14:textId="522193E1" w:rsidR="00D3161E" w:rsidRDefault="00D3161E"/>
    <w:sectPr w:rsidR="00D31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5BA78D"/>
    <w:multiLevelType w:val="hybridMultilevel"/>
    <w:tmpl w:val="4C6C261E"/>
    <w:lvl w:ilvl="0" w:tplc="9F2E3394">
      <w:start w:val="1"/>
      <w:numFmt w:val="decimal"/>
      <w:lvlText w:val="%1."/>
      <w:lvlJc w:val="left"/>
      <w:pPr>
        <w:ind w:left="720" w:hanging="360"/>
      </w:pPr>
    </w:lvl>
    <w:lvl w:ilvl="1" w:tplc="FF748BA6">
      <w:start w:val="1"/>
      <w:numFmt w:val="lowerLetter"/>
      <w:lvlText w:val="%2."/>
      <w:lvlJc w:val="left"/>
      <w:pPr>
        <w:ind w:left="1440" w:hanging="360"/>
      </w:pPr>
    </w:lvl>
    <w:lvl w:ilvl="2" w:tplc="D344530A">
      <w:start w:val="1"/>
      <w:numFmt w:val="lowerRoman"/>
      <w:lvlText w:val="%3."/>
      <w:lvlJc w:val="right"/>
      <w:pPr>
        <w:ind w:left="2160" w:hanging="180"/>
      </w:pPr>
    </w:lvl>
    <w:lvl w:ilvl="3" w:tplc="F97485C8">
      <w:start w:val="1"/>
      <w:numFmt w:val="decimal"/>
      <w:lvlText w:val="%4."/>
      <w:lvlJc w:val="left"/>
      <w:pPr>
        <w:ind w:left="2880" w:hanging="360"/>
      </w:pPr>
    </w:lvl>
    <w:lvl w:ilvl="4" w:tplc="B10A626E">
      <w:start w:val="1"/>
      <w:numFmt w:val="lowerLetter"/>
      <w:lvlText w:val="%5."/>
      <w:lvlJc w:val="left"/>
      <w:pPr>
        <w:ind w:left="3600" w:hanging="360"/>
      </w:pPr>
    </w:lvl>
    <w:lvl w:ilvl="5" w:tplc="A2E0E040">
      <w:start w:val="1"/>
      <w:numFmt w:val="lowerRoman"/>
      <w:lvlText w:val="%6."/>
      <w:lvlJc w:val="right"/>
      <w:pPr>
        <w:ind w:left="4320" w:hanging="180"/>
      </w:pPr>
    </w:lvl>
    <w:lvl w:ilvl="6" w:tplc="7584DE56">
      <w:start w:val="1"/>
      <w:numFmt w:val="decimal"/>
      <w:lvlText w:val="%7."/>
      <w:lvlJc w:val="left"/>
      <w:pPr>
        <w:ind w:left="5040" w:hanging="360"/>
      </w:pPr>
    </w:lvl>
    <w:lvl w:ilvl="7" w:tplc="1B7A77B8">
      <w:start w:val="1"/>
      <w:numFmt w:val="lowerLetter"/>
      <w:lvlText w:val="%8."/>
      <w:lvlJc w:val="left"/>
      <w:pPr>
        <w:ind w:left="5760" w:hanging="360"/>
      </w:pPr>
    </w:lvl>
    <w:lvl w:ilvl="8" w:tplc="46F6A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3B7DE"/>
    <w:multiLevelType w:val="hybridMultilevel"/>
    <w:tmpl w:val="8C343E24"/>
    <w:lvl w:ilvl="0" w:tplc="3F18F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62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C7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4E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03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EF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0E5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EC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2D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034061">
    <w:abstractNumId w:val="0"/>
  </w:num>
  <w:num w:numId="2" w16cid:durableId="4756074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CEB007"/>
    <w:rsid w:val="000D044B"/>
    <w:rsid w:val="0060374A"/>
    <w:rsid w:val="007649DF"/>
    <w:rsid w:val="00B351B2"/>
    <w:rsid w:val="00D3161E"/>
    <w:rsid w:val="18A506B4"/>
    <w:rsid w:val="30CEB007"/>
    <w:rsid w:val="5778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B381"/>
  <w15:chartTrackingRefBased/>
  <w15:docId w15:val="{2A962C2C-9295-4B2F-9E70-0B12EDAA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0C537D52403F4F89FFB2EC7BE6FA1B" ma:contentTypeVersion="14" ma:contentTypeDescription="Create a new document." ma:contentTypeScope="" ma:versionID="df2cd88549f8538d33d55c3aedb8d98a">
  <xsd:schema xmlns:xsd="http://www.w3.org/2001/XMLSchema" xmlns:xs="http://www.w3.org/2001/XMLSchema" xmlns:p="http://schemas.microsoft.com/office/2006/metadata/properties" xmlns:ns2="a8b912cc-b54c-4054-9982-3c098b6660ec" xmlns:ns3="cd7208ed-f54f-48a8-9e79-af9a2c9fba6e" targetNamespace="http://schemas.microsoft.com/office/2006/metadata/properties" ma:root="true" ma:fieldsID="eec7851af9e559f064189145d510b338" ns2:_="" ns3:_="">
    <xsd:import namespace="a8b912cc-b54c-4054-9982-3c098b6660ec"/>
    <xsd:import namespace="cd7208ed-f54f-48a8-9e79-af9a2c9fba6e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912cc-b54c-4054-9982-3c098b6660e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5" nillable="true" ma:displayName="Sign-off status" ma:internalName="Sign_x002d_off_x0020_status" ma:readOnly="fals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c2519b-0f9a-4a17-ad9d-0bed97339a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208ed-f54f-48a8-9e79-af9a2c9fba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e9e15ed-0671-4180-938a-178aeb492a64}" ma:internalName="TaxCatchAll" ma:showField="CatchAllData" ma:web="cd7208ed-f54f-48a8-9e79-af9a2c9fb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b912cc-b54c-4054-9982-3c098b6660ec">
      <Terms xmlns="http://schemas.microsoft.com/office/infopath/2007/PartnerControls"/>
    </lcf76f155ced4ddcb4097134ff3c332f>
    <TaxCatchAll xmlns="cd7208ed-f54f-48a8-9e79-af9a2c9fba6e" xsi:nil="true"/>
    <_Flow_SignoffStatus xmlns="a8b912cc-b54c-4054-9982-3c098b6660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346DA5-7670-4403-998F-7B3E16B0E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b912cc-b54c-4054-9982-3c098b6660ec"/>
    <ds:schemaRef ds:uri="cd7208ed-f54f-48a8-9e79-af9a2c9fb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E90B1-07CC-4796-A8A5-DC1B1DA9034F}">
  <ds:schemaRefs>
    <ds:schemaRef ds:uri="http://schemas.microsoft.com/office/2006/metadata/properties"/>
    <ds:schemaRef ds:uri="http://schemas.microsoft.com/office/infopath/2007/PartnerControls"/>
    <ds:schemaRef ds:uri="a8b912cc-b54c-4054-9982-3c098b6660ec"/>
    <ds:schemaRef ds:uri="cd7208ed-f54f-48a8-9e79-af9a2c9fba6e"/>
  </ds:schemaRefs>
</ds:datastoreItem>
</file>

<file path=customXml/itemProps3.xml><?xml version="1.0" encoding="utf-8"?>
<ds:datastoreItem xmlns:ds="http://schemas.openxmlformats.org/officeDocument/2006/customXml" ds:itemID="{4C5DBD41-77F7-4E3B-846B-54030663A4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Satyanishth Swami</dc:creator>
  <cp:keywords/>
  <dc:description/>
  <cp:lastModifiedBy>Satyanishthdas Sadhu</cp:lastModifiedBy>
  <cp:revision>4</cp:revision>
  <dcterms:created xsi:type="dcterms:W3CDTF">2026-08-02T14:17:00Z</dcterms:created>
  <dcterms:modified xsi:type="dcterms:W3CDTF">2026-08-02T14:22:00Z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0x010100B90C537D52403F4F89FFB2EC7BE6FA1B</vt:lpwstr>
  </property>
  <property fmtid="{D5CDD505-2E9C-101B-9397-08002B2CF9AE}" pid="3" name="MediaServiceImageTags">
    <vt:lpwstr/>
  </property>
</Properties>
</file>