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3ee639ac21feaa0116c72b51b09723046c9a5673.png"/>
            <a:graphic>
              <a:graphicData uri="http://schemas.openxmlformats.org/drawingml/2006/picture">
                <pic:pic>
                  <pic:nvPicPr>
                    <pic:cNvPr id="1" name="image-3ee639ac21feaa0116c72b51b09723046c9a567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abular_difference_between_hostin_71acf0"/>
      <w:r>
        <w:rPr>
          <w:rFonts w:eastAsia="georgia" w:cs="georgia" w:ascii="georgia" w:hAnsi="georgia"/>
          <w:b/>
          <w:color w:val="000000"/>
          <w:sz w:val="39"/>
        </w:rPr>
        <w:t xml:space="preserve">Tabular difference between hosting file services on on-prem Windows file server vs Azure Files vs Azure NetApp Files (Azure NAS) vs SharePoint Online.</w:t>
      </w:r>
      <w:bookmarkEnd w:id="0"/>
    </w:p>
    <w:p>
      <w:pPr>
        <w:spacing w:line="360" w:after="210" w:lineRule="auto"/>
      </w:pPr>
      <w:r>
        <w:rPr>
          <w:rFonts w:eastAsia="georgia" w:cs="georgia" w:ascii="georgia" w:hAnsi="georgia"/>
          <w:color w:val="000000"/>
        </w:rPr>
        <w:t xml:space="preserve">Context and current state:</w:t>
      </w:r>
      <w:r>
        <w:rPr>
          <w:rFonts w:eastAsia="georgia" w:cs="georgia" w:ascii="georgia" w:hAnsi="georgia"/>
          <w:color w:val="000000"/>
        </w:rPr>
        <w:br w:type="textWrapping"/>
      </w:r>
      <w:r>
        <w:rPr>
          <w:rFonts w:eastAsia="georgia" w:cs="georgia" w:ascii="georgia" w:hAnsi="georgia"/>
          <w:color w:val="000000"/>
        </w:rPr>
        <w:t xml:space="preserve">Existing environment has multiple Windows file servers joined to multiple child domains and independent forests.</w:t>
      </w:r>
      <w:r>
        <w:rPr>
          <w:rFonts w:eastAsia="georgia" w:cs="georgia" w:ascii="georgia" w:hAnsi="georgia"/>
          <w:color w:val="000000"/>
        </w:rPr>
        <w:br w:type="textWrapping"/>
      </w:r>
      <w:r>
        <w:rPr>
          <w:rFonts w:eastAsia="georgia" w:cs="georgia" w:ascii="georgia" w:hAnsi="georgia"/>
          <w:color w:val="000000"/>
        </w:rPr>
        <w:t xml:space="preserve">There are separate AD forests with no or limited trust between them, and file servers are joined to those respective domains.</w:t>
      </w:r>
      <w:r>
        <w:rPr>
          <w:rFonts w:eastAsia="georgia" w:cs="georgia" w:ascii="georgia" w:hAnsi="georgia"/>
          <w:color w:val="000000"/>
        </w:rPr>
        <w:br w:type="textWrapping"/>
      </w:r>
      <w:r>
        <w:rPr>
          <w:rFonts w:eastAsia="georgia" w:cs="georgia" w:ascii="georgia" w:hAnsi="georgia"/>
          <w:color w:val="000000"/>
        </w:rPr>
        <w:t xml:space="preserve">Users currently access data primarily via mapped SMB drives from on-prem Windows file servers.</w:t>
      </w:r>
      <w:r>
        <w:rPr>
          <w:rFonts w:eastAsia="georgia" w:cs="georgia" w:ascii="georgia" w:hAnsi="georgia"/>
          <w:color w:val="000000"/>
        </w:rPr>
        <w:br w:type="textWrapping"/>
      </w:r>
      <w:r>
        <w:rPr>
          <w:rFonts w:eastAsia="georgia" w:cs="georgia" w:ascii="georgia" w:hAnsi="georgia"/>
          <w:color w:val="000000"/>
        </w:rPr>
        <w:t xml:space="preserve">There is a requirement to maintain or improve current access patterns where possible, especially direct shared drive mapping for end users.</w:t>
      </w:r>
      <w:r>
        <w:rPr>
          <w:rFonts w:eastAsia="georgia" w:cs="georgia" w:ascii="georgia" w:hAnsi="georgia"/>
          <w:color w:val="000000"/>
        </w:rPr>
        <w:br w:type="textWrapping"/>
      </w:r>
      <w:r>
        <w:rPr>
          <w:rFonts w:eastAsia="georgia" w:cs="georgia" w:ascii="georgia" w:hAnsi="georgia"/>
          <w:color w:val="000000"/>
        </w:rPr>
        <w:t xml:space="preserve">Goals:</w:t>
      </w:r>
      <w:r>
        <w:rPr>
          <w:rFonts w:eastAsia="georgia" w:cs="georgia" w:ascii="georgia" w:hAnsi="georgia"/>
          <w:color w:val="000000"/>
        </w:rPr>
        <w:br w:type="textWrapping"/>
      </w:r>
      <w:r>
        <w:rPr>
          <w:rFonts w:eastAsia="georgia" w:cs="georgia" w:ascii="georgia" w:hAnsi="georgia"/>
          <w:color w:val="000000"/>
        </w:rPr>
        <w:t xml:space="preserve">Produce a detailed comparison table with at least the following columns:</w:t>
      </w:r>
      <w:r>
        <w:rPr>
          <w:rFonts w:eastAsia="georgia" w:cs="georgia" w:ascii="georgia" w:hAnsi="georgia"/>
          <w:color w:val="000000"/>
        </w:rPr>
        <w:br w:type="textWrapping"/>
      </w:r>
      <w:r>
        <w:rPr>
          <w:rFonts w:eastAsia="georgia" w:cs="georgia" w:ascii="georgia" w:hAnsi="georgia"/>
          <w:color w:val="000000"/>
        </w:rPr>
        <w:t xml:space="preserve">Solution (On-prem Windows file server / Azure Files / Azure NetApp Files (NAS) / SharePoint Online)</w:t>
      </w:r>
      <w:r>
        <w:rPr>
          <w:rFonts w:eastAsia="georgia" w:cs="georgia" w:ascii="georgia" w:hAnsi="georgia"/>
          <w:color w:val="000000"/>
        </w:rPr>
        <w:br w:type="textWrapping"/>
      </w:r>
      <w:r>
        <w:rPr>
          <w:rFonts w:eastAsia="georgia" w:cs="georgia" w:ascii="georgia" w:hAnsi="georgia"/>
          <w:color w:val="000000"/>
        </w:rPr>
        <w:t xml:space="preserve">Protocols and access methods (SMB/NFS/HTTPS, drive mapping support, Web/Teams)</w:t>
      </w:r>
      <w:r>
        <w:rPr>
          <w:rFonts w:eastAsia="georgia" w:cs="georgia" w:ascii="georgia" w:hAnsi="georgia"/>
          <w:color w:val="000000"/>
        </w:rPr>
        <w:br w:type="textWrapping"/>
      </w:r>
      <w:r>
        <w:rPr>
          <w:rFonts w:eastAsia="georgia" w:cs="georgia" w:ascii="georgia" w:hAnsi="georgia"/>
          <w:color w:val="000000"/>
        </w:rPr>
        <w:t xml:space="preserve">Identity and auth integration (AD DS, Azure AD DS, Entra ID, multi-forest/child domain support, trust requirements)</w:t>
      </w:r>
      <w:r>
        <w:rPr>
          <w:rFonts w:eastAsia="georgia" w:cs="georgia" w:ascii="georgia" w:hAnsi="georgia"/>
          <w:color w:val="000000"/>
        </w:rPr>
        <w:br w:type="textWrapping"/>
      </w:r>
      <w:r>
        <w:rPr>
          <w:rFonts w:eastAsia="georgia" w:cs="georgia" w:ascii="georgia" w:hAnsi="georgia"/>
          <w:color w:val="000000"/>
        </w:rPr>
        <w:t xml:space="preserve">Direct drive mapping feasibility (native SMB drive mapping, OneDrive sync, WebDAV, limitations)</w:t>
      </w:r>
      <w:r>
        <w:rPr>
          <w:rFonts w:eastAsia="georgia" w:cs="georgia" w:ascii="georgia" w:hAnsi="georgia"/>
          <w:color w:val="000000"/>
        </w:rPr>
        <w:br w:type="textWrapping"/>
      </w:r>
      <w:r>
        <w:rPr>
          <w:rFonts w:eastAsia="georgia" w:cs="georgia" w:ascii="georgia" w:hAnsi="georgia"/>
          <w:color w:val="000000"/>
        </w:rPr>
        <w:t xml:space="preserve">Typical use cases/workloads (user home drives, department shares, application shares, collaboration)</w:t>
      </w:r>
      <w:r>
        <w:rPr>
          <w:rFonts w:eastAsia="georgia" w:cs="georgia" w:ascii="georgia" w:hAnsi="georgia"/>
          <w:color w:val="000000"/>
        </w:rPr>
        <w:br w:type="textWrapping"/>
      </w:r>
      <w:r>
        <w:rPr>
          <w:rFonts w:eastAsia="georgia" w:cs="georgia" w:ascii="georgia" w:hAnsi="georgia"/>
          <w:color w:val="000000"/>
        </w:rPr>
        <w:t xml:space="preserve">Performance and latency expectations (local LAN vs internet/VPN/ExpressRoute, typical scenarios)</w:t>
      </w:r>
      <w:r>
        <w:rPr>
          <w:rFonts w:eastAsia="georgia" w:cs="georgia" w:ascii="georgia" w:hAnsi="georgia"/>
          <w:color w:val="000000"/>
        </w:rPr>
        <w:br w:type="textWrapping"/>
      </w:r>
      <w:r>
        <w:rPr>
          <w:rFonts w:eastAsia="georgia" w:cs="georgia" w:ascii="georgia" w:hAnsi="georgia"/>
          <w:color w:val="000000"/>
        </w:rPr>
        <w:t xml:space="preserve">Network bandwidth considerations (e.g., sync traffic for Azure File Sync, initial migration seeding, ongoing read/write patterns, suitability for low-bandwidth/remote users)</w:t>
      </w:r>
      <w:r>
        <w:rPr>
          <w:rFonts w:eastAsia="georgia" w:cs="georgia" w:ascii="georgia" w:hAnsi="georgia"/>
          <w:color w:val="000000"/>
        </w:rPr>
        <w:br w:type="textWrapping"/>
      </w:r>
      <w:r>
        <w:rPr>
          <w:rFonts w:eastAsia="georgia" w:cs="georgia" w:ascii="georgia" w:hAnsi="georgia"/>
          <w:color w:val="000000"/>
        </w:rPr>
        <w:t xml:space="preserve">Data residency and resiliency options (zones, regions, backups, snapshots)</w:t>
      </w:r>
      <w:r>
        <w:rPr>
          <w:rFonts w:eastAsia="georgia" w:cs="georgia" w:ascii="georgia" w:hAnsi="georgia"/>
          <w:color w:val="000000"/>
        </w:rPr>
        <w:br w:type="textWrapping"/>
      </w:r>
      <w:r>
        <w:rPr>
          <w:rFonts w:eastAsia="georgia" w:cs="georgia" w:ascii="georgia" w:hAnsi="georgia"/>
          <w:color w:val="000000"/>
        </w:rPr>
        <w:t xml:space="preserve">Management overhead (patching, lifecycle, backups, governance)</w:t>
      </w:r>
      <w:r>
        <w:rPr>
          <w:rFonts w:eastAsia="georgia" w:cs="georgia" w:ascii="georgia" w:hAnsi="georgia"/>
          <w:color w:val="000000"/>
        </w:rPr>
        <w:br w:type="textWrapping"/>
      </w:r>
      <w:r>
        <w:rPr>
          <w:rFonts w:eastAsia="georgia" w:cs="georgia" w:ascii="georgia" w:hAnsi="georgia"/>
          <w:color w:val="000000"/>
        </w:rPr>
        <w:t xml:space="preserve">Security and compliance (encryption, RBAC, ACL compatibility with NTFS, auditing options)</w:t>
      </w:r>
      <w:r>
        <w:rPr>
          <w:rFonts w:eastAsia="georgia" w:cs="georgia" w:ascii="georgia" w:hAnsi="georgia"/>
          <w:color w:val="000000"/>
        </w:rPr>
        <w:br w:type="textWrapping"/>
      </w:r>
      <w:r>
        <w:rPr>
          <w:rFonts w:eastAsia="georgia" w:cs="georgia" w:ascii="georgia" w:hAnsi="georgia"/>
          <w:color w:val="000000"/>
        </w:rPr>
        <w:t xml:space="preserve">Cost considerations at a high level (infrastructure vs consumption, hidden costs like egress or sync overhead)</w:t>
      </w:r>
      <w:r>
        <w:rPr>
          <w:rFonts w:eastAsia="georgia" w:cs="georgia" w:ascii="georgia" w:hAnsi="georgia"/>
          <w:color w:val="000000"/>
        </w:rPr>
        <w:br w:type="textWrapping"/>
      </w:r>
      <w:r>
        <w:rPr>
          <w:rFonts w:eastAsia="georgia" w:cs="georgia" w:ascii="georgia" w:hAnsi="georgia"/>
          <w:color w:val="000000"/>
        </w:rPr>
        <w:t xml:space="preserve">Explicitly cover effort and complexity to move from the current multi-forest / multi child-domain on-prem model to each cloud option, including:</w:t>
      </w:r>
      <w:r>
        <w:rPr>
          <w:rFonts w:eastAsia="georgia" w:cs="georgia" w:ascii="georgia" w:hAnsi="georgia"/>
          <w:color w:val="000000"/>
        </w:rPr>
        <w:br w:type="textWrapping"/>
      </w:r>
      <w:r>
        <w:rPr>
          <w:rFonts w:eastAsia="georgia" w:cs="georgia" w:ascii="georgia" w:hAnsi="georgia"/>
          <w:color w:val="000000"/>
        </w:rPr>
        <w:t xml:space="preserve">Requirements or options for identity integration (e.g., AD DS to Entra ID sync, Entra ID DS, domain trusts, or consolidation).</w:t>
      </w:r>
      <w:r>
        <w:rPr>
          <w:rFonts w:eastAsia="georgia" w:cs="georgia" w:ascii="georgia" w:hAnsi="georgia"/>
          <w:color w:val="000000"/>
        </w:rPr>
        <w:br w:type="textWrapping"/>
      </w:r>
      <w:r>
        <w:rPr>
          <w:rFonts w:eastAsia="georgia" w:cs="georgia" w:ascii="georgia" w:hAnsi="georgia"/>
          <w:color w:val="000000"/>
        </w:rPr>
        <w:t xml:space="preserve">How multiple forests and child domains impact migration strategy (e.g., need for AD consolidation, cross-forest migration, or separate storage constructs per forest).</w:t>
      </w:r>
      <w:r>
        <w:rPr>
          <w:rFonts w:eastAsia="georgia" w:cs="georgia" w:ascii="georgia" w:hAnsi="georgia"/>
          <w:color w:val="000000"/>
        </w:rPr>
        <w:br w:type="textWrapping"/>
      </w:r>
      <w:r>
        <w:rPr>
          <w:rFonts w:eastAsia="georgia" w:cs="georgia" w:ascii="georgia" w:hAnsi="georgia"/>
          <w:color w:val="000000"/>
        </w:rPr>
        <w:t xml:space="preserve">Whether each option can support multiple AD domains/forests without full consolidation, and what extra components are needed (e.g., Azure File Sync per domain, separate storage accounts, multiple Entra ID DS instances, or trusts).</w:t>
      </w:r>
      <w:r>
        <w:rPr>
          <w:rFonts w:eastAsia="georgia" w:cs="georgia" w:ascii="georgia" w:hAnsi="georgia"/>
          <w:color w:val="000000"/>
        </w:rPr>
        <w:br w:type="textWrapping"/>
      </w:r>
      <w:r>
        <w:rPr>
          <w:rFonts w:eastAsia="georgia" w:cs="georgia" w:ascii="georgia" w:hAnsi="georgia"/>
          <w:color w:val="000000"/>
        </w:rPr>
        <w:t xml:space="preserve">Estimated relative effort (Low/Medium/High) for migration from such an environment for each solution, and key blocking factors.</w:t>
      </w:r>
      <w:r>
        <w:rPr>
          <w:rFonts w:eastAsia="georgia" w:cs="georgia" w:ascii="georgia" w:hAnsi="georgia"/>
          <w:color w:val="000000"/>
        </w:rPr>
        <w:br w:type="textWrapping"/>
      </w:r>
      <w:r>
        <w:rPr>
          <w:rFonts w:eastAsia="georgia" w:cs="georgia" w:ascii="georgia" w:hAnsi="georgia"/>
          <w:color w:val="000000"/>
        </w:rPr>
        <w:t xml:space="preserve">For network bandwidth and connectivity, describe for each option:</w:t>
      </w:r>
      <w:r>
        <w:rPr>
          <w:rFonts w:eastAsia="georgia" w:cs="georgia" w:ascii="georgia" w:hAnsi="georgia"/>
          <w:color w:val="000000"/>
        </w:rPr>
        <w:br w:type="textWrapping"/>
      </w:r>
      <w:r>
        <w:rPr>
          <w:rFonts w:eastAsia="georgia" w:cs="georgia" w:ascii="georgia" w:hAnsi="georgia"/>
          <w:color w:val="000000"/>
        </w:rPr>
        <w:t xml:space="preserve">Recommended connectivity patterns (e.g., ExpressRoute, VPN, direct internet, local cache/edge for Azure File Sync).</w:t>
      </w:r>
      <w:r>
        <w:rPr>
          <w:rFonts w:eastAsia="georgia" w:cs="georgia" w:ascii="georgia" w:hAnsi="georgia"/>
          <w:color w:val="000000"/>
        </w:rPr>
        <w:br w:type="textWrapping"/>
      </w:r>
      <w:r>
        <w:rPr>
          <w:rFonts w:eastAsia="georgia" w:cs="georgia" w:ascii="georgia" w:hAnsi="georgia"/>
          <w:color w:val="000000"/>
        </w:rPr>
        <w:t xml:space="preserve">Impact of large file operations, user profile/home drives, and heavy concurrent access on bandwidth.</w:t>
      </w:r>
      <w:r>
        <w:rPr>
          <w:rFonts w:eastAsia="georgia" w:cs="georgia" w:ascii="georgia" w:hAnsi="georgia"/>
          <w:color w:val="000000"/>
        </w:rPr>
        <w:br w:type="textWrapping"/>
      </w:r>
      <w:r>
        <w:rPr>
          <w:rFonts w:eastAsia="georgia" w:cs="georgia" w:ascii="georgia" w:hAnsi="georgia"/>
          <w:color w:val="000000"/>
        </w:rPr>
        <w:t xml:space="preserve">Strategies to mitigate bandwidth issues (DFS-N, Azure File Sync cloud tiering, caching, scheduled robocopy/rsync, seeding via disks, throttling options).</w:t>
      </w:r>
      <w:r>
        <w:rPr>
          <w:rFonts w:eastAsia="georgia" w:cs="georgia" w:ascii="georgia" w:hAnsi="georgia"/>
          <w:color w:val="000000"/>
        </w:rPr>
        <w:br w:type="textWrapping"/>
      </w:r>
      <w:r>
        <w:rPr>
          <w:rFonts w:eastAsia="georgia" w:cs="georgia" w:ascii="georgia" w:hAnsi="georgia"/>
          <w:color w:val="000000"/>
        </w:rPr>
        <w:t xml:space="preserve">Any specific considerations for branch offices or remote users accessing shares over WAN vs local cache.</w:t>
      </w:r>
      <w:r>
        <w:rPr>
          <w:rFonts w:eastAsia="georgia" w:cs="georgia" w:ascii="georgia" w:hAnsi="georgia"/>
          <w:color w:val="000000"/>
        </w:rPr>
        <w:br w:type="textWrapping"/>
      </w:r>
      <w:r>
        <w:rPr>
          <w:rFonts w:eastAsia="georgia" w:cs="georgia" w:ascii="georgia" w:hAnsi="georgia"/>
          <w:color w:val="000000"/>
        </w:rPr>
        <w:t xml:space="preserve">For direct shared drive mapping:</w:t>
      </w:r>
      <w:r>
        <w:rPr>
          <w:rFonts w:eastAsia="georgia" w:cs="georgia" w:ascii="georgia" w:hAnsi="georgia"/>
          <w:color w:val="000000"/>
        </w:rPr>
        <w:br w:type="textWrapping"/>
      </w:r>
      <w:r>
        <w:rPr>
          <w:rFonts w:eastAsia="georgia" w:cs="georgia" w:ascii="georgia" w:hAnsi="georgia"/>
          <w:color w:val="000000"/>
        </w:rPr>
        <w:t xml:space="preserve">For each option, explain whether native Windows SMB drive mapping is supported, and under what preconditions (e.g., line-of-sight to domain controllers, Kerberos/NTLM, Entra ID Kerberos, Azure AD DS).</w:t>
      </w:r>
      <w:r>
        <w:rPr>
          <w:rFonts w:eastAsia="georgia" w:cs="georgia" w:ascii="georgia" w:hAnsi="georgia"/>
          <w:color w:val="000000"/>
        </w:rPr>
        <w:br w:type="textWrapping"/>
      </w:r>
      <w:r>
        <w:rPr>
          <w:rFonts w:eastAsia="georgia" w:cs="georgia" w:ascii="georgia" w:hAnsi="georgia"/>
          <w:color w:val="000000"/>
        </w:rPr>
        <w:t xml:space="preserve">For SharePoint, explain the current recommended and non-recommended methods (e.g., mapping via WebDAV vs using OneDrive sync vs browser access) and limitations for traditional “G:\ drive”-style access.</w:t>
      </w:r>
      <w:r>
        <w:rPr>
          <w:rFonts w:eastAsia="georgia" w:cs="georgia" w:ascii="georgia" w:hAnsi="georgia"/>
          <w:color w:val="000000"/>
        </w:rPr>
        <w:br w:type="textWrapping"/>
      </w:r>
      <w:r>
        <w:rPr>
          <w:rFonts w:eastAsia="georgia" w:cs="georgia" w:ascii="georgia" w:hAnsi="georgia"/>
          <w:color w:val="000000"/>
        </w:rPr>
        <w:t xml:space="preserve">For Azure Files and Azure NetApp Files, describe how users in on-prem AD domains and in the cloud can map drives, including any prerequisites for identity sync or domain join.</w:t>
      </w:r>
      <w:r>
        <w:rPr>
          <w:rFonts w:eastAsia="georgia" w:cs="georgia" w:ascii="georgia" w:hAnsi="georgia"/>
          <w:color w:val="000000"/>
        </w:rPr>
        <w:br w:type="textWrapping"/>
      </w:r>
      <w:r>
        <w:rPr>
          <w:rFonts w:eastAsia="georgia" w:cs="georgia" w:ascii="georgia" w:hAnsi="georgia"/>
          <w:color w:val="000000"/>
        </w:rPr>
        <w:t xml:space="preserve">Provide a short section (bulleted or mini-table) suggesting which option(s) fit best for these scenarios:</w:t>
      </w:r>
      <w:r>
        <w:rPr>
          <w:rFonts w:eastAsia="georgia" w:cs="georgia" w:ascii="georgia" w:hAnsi="georgia"/>
          <w:color w:val="000000"/>
        </w:rPr>
        <w:br w:type="textWrapping"/>
      </w:r>
      <w:r>
        <w:rPr>
          <w:rFonts w:eastAsia="georgia" w:cs="georgia" w:ascii="georgia" w:hAnsi="georgia"/>
          <w:color w:val="000000"/>
        </w:rPr>
        <w:t xml:space="preserve">Lift-and-shift of existing SMB departmental shares with minimal change for users.</w:t>
      </w:r>
      <w:r>
        <w:rPr>
          <w:rFonts w:eastAsia="georgia" w:cs="georgia" w:ascii="georgia" w:hAnsi="georgia"/>
          <w:color w:val="000000"/>
        </w:rPr>
        <w:br w:type="textWrapping"/>
      </w:r>
      <w:r>
        <w:rPr>
          <w:rFonts w:eastAsia="georgia" w:cs="georgia" w:ascii="georgia" w:hAnsi="georgia"/>
          <w:color w:val="000000"/>
        </w:rPr>
        <w:t xml:space="preserve">Long-term modernisation towards M365 collaboration while still supporting legacy applications.</w:t>
      </w:r>
      <w:r>
        <w:rPr>
          <w:rFonts w:eastAsia="georgia" w:cs="georgia" w:ascii="georgia" w:hAnsi="georgia"/>
          <w:color w:val="000000"/>
        </w:rPr>
        <w:br w:type="textWrapping"/>
      </w:r>
      <w:r>
        <w:rPr>
          <w:rFonts w:eastAsia="georgia" w:cs="georgia" w:ascii="georgia" w:hAnsi="georgia"/>
          <w:color w:val="000000"/>
        </w:rPr>
        <w:t xml:space="preserve">High-performance NAS-style workloads needing low latency and high throughput.</w:t>
      </w:r>
      <w:r>
        <w:rPr>
          <w:rFonts w:eastAsia="georgia" w:cs="georgia" w:ascii="georgia" w:hAnsi="georgia"/>
          <w:color w:val="000000"/>
        </w:rPr>
        <w:br w:type="textWrapping"/>
      </w:r>
      <w:r>
        <w:rPr>
          <w:rFonts w:eastAsia="georgia" w:cs="georgia" w:ascii="georgia" w:hAnsi="georgia"/>
          <w:color w:val="000000"/>
        </w:rPr>
        <w:t xml:space="preserve">Environments where multiple AD forests will remain for the foreseeable future.</w:t>
      </w:r>
      <w:r>
        <w:rPr>
          <w:rFonts w:eastAsia="georgia" w:cs="georgia" w:ascii="georgia" w:hAnsi="georgia"/>
          <w:color w:val="000000"/>
        </w:rPr>
        <w:br w:type="textWrapping"/>
      </w:r>
      <w:r>
        <w:rPr>
          <w:rFonts w:eastAsia="georgia" w:cs="georgia" w:ascii="georgia" w:hAnsi="georgia"/>
          <w:color w:val="000000"/>
        </w:rPr>
        <w:t xml:space="preserve">Make the output structured as:</w:t>
      </w:r>
      <w:r>
        <w:rPr>
          <w:rFonts w:eastAsia="georgia" w:cs="georgia" w:ascii="georgia" w:hAnsi="georgia"/>
          <w:color w:val="000000"/>
        </w:rPr>
        <w:br w:type="textWrapping"/>
      </w:r>
      <w:r>
        <w:rPr>
          <w:rFonts w:eastAsia="georgia" w:cs="georgia" w:ascii="georgia" w:hAnsi="georgia"/>
          <w:color w:val="000000"/>
        </w:rPr>
        <w:t xml:space="preserve">A primary comparison table as requested.</w:t>
      </w:r>
      <w:r>
        <w:rPr>
          <w:rFonts w:eastAsia="georgia" w:cs="georgia" w:ascii="georgia" w:hAnsi="georgia"/>
          <w:color w:val="000000"/>
        </w:rPr>
        <w:br w:type="textWrapping"/>
      </w:r>
      <w:r>
        <w:rPr>
          <w:rFonts w:eastAsia="georgia" w:cs="georgia" w:ascii="georgia" w:hAnsi="georgia"/>
          <w:color w:val="000000"/>
        </w:rPr>
        <w:t xml:space="preserve">3–5 concise bullet points per solution summarising pros/cons in the context of multi-forest, multi-domain environments and drive mapping requirements.</w:t>
      </w:r>
      <w:r>
        <w:rPr>
          <w:rFonts w:eastAsia="georgia" w:cs="georgia" w:ascii="georgia" w:hAnsi="georgia"/>
          <w:color w:val="000000"/>
        </w:rPr>
        <w:br w:type="textWrapping"/>
      </w:r>
      <w:r>
        <w:rPr>
          <w:rFonts w:eastAsia="georgia" w:cs="georgia" w:ascii="georgia" w:hAnsi="georgia"/>
          <w:color w:val="000000"/>
        </w:rPr>
        <w:t xml:space="preserve">If any assumptions are needed (e.g. using Azure NetApp Files as the “Azure NAS” option), state them clearly at the top.</w:t>
      </w:r>
      <w:r>
        <w:rPr>
          <w:rFonts w:eastAsia="georgia" w:cs="georgia" w:ascii="georgia" w:hAnsi="georgia"/>
          <w:color w:val="000000"/>
        </w:rPr>
        <w:br w:type="textWrapping"/>
      </w:r>
      <w:r>
        <w:rPr>
          <w:rFonts w:eastAsia="georgia" w:cs="georgia" w:ascii="georgia" w:hAnsi="georgia"/>
          <w:color w:val="000000"/>
        </w:rPr>
        <w:t xml:space="preserve">Was this answer helpful?</w:t>
      </w:r>
    </w:p>
    <w:p>
      <w:pPr>
        <w:spacing w:line="360" w:after="210" w:lineRule="auto"/>
      </w:pPr>
      <w:r>
        <w:rPr>
          <w:rFonts w:eastAsia="georgia" w:cs="georgia" w:ascii="georgia" w:hAnsi="georgia"/>
          <w:color w:val="000000"/>
        </w:rPr>
        <w:t xml:space="preserve">Assumptions:</w:t>
      </w:r>
    </w:p>
    <w:p>
      <w:pPr>
        <w:numPr>
          <w:ilvl w:val="0"/>
          <w:numId w:val="1"/>
        </w:numPr>
        <w:spacing w:line="360" w:before="105" w:after="105" w:lineRule="auto"/>
      </w:pPr>
      <w:r>
        <w:rPr>
          <w:rFonts w:eastAsia="georgia" w:cs="georgia" w:ascii="georgia" w:hAnsi="georgia"/>
          <w:color w:val="000000"/>
          <w:sz w:val="21"/>
        </w:rPr>
        <w:t xml:space="preserve">“Azure NAS” refers to </w:t>
      </w:r>
      <w:r>
        <w:rPr>
          <w:rFonts w:eastAsia="georgia" w:cs="georgia" w:ascii="georgia" w:hAnsi="georgia"/>
          <w:b/>
          <w:color w:val="000000"/>
          <w:sz w:val="21"/>
        </w:rPr>
        <w:t xml:space="preserve">Azure NetApp Files</w:t>
      </w:r>
      <w:r>
        <w:rPr>
          <w:rFonts w:eastAsia="georgia" w:cs="georgia" w:ascii="georgia" w:hAnsi="georgia"/>
          <w:color w:val="000000"/>
          <w:sz w:val="21"/>
        </w:rPr>
        <w:t xml:space="preserve"> volumes exposed over SMB/NFS.</w:t>
      </w:r>
      <w:bookmarkStart w:id="1" w:name="fnref1"/>
      <w:bookmarkEnd w:id="1"/>
      <w:hyperlink w:anchor="fn1">
        <w:r>
          <w:rPr>
            <w:rFonts w:eastAsia="helvetica neue" w:cs="helvetica neue" w:ascii="helvetica neue" w:hAnsi="helvetica neue"/>
            <w:color w:val="#000"/>
            <w:sz w:val="21"/>
            <w:u w:val="single"/>
            <w:vertAlign w:val="superscript"/>
          </w:rPr>
          <w:t xml:space="preserve">[1]</w:t>
        </w:r>
      </w:hyperlink>
      <w:bookmarkStart w:id="2" w:name="fnref2"/>
      <w:bookmarkEnd w:id="2"/>
      <w:hyperlink w:anchor="fn2">
        <w:r>
          <w:rPr>
            <w:rFonts w:eastAsia="helvetica neue" w:cs="helvetica neue" w:ascii="helvetica neue" w:hAnsi="helvetica neue"/>
            <w:color w:val="#000"/>
            <w:sz w:val="21"/>
            <w:u w:val="single"/>
            <w:vertAlign w:val="superscript"/>
          </w:rPr>
          <w:t xml:space="preserve">[2]</w:t>
        </w:r>
      </w:hyperlink>
    </w:p>
    <w:p>
      <w:pPr>
        <w:numPr>
          <w:ilvl w:val="0"/>
          <w:numId w:val="1"/>
        </w:numPr>
        <w:spacing w:line="360" w:before="105" w:after="105" w:lineRule="auto"/>
      </w:pPr>
      <w:r>
        <w:rPr>
          <w:rFonts w:eastAsia="georgia" w:cs="georgia" w:ascii="georgia" w:hAnsi="georgia"/>
          <w:color w:val="000000"/>
          <w:sz w:val="21"/>
        </w:rPr>
        <w:t xml:space="preserve">Identity platform is Microsoft Entra ID (formerly Azure AD) with hybrid sync from on-prem AD DS.</w:t>
      </w:r>
      <w:bookmarkStart w:id="3" w:name="fnref3"/>
      <w:bookmarkEnd w:id="3"/>
      <w:hyperlink w:anchor="fn3">
        <w:r>
          <w:rPr>
            <w:rFonts w:eastAsia="helvetica neue" w:cs="helvetica neue" w:ascii="helvetica neue" w:hAnsi="helvetica neue"/>
            <w:color w:val="#000"/>
            <w:sz w:val="21"/>
            <w:u w:val="single"/>
            <w:vertAlign w:val="superscript"/>
          </w:rPr>
          <w:t xml:space="preserve">[3]</w:t>
        </w:r>
      </w:hyperlink>
      <w:bookmarkStart w:id="4" w:name="fnref4"/>
      <w:bookmarkEnd w:id="4"/>
      <w:hyperlink w:anchor="fn4">
        <w:r>
          <w:rPr>
            <w:rFonts w:eastAsia="helvetica neue" w:cs="helvetica neue" w:ascii="helvetica neue" w:hAnsi="helvetica neue"/>
            <w:color w:val="#000"/>
            <w:sz w:val="21"/>
            <w:u w:val="single"/>
            <w:vertAlign w:val="superscript"/>
          </w:rPr>
          <w:t xml:space="preserve">[4]</w:t>
        </w:r>
      </w:hyperlink>
    </w:p>
    <w:p>
      <w:pPr>
        <w:spacing w:line="360" w:before="315" w:after="105" w:lineRule="auto"/>
        <w:ind w:left="-30"/>
        <w:jc w:val="left"/>
      </w:pPr>
      <w:bookmarkStart w:id="5" w:name="primary_comparison_table"/>
      <w:r>
        <w:rPr>
          <w:rFonts w:eastAsia="georgia" w:cs="georgia" w:ascii="georgia" w:hAnsi="georgia"/>
          <w:b/>
          <w:color w:val="000000"/>
          <w:sz w:val="24"/>
        </w:rPr>
        <w:t xml:space="preserve">Primary comparison table</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On‑prem Windows file server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Azure Files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Azure NetApp Files (Azure NAS)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SharePoint Online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Protocols &amp; access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SMB only; mapped drives, UNC paths over LAN/VPN.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SMB and REST; SMB access for Windows/macOS, REST for apps; supports mapped drives over internet/VPN/ExpressRoute. </w:t>
            </w:r>
            <w:hyperlink w:anchor="fn1">
              <w:r>
                <w:rPr>
                  <w:rFonts w:eastAsia="helvetica neue" w:cs="helvetica neue" w:ascii="helvetica neue" w:hAnsi="helvetica neue"/>
                  <w:color w:val="#000"/>
                  <w:sz w:val="17"/>
                  <w:u w:val="single"/>
                  <w:vertAlign w:val="superscript"/>
                </w:rPr>
                <w:t xml:space="preserve">[1]</w:t>
              </w:r>
            </w:hyperlink>
            <w:hyperlink w:anchor="fn3">
              <w:r>
                <w:rPr>
                  <w:rFonts w:eastAsia="helvetica neue" w:cs="helvetica neue" w:ascii="helvetica neue" w:hAnsi="helvetica neue"/>
                  <w:color w:val="#000"/>
                  <w:sz w:val="17"/>
                  <w:u w:val="single"/>
                  <w:vertAlign w:val="superscript"/>
                </w:rPr>
                <w:t xml:space="preserve">[3]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SMB and NFS (dual protocol possible); behaves like enterprise NAS; accessed via mapped drives or NFS mounts from Azure/on‑prem over private connectivity. </w:t>
            </w:r>
            <w:hyperlink w:anchor="fn1">
              <w:r>
                <w:rPr>
                  <w:rFonts w:eastAsia="helvetica neue" w:cs="helvetica neue" w:ascii="helvetica neue" w:hAnsi="helvetica neue"/>
                  <w:color w:val="#000"/>
                  <w:sz w:val="17"/>
                  <w:u w:val="single"/>
                  <w:vertAlign w:val="superscript"/>
                </w:rPr>
                <w:t xml:space="preserve">[1]</w:t>
              </w:r>
            </w:hyperlink>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HTTPS (Web), OneDrive sync client, limited WebDAV; accessed via browser, Teams, Office apps, and locally synced folders. </w:t>
            </w:r>
            <w:hyperlink w:anchor="fn5">
              <w:r>
                <w:rPr>
                  <w:rFonts w:eastAsia="helvetica neue" w:cs="helvetica neue" w:ascii="helvetica neue" w:hAnsi="helvetica neue"/>
                  <w:color w:val="#000"/>
                  <w:sz w:val="17"/>
                  <w:u w:val="single"/>
                  <w:vertAlign w:val="superscript"/>
                </w:rPr>
                <w:t xml:space="preserve">[5]</w:t>
              </w:r>
            </w:hyperlink>
            <w:hyperlink w:anchor="fn6">
              <w:r>
                <w:rPr>
                  <w:rFonts w:eastAsia="helvetica neue" w:cs="helvetica neue" w:ascii="helvetica neue" w:hAnsi="helvetica neue"/>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Identity &amp; auth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Native AD DS; full Kerberos/NTLM; multi‑forest/child domains via trusts; per‑server computer accounts.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Supports AD DS, Entra Domain Services, and Entra Kerberos for SMB; requires storage account object in chosen directory; multi‑forest needs either trusts or separate integrations per forest/tenant. </w:t>
            </w:r>
            <w:hyperlink w:anchor="fn3">
              <w:r>
                <w:rPr>
                  <w:rFonts w:eastAsia="helvetica neue" w:cs="helvetica neue" w:ascii="helvetica neue" w:hAnsi="helvetica neue"/>
                  <w:color w:val="#000"/>
                  <w:sz w:val="17"/>
                  <w:u w:val="single"/>
                  <w:vertAlign w:val="superscript"/>
                </w:rPr>
                <w:t xml:space="preserve">[3]</w:t>
              </w:r>
            </w:hyperlink>
            <w:hyperlink w:anchor="fn4">
              <w:r>
                <w:rPr>
                  <w:rFonts w:eastAsia="helvetica neue" w:cs="helvetica neue" w:ascii="helvetica neue" w:hAnsi="helvetica neue"/>
                  <w:color w:val="#000"/>
                  <w:sz w:val="17"/>
                  <w:u w:val="single"/>
                  <w:vertAlign w:val="superscript"/>
                </w:rPr>
                <w:t xml:space="preserve">[4]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Integrates with AD DS/LDAP for SMB/NFS; requires AD DS presence reachable from NetApp delegated subnet; multi‑forest requires trusts or separate ANF instances and directory integrations. </w:t>
            </w:r>
            <w:hyperlink w:anchor="fn1">
              <w:r>
                <w:rPr>
                  <w:rFonts w:eastAsia="helvetica neue" w:cs="helvetica neue" w:ascii="helvetica neue" w:hAnsi="helvetica neue"/>
                  <w:color w:val="#000"/>
                  <w:sz w:val="17"/>
                  <w:u w:val="single"/>
                  <w:vertAlign w:val="superscript"/>
                </w:rPr>
                <w:t xml:space="preserve">[1]</w:t>
              </w:r>
            </w:hyperlink>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Uses Entra ID accounts and groups; not domain‑joined; multi‑forest users must be synced into a single or multiple Entra tenants; no direct dependence on on‑prem trusts. </w:t>
            </w:r>
            <w:hyperlink w:anchor="fn5">
              <w:r>
                <w:rPr>
                  <w:rFonts w:eastAsia="helvetica neue" w:cs="helvetica neue" w:ascii="helvetica neue" w:hAnsi="helvetica neue"/>
                  <w:color w:val="#000"/>
                  <w:sz w:val="17"/>
                  <w:u w:val="single"/>
                  <w:vertAlign w:val="superscript"/>
                </w:rPr>
                <w:t xml:space="preserve">[5]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Direct drive mapping feasibility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native SMB drive mapping for all domains with DC line‑of‑sight; works well for home and department drives.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Native SMB drive mapping supported from domain‑joined or Entra‑joined clients using AD DS or Entra Kerberos; requires DNS, SPNs, and Kerberos realm mappings for hybrid; WAN latency affects UX. </w:t>
            </w:r>
            <w:hyperlink w:anchor="fn7">
              <w:r>
                <w:rPr>
                  <w:rFonts w:eastAsia="helvetica neue" w:cs="helvetica neue" w:ascii="helvetica neue" w:hAnsi="helvetica neue"/>
                  <w:color w:val="#000"/>
                  <w:sz w:val="17"/>
                  <w:u w:val="single"/>
                  <w:vertAlign w:val="superscript"/>
                </w:rPr>
                <w:t xml:space="preserve">[7]</w:t>
              </w:r>
            </w:hyperlink>
            <w:hyperlink w:anchor="fn3">
              <w:r>
                <w:rPr>
                  <w:rFonts w:eastAsia="helvetica neue" w:cs="helvetica neue" w:ascii="helvetica neue" w:hAnsi="helvetica neue"/>
                  <w:color w:val="#000"/>
                  <w:sz w:val="17"/>
                  <w:u w:val="single"/>
                  <w:vertAlign w:val="superscript"/>
                </w:rPr>
                <w:t xml:space="preserve">[3]</w:t>
              </w:r>
            </w:hyperlink>
            <w:hyperlink w:anchor="fn4">
              <w:r>
                <w:rPr>
                  <w:rFonts w:eastAsia="helvetica neue" w:cs="helvetica neue" w:ascii="helvetica neue" w:hAnsi="helvetica neue"/>
                  <w:color w:val="#000"/>
                  <w:sz w:val="17"/>
                  <w:u w:val="single"/>
                  <w:vertAlign w:val="superscript"/>
                </w:rPr>
                <w:t xml:space="preserve">[4]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Native SMB drive mapping to ANF volumes from domain‑joined machines in Azure or on‑prem across ExpressRoute/VPN; functions like traditional NAS with Kerberos. </w:t>
            </w:r>
            <w:hyperlink w:anchor="fn1">
              <w:r>
                <w:rPr>
                  <w:rFonts w:eastAsia="helvetica neue" w:cs="helvetica neue" w:ascii="helvetica neue" w:hAnsi="helvetica neue"/>
                  <w:color w:val="#000"/>
                  <w:sz w:val="17"/>
                  <w:u w:val="single"/>
                  <w:vertAlign w:val="superscript"/>
                </w:rPr>
                <w:t xml:space="preserve">[1]</w:t>
              </w:r>
            </w:hyperlink>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Drive mapping via WebDAV technically possible but fragile and not recommended at scale; Microsoft favors OneDrive sync (Files On‑Demand) over mapped letters; coauthoring features not available via WebDAV mapping. </w:t>
            </w:r>
            <w:hyperlink w:anchor="fn5">
              <w:r>
                <w:rPr>
                  <w:rFonts w:eastAsia="helvetica neue" w:cs="helvetica neue" w:ascii="helvetica neue" w:hAnsi="helvetica neue"/>
                  <w:color w:val="#000"/>
                  <w:sz w:val="17"/>
                  <w:u w:val="single"/>
                  <w:vertAlign w:val="superscript"/>
                </w:rPr>
                <w:t xml:space="preserve">[5]</w:t>
              </w:r>
            </w:hyperlink>
            <w:hyperlink w:anchor="fn6">
              <w:r>
                <w:rPr>
                  <w:rFonts w:eastAsia="helvetica neue" w:cs="helvetica neue" w:ascii="helvetica neue" w:hAnsi="helvetica neue"/>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Typical use cases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 home folders, departmental shares, app shares, profile data; tight integration with GPOs and legacy apps.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Lift‑and‑shift SMB shares, Azure File Sync for branch caching, app shares for Azure VMs, roaming data for cloud workloads. </w:t>
            </w:r>
            <w:hyperlink w:anchor="fn1">
              <w:r>
                <w:rPr>
                  <w:rFonts w:eastAsia="helvetica neue" w:cs="helvetica neue" w:ascii="helvetica neue" w:hAnsi="helvetica neue"/>
                  <w:color w:val="#000"/>
                  <w:sz w:val="17"/>
                  <w:u w:val="single"/>
                  <w:vertAlign w:val="superscript"/>
                </w:rPr>
                <w:t xml:space="preserve">[1]</w:t>
              </w:r>
            </w:hyperlink>
            <w:hyperlink w:anchor="fn3">
              <w:r>
                <w:rPr>
                  <w:rFonts w:eastAsia="helvetica neue" w:cs="helvetica neue" w:ascii="helvetica neue" w:hAnsi="helvetica neue"/>
                  <w:color w:val="#000"/>
                  <w:sz w:val="17"/>
                  <w:u w:val="single"/>
                  <w:vertAlign w:val="superscript"/>
                </w:rPr>
                <w:t xml:space="preserve">[3]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High‑performance databases, CAD/engineering, VDI user profiles, large-scale NAS replacement where low latency and high throughput are critical. </w:t>
            </w:r>
            <w:hyperlink w:anchor="fn1">
              <w:r>
                <w:rPr>
                  <w:rFonts w:eastAsia="helvetica neue" w:cs="helvetica neue" w:ascii="helvetica neue" w:hAnsi="helvetica neue"/>
                  <w:color w:val="#000"/>
                  <w:sz w:val="17"/>
                  <w:u w:val="single"/>
                  <w:vertAlign w:val="superscript"/>
                </w:rPr>
                <w:t xml:space="preserve">[1]</w:t>
              </w:r>
            </w:hyperlink>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Team collaboration, document management, versioning, coauthoring, intranet content, records management; less suitable for heavy I/O legacy apps. </w:t>
            </w:r>
            <w:hyperlink w:anchor="fn5">
              <w:r>
                <w:rPr>
                  <w:rFonts w:eastAsia="helvetica neue" w:cs="helvetica neue" w:ascii="helvetica neue" w:hAnsi="helvetica neue"/>
                  <w:color w:val="#000"/>
                  <w:sz w:val="17"/>
                  <w:u w:val="single"/>
                  <w:vertAlign w:val="superscript"/>
                </w:rPr>
                <w:t xml:space="preserve">[5]</w:t>
              </w:r>
            </w:hyperlink>
            <w:hyperlink w:anchor="fn6">
              <w:r>
                <w:rPr>
                  <w:rFonts w:eastAsia="helvetica neue" w:cs="helvetica neue" w:ascii="helvetica neue" w:hAnsi="helvetica neue"/>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Performance &amp; latency expectations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LAN performance with low latency; WAN access depends on site‑to‑site links; predictable for campus users.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Latency depends on internet/VPN/ExpressRoute; good for Azure‑hosted apps and users near region; SMB multichannel improves throughput; higher latency than local LAN for remote offices. </w:t>
            </w:r>
            <w:hyperlink w:anchor="fn1">
              <w:r>
                <w:rPr>
                  <w:rFonts w:eastAsia="helvetica neue" w:cs="helvetica neue" w:ascii="helvetica neue" w:hAnsi="helvetica neue"/>
                  <w:color w:val="#000"/>
                  <w:sz w:val="17"/>
                  <w:u w:val="single"/>
                  <w:vertAlign w:val="superscript"/>
                </w:rPr>
                <w:t xml:space="preserve">[1]</w:t>
              </w:r>
            </w:hyperlink>
            <w:hyperlink w:anchor="fn8">
              <w:r>
                <w:rPr>
                  <w:rFonts w:eastAsia="helvetica neue" w:cs="helvetica neue" w:ascii="helvetica neue" w:hAnsi="helvetica neue"/>
                  <w:color w:val="#000"/>
                  <w:sz w:val="17"/>
                  <w:u w:val="single"/>
                  <w:vertAlign w:val="superscript"/>
                </w:rPr>
                <w:t xml:space="preserve">[8]</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Very high performance with low latency when clients are in or near same Azure region; supports high IOPS and throughput; similar to on‑prem enterprise NAS over private links. </w:t>
            </w:r>
            <w:hyperlink w:anchor="fn1">
              <w:r>
                <w:rPr>
                  <w:rFonts w:eastAsia="helvetica neue" w:cs="helvetica neue" w:ascii="helvetica neue" w:hAnsi="helvetica neue"/>
                  <w:color w:val="#000"/>
                  <w:sz w:val="17"/>
                  <w:u w:val="single"/>
                  <w:vertAlign w:val="superscript"/>
                </w:rPr>
                <w:t xml:space="preserve">[1]</w:t>
              </w:r>
            </w:hyperlink>
            <w:hyperlink w:anchor="fn8">
              <w:r>
                <w:rPr>
                  <w:rFonts w:eastAsia="helvetica neue" w:cs="helvetica neue" w:ascii="helvetica neue" w:hAnsi="helvetica neue"/>
                  <w:color w:val="#000"/>
                  <w:sz w:val="17"/>
                  <w:u w:val="single"/>
                  <w:vertAlign w:val="superscript"/>
                </w:rPr>
                <w:t xml:space="preserve">[8]</w:t>
              </w:r>
            </w:hyperlink>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Optimized for document operations rather than raw IOPS; performance tied to internet latency; good for “open/save” patterns but not for constant random I/O. </w:t>
            </w:r>
            <w:hyperlink w:anchor="fn5">
              <w:r>
                <w:rPr>
                  <w:rFonts w:eastAsia="helvetica neue" w:cs="helvetica neue" w:ascii="helvetica neue" w:hAnsi="helvetica neue"/>
                  <w:color w:val="#000"/>
                  <w:sz w:val="17"/>
                  <w:u w:val="single"/>
                  <w:vertAlign w:val="superscript"/>
                </w:rPr>
                <w:t xml:space="preserve">[5]</w:t>
              </w:r>
            </w:hyperlink>
            <w:hyperlink w:anchor="fn6">
              <w:r>
                <w:rPr>
                  <w:rFonts w:eastAsia="helvetica neue" w:cs="helvetica neue" w:ascii="helvetica neue" w:hAnsi="helvetica neue"/>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Network bandwidth considerations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LAN traffic stays internal; WAN links only for remote sites; bandwidth planning around backup windows, DFS‑R/robocopy between sites.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Initial migration can be heavy (robocopy/Azure Data Box); ongoing SMB traffic traverses internet/VPN/ExpressRoute; Azure File Sync adds background sync and recall traffic but enables local caching and tiering. </w:t>
            </w:r>
            <w:hyperlink w:anchor="fn1">
              <w:r>
                <w:rPr>
                  <w:rFonts w:eastAsia="helvetica neue" w:cs="helvetica neue" w:ascii="helvetica neue" w:hAnsi="helvetica neue"/>
                  <w:color w:val="#000"/>
                  <w:sz w:val="17"/>
                  <w:u w:val="single"/>
                  <w:vertAlign w:val="superscript"/>
                </w:rPr>
                <w:t xml:space="preserve">[1]</w:t>
              </w:r>
            </w:hyperlink>
            <w:hyperlink w:anchor="fn3">
              <w:r>
                <w:rPr>
                  <w:rFonts w:eastAsia="helvetica neue" w:cs="helvetica neue" w:ascii="helvetica neue" w:hAnsi="helvetica neue"/>
                  <w:color w:val="#000"/>
                  <w:sz w:val="17"/>
                  <w:u w:val="single"/>
                  <w:vertAlign w:val="superscript"/>
                </w:rPr>
                <w:t xml:space="preserve">[3]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Large volumes and high throughput can saturate ExpressRoute/VPN if many on‑prem users hit ANF; best when most consumers are Azure workloads or large central sites with robust connectivity. </w:t>
            </w:r>
            <w:hyperlink w:anchor="fn1">
              <w:r>
                <w:rPr>
                  <w:rFonts w:eastAsia="helvetica neue" w:cs="helvetica neue" w:ascii="helvetica neue" w:hAnsi="helvetica neue"/>
                  <w:color w:val="#000"/>
                  <w:sz w:val="17"/>
                  <w:u w:val="single"/>
                  <w:vertAlign w:val="superscript"/>
                </w:rPr>
                <w:t xml:space="preserve">[1]</w:t>
              </w:r>
            </w:hyperlink>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File access uses HTTPS; OneDrive sync can generate initial bulk download per user then differential traffic; branch users rely on internet; WebDAV mapping is chatty and sensitive to latency. </w:t>
            </w:r>
            <w:hyperlink w:anchor="fn5">
              <w:r>
                <w:rPr>
                  <w:rFonts w:eastAsia="helvetica neue" w:cs="helvetica neue" w:ascii="helvetica neue" w:hAnsi="helvetica neue"/>
                  <w:color w:val="#000"/>
                  <w:sz w:val="17"/>
                  <w:u w:val="single"/>
                  <w:vertAlign w:val="superscript"/>
                </w:rPr>
                <w:t xml:space="preserve">[5]</w:t>
              </w:r>
            </w:hyperlink>
            <w:hyperlink w:anchor="fn6">
              <w:r>
                <w:rPr>
                  <w:rFonts w:eastAsia="helvetica neue" w:cs="helvetica neue" w:ascii="helvetica neue" w:hAnsi="helvetica neue"/>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Data residency &amp; resiliency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Depends on datacenter; HA via clustering, DFS, backups, and DR replication; manual region/site choices.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stored in chosen Azure region; supports ZRS/LRS and geo‑redundant options; snapshots and backup integration available. </w:t>
            </w:r>
            <w:hyperlink w:anchor="fn1">
              <w:r>
                <w:rPr>
                  <w:rFonts w:eastAsia="helvetica neue" w:cs="helvetica neue" w:ascii="helvetica neue" w:hAnsi="helvetica neue"/>
                  <w:color w:val="#000"/>
                  <w:sz w:val="17"/>
                  <w:u w:val="single"/>
                  <w:vertAlign w:val="superscript"/>
                </w:rPr>
                <w:t xml:space="preserve">[1]</w:t>
              </w:r>
            </w:hyperlink>
            <w:hyperlink w:anchor="fn9">
              <w:r>
                <w:rPr>
                  <w:rFonts w:eastAsia="helvetica neue" w:cs="helvetica neue" w:ascii="helvetica neue" w:hAnsi="helvetica neue"/>
                  <w:color w:val="#000"/>
                  <w:sz w:val="17"/>
                  <w:u w:val="single"/>
                  <w:vertAlign w:val="superscript"/>
                </w:rPr>
                <w:t xml:space="preserve">[9]</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Region‑bound service; multiple redundancy options within region; snapshots and backups; some regions only; capacity pools per region. </w:t>
            </w:r>
            <w:hyperlink w:anchor="fn1">
              <w:r>
                <w:rPr>
                  <w:rFonts w:eastAsia="helvetica neue" w:cs="helvetica neue" w:ascii="helvetica neue" w:hAnsi="helvetica neue"/>
                  <w:color w:val="#000"/>
                  <w:sz w:val="17"/>
                  <w:u w:val="single"/>
                  <w:vertAlign w:val="superscript"/>
                </w:rPr>
                <w:t xml:space="preserve">[1]</w:t>
              </w:r>
            </w:hyperlink>
            <w:hyperlink w:anchor="fn2">
              <w:r>
                <w:rPr>
                  <w:rFonts w:eastAsia="helvetica neue" w:cs="helvetica neue" w:ascii="helvetica neue" w:hAnsi="helvetica neue"/>
                  <w:color w:val="#000"/>
                  <w:sz w:val="17"/>
                  <w:u w:val="single"/>
                  <w:vertAlign w:val="superscript"/>
                </w:rPr>
                <w:t xml:space="preserve">[2]</w:t>
              </w:r>
            </w:hyperlink>
            <w:hyperlink w:anchor="fn9">
              <w:r>
                <w:rPr>
                  <w:rFonts w:eastAsia="helvetica neue" w:cs="helvetica neue" w:ascii="helvetica neue" w:hAnsi="helvetica neue"/>
                  <w:color w:val="#000"/>
                  <w:sz w:val="17"/>
                  <w:u w:val="single"/>
                  <w:vertAlign w:val="superscript"/>
                </w:rPr>
                <w:t xml:space="preserve">[9]</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Data in M365 regions with geo‑redundant storage; version history per file and recycle bin; backup/retention via M365 and third‑party tools. </w:t>
            </w:r>
            <w:hyperlink w:anchor="fn5">
              <w:r>
                <w:rPr>
                  <w:rFonts w:eastAsia="helvetica neue" w:cs="helvetica neue" w:ascii="helvetica neue" w:hAnsi="helvetica neue"/>
                  <w:color w:val="#000"/>
                  <w:sz w:val="17"/>
                  <w:u w:val="single"/>
                  <w:vertAlign w:val="superscript"/>
                </w:rPr>
                <w:t xml:space="preserve">[5]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Management overhead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Requires OS patching, hardware lifecycle, backup agents, DFS management, capacity planning per server.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OS patching; manage shares, quotas, backups, networking, and identity integration; still need Azure File Sync if local cache is desired. </w:t>
            </w:r>
            <w:hyperlink w:anchor="fn1">
              <w:r>
                <w:rPr>
                  <w:rFonts w:eastAsia="helvetica neue" w:cs="helvetica neue" w:ascii="helvetica neue" w:hAnsi="helvetica neue"/>
                  <w:color w:val="#000"/>
                  <w:sz w:val="17"/>
                  <w:u w:val="single"/>
                  <w:vertAlign w:val="superscript"/>
                </w:rPr>
                <w:t xml:space="preserve">[1]</w:t>
              </w:r>
            </w:hyperlink>
            <w:hyperlink w:anchor="fn3">
              <w:r>
                <w:rPr>
                  <w:rFonts w:eastAsia="helvetica neue" w:cs="helvetica neue" w:ascii="helvetica neue" w:hAnsi="helvetica neue"/>
                  <w:color w:val="#000"/>
                  <w:sz w:val="17"/>
                  <w:u w:val="single"/>
                  <w:vertAlign w:val="superscript"/>
                </w:rPr>
                <w:t xml:space="preserve">[3]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Manage capacity pools, volumes, performance tiers, and AD integrations; no hardware/OS, but more storage‑specialist tuning. </w:t>
            </w:r>
            <w:hyperlink w:anchor="fn1">
              <w:r>
                <w:rPr>
                  <w:rFonts w:eastAsia="helvetica neue" w:cs="helvetica neue" w:ascii="helvetica neue" w:hAnsi="helvetica neue"/>
                  <w:color w:val="#000"/>
                  <w:sz w:val="17"/>
                  <w:u w:val="single"/>
                  <w:vertAlign w:val="superscript"/>
                </w:rPr>
                <w:t xml:space="preserve">[1]</w:t>
              </w:r>
            </w:hyperlink>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server/storage management; focus on governance, information architecture, retention, and site/permission sprawl control. </w:t>
            </w:r>
            <w:hyperlink w:anchor="fn5">
              <w:r>
                <w:rPr>
                  <w:rFonts w:eastAsia="helvetica neue" w:cs="helvetica neue" w:ascii="helvetica neue" w:hAnsi="helvetica neue"/>
                  <w:color w:val="#000"/>
                  <w:sz w:val="17"/>
                  <w:u w:val="single"/>
                  <w:vertAlign w:val="superscript"/>
                </w:rPr>
                <w:t xml:space="preserve">[5]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Security &amp; compliance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NTFS ACLs, AD groups, GPOs, on‑disk encryption, and local logging; compliance depends on site controls.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At‑rest and in‑transit encryption; supports AD‑based ACLs over SMB; RBAC at storage account; logging and Azure Policy support. </w:t>
            </w:r>
            <w:hyperlink w:anchor="fn1">
              <w:r>
                <w:rPr>
                  <w:rFonts w:eastAsia="helvetica neue" w:cs="helvetica neue" w:ascii="helvetica neue" w:hAnsi="helvetica neue"/>
                  <w:color w:val="#000"/>
                  <w:sz w:val="17"/>
                  <w:u w:val="single"/>
                  <w:vertAlign w:val="superscript"/>
                </w:rPr>
                <w:t xml:space="preserve">[1]</w:t>
              </w:r>
            </w:hyperlink>
            <w:hyperlink w:anchor="fn3">
              <w:r>
                <w:rPr>
                  <w:rFonts w:eastAsia="helvetica neue" w:cs="helvetica neue" w:ascii="helvetica neue" w:hAnsi="helvetica neue"/>
                  <w:color w:val="#000"/>
                  <w:sz w:val="17"/>
                  <w:u w:val="single"/>
                  <w:vertAlign w:val="superscript"/>
                </w:rPr>
                <w:t xml:space="preserve">[3]</w:t>
              </w:r>
            </w:hyperlink>
            <w:hyperlink w:anchor="fn4">
              <w:r>
                <w:rPr>
                  <w:rFonts w:eastAsia="helvetica neue" w:cs="helvetica neue" w:ascii="helvetica neue" w:hAnsi="helvetica neue"/>
                  <w:color w:val="#000"/>
                  <w:sz w:val="17"/>
                  <w:u w:val="single"/>
                  <w:vertAlign w:val="superscript"/>
                </w:rPr>
                <w:t xml:space="preserve">[4]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Supports NTFS‑style ACLs for SMB, NFS permissions, encryption, and advanced snapshots; integrates with AD/LDAP security groups. </w:t>
            </w:r>
            <w:hyperlink w:anchor="fn1">
              <w:r>
                <w:rPr>
                  <w:rFonts w:eastAsia="helvetica neue" w:cs="helvetica neue" w:ascii="helvetica neue" w:hAnsi="helvetica neue"/>
                  <w:color w:val="#000"/>
                  <w:sz w:val="17"/>
                  <w:u w:val="single"/>
                  <w:vertAlign w:val="superscript"/>
                </w:rPr>
                <w:t xml:space="preserve">[1]</w:t>
              </w:r>
            </w:hyperlink>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Entra‑based permissions, SharePoint groups, DLP, retention labels, eDiscovery; different model from NTFS ACLs; strong for document‑level compliance. </w:t>
            </w:r>
            <w:hyperlink w:anchor="fn5">
              <w:r>
                <w:rPr>
                  <w:rFonts w:eastAsia="helvetica neue" w:cs="helvetica neue" w:ascii="helvetica neue" w:hAnsi="helvetica neue"/>
                  <w:color w:val="#000"/>
                  <w:sz w:val="17"/>
                  <w:u w:val="single"/>
                  <w:vertAlign w:val="superscript"/>
                </w:rPr>
                <w:t xml:space="preserve">[5]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Cost (high 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Capex for hardware, SAN, power, space, plus ops; predictable once purchased but refresh cycles are costly.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Opex consumption (capacity + transactions + egress); additional cost for ExpressRoute/VPN and Azure File Sync servers. </w:t>
            </w:r>
            <w:hyperlink w:anchor="fn1">
              <w:r>
                <w:rPr>
                  <w:rFonts w:eastAsia="helvetica neue" w:cs="helvetica neue" w:ascii="helvetica neue" w:hAnsi="helvetica neue"/>
                  <w:color w:val="#000"/>
                  <w:sz w:val="17"/>
                  <w:u w:val="single"/>
                  <w:vertAlign w:val="superscript"/>
                </w:rPr>
                <w:t xml:space="preserve">[1]</w:t>
              </w:r>
            </w:hyperlink>
            <w:hyperlink w:anchor="fn9">
              <w:r>
                <w:rPr>
                  <w:rFonts w:eastAsia="helvetica neue" w:cs="helvetica neue" w:ascii="helvetica neue" w:hAnsi="helvetica neue"/>
                  <w:color w:val="#000"/>
                  <w:sz w:val="17"/>
                  <w:u w:val="single"/>
                  <w:vertAlign w:val="superscript"/>
                </w:rPr>
                <w:t xml:space="preserve">[9]</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Premium Opex; higher cost per TB but optimized for performance‑critical workloads; ExpressRoute/VPN required for on‑prem access at scale. </w:t>
            </w:r>
            <w:hyperlink w:anchor="fn1">
              <w:r>
                <w:rPr>
                  <w:rFonts w:eastAsia="helvetica neue" w:cs="helvetica neue" w:ascii="helvetica neue" w:hAnsi="helvetica neue"/>
                  <w:color w:val="#000"/>
                  <w:sz w:val="17"/>
                  <w:u w:val="single"/>
                  <w:vertAlign w:val="superscript"/>
                </w:rPr>
                <w:t xml:space="preserve">[1]</w:t>
              </w:r>
            </w:hyperlink>
            <w:hyperlink w:anchor="fn9">
              <w:r>
                <w:rPr>
                  <w:rFonts w:eastAsia="helvetica neue" w:cs="helvetica neue" w:ascii="helvetica neue" w:hAnsi="helvetica neue"/>
                  <w:color w:val="#000"/>
                  <w:sz w:val="17"/>
                  <w:u w:val="single"/>
                  <w:vertAlign w:val="superscript"/>
                </w:rPr>
                <w:t xml:space="preserve">[9]</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Included in M365 licensing (storage pooled per tenant); possible egress/backup costs; value grows with use of collaboration features. </w:t>
            </w:r>
            <w:hyperlink w:anchor="fn5">
              <w:r>
                <w:rPr>
                  <w:rFonts w:eastAsia="helvetica neue" w:cs="helvetica neue" w:ascii="helvetica neue" w:hAnsi="helvetica neue"/>
                  <w:color w:val="#000"/>
                  <w:sz w:val="17"/>
                  <w:u w:val="single"/>
                  <w:vertAlign w:val="superscript"/>
                </w:rPr>
                <w:t xml:space="preserve">[5]</w:t>
              </w:r>
            </w:hyperlink>
          </w:p>
        </w:tc>
      </w:tr>
    </w:tbl>
    <w:p>
      <w:pPr>
        <w:spacing w:lineRule="auto"/>
      </w:pPr>
    </w:p>
    <w:p>
      <w:pPr>
        <w:spacing w:line="360" w:before="315" w:after="105" w:lineRule="auto"/>
        <w:ind w:left="-30"/>
        <w:jc w:val="left"/>
      </w:pPr>
      <w:bookmarkStart w:id="6" w:name="migration_effort_and_multi_forest_6013c1"/>
      <w:r>
        <w:rPr>
          <w:rFonts w:eastAsia="georgia" w:cs="georgia" w:ascii="georgia" w:hAnsi="georgia"/>
          <w:b/>
          <w:color w:val="000000"/>
          <w:sz w:val="24"/>
        </w:rPr>
        <w:t xml:space="preserve">Migration effort and multi‑forest complexity</w:t>
      </w:r>
      <w:bookmarkEnd w:id="6"/>
    </w:p>
    <w:p>
      <w:pPr>
        <w:numPr>
          <w:ilvl w:val="0"/>
          <w:numId w:val="2"/>
        </w:numPr>
        <w:spacing w:line="360" w:after="210" w:lineRule="auto"/>
      </w:pPr>
      <w:r>
        <w:rPr>
          <w:rFonts w:eastAsia="georgia" w:cs="georgia" w:ascii="georgia" w:hAnsi="georgia"/>
          <w:b/>
          <w:color w:val="000000"/>
          <w:sz w:val="21"/>
        </w:rPr>
        <w:t xml:space="preserve">On‑prem Windows file server (stay as‑is / extend):</w:t>
      </w:r>
    </w:p>
    <w:p>
      <w:pPr>
        <w:numPr>
          <w:ilvl w:val="1"/>
          <w:numId w:val="2"/>
        </w:numPr>
        <w:spacing w:line="360" w:before="105" w:after="105" w:lineRule="auto"/>
      </w:pPr>
      <w:r>
        <w:rPr>
          <w:rFonts w:eastAsia="georgia" w:cs="georgia" w:ascii="georgia" w:hAnsi="georgia"/>
          <w:color w:val="000000"/>
          <w:sz w:val="21"/>
        </w:rPr>
        <w:t xml:space="preserve">Identity stays unchanged; multi‑forest and child domains continue to work via existing trusts or isolated silos.</w:t>
      </w:r>
    </w:p>
    <w:p>
      <w:pPr>
        <w:numPr>
          <w:ilvl w:val="1"/>
          <w:numId w:val="2"/>
        </w:numPr>
        <w:spacing w:line="360" w:before="105" w:after="105" w:lineRule="auto"/>
      </w:pPr>
      <w:r>
        <w:rPr>
          <w:rFonts w:eastAsia="georgia" w:cs="georgia" w:ascii="georgia" w:hAnsi="georgia"/>
          <w:color w:val="000000"/>
          <w:sz w:val="21"/>
        </w:rPr>
        <w:t xml:space="preserve">Effort is low if remaining on‑prem; complexity appears only when consolidating forests or implementing cross‑forest ACL cleanup.</w:t>
      </w:r>
    </w:p>
    <w:p>
      <w:pPr>
        <w:numPr>
          <w:ilvl w:val="0"/>
          <w:numId w:val="2"/>
        </w:numPr>
        <w:spacing w:line="360" w:after="210" w:lineRule="auto"/>
      </w:pPr>
      <w:r>
        <w:rPr>
          <w:rFonts w:eastAsia="georgia" w:cs="georgia" w:ascii="georgia" w:hAnsi="georgia"/>
          <w:b/>
          <w:color w:val="000000"/>
          <w:sz w:val="21"/>
        </w:rPr>
        <w:t xml:space="preserve">Azure Files:</w:t>
      </w:r>
    </w:p>
    <w:p>
      <w:pPr>
        <w:numPr>
          <w:ilvl w:val="1"/>
          <w:numId w:val="2"/>
        </w:numPr>
        <w:spacing w:line="360" w:before="105" w:after="105" w:lineRule="auto"/>
      </w:pPr>
      <w:r>
        <w:rPr>
          <w:rFonts w:eastAsia="georgia" w:cs="georgia" w:ascii="georgia" w:hAnsi="georgia"/>
          <w:color w:val="000000"/>
          <w:sz w:val="21"/>
        </w:rPr>
        <w:t xml:space="preserve">Requires deciding AD source per storage account: on‑prem AD DS, Entra Domain Services, or Entra Kerberos for hybrid identities; configuration differs by choice.</w:t>
      </w:r>
      <w:bookmarkStart w:id="7" w:name="fnref4_4"/>
      <w:bookmarkEnd w:id="7"/>
      <w:hyperlink w:anchor="fn4">
        <w:r>
          <w:rPr>
            <w:rFonts w:eastAsia="helvetica neue" w:cs="helvetica neue" w:ascii="helvetica neue" w:hAnsi="helvetica neue"/>
            <w:color w:val="#000"/>
            <w:sz w:val="21"/>
            <w:u w:val="single"/>
            <w:vertAlign w:val="superscript"/>
          </w:rPr>
          <w:t xml:space="preserve">[4]</w:t>
        </w:r>
      </w:hyperlink>
      <w:bookmarkStart w:id="8" w:name="fnref3_8"/>
      <w:bookmarkEnd w:id="8"/>
      <w:hyperlink w:anchor="fn3">
        <w:r>
          <w:rPr>
            <w:rFonts w:eastAsia="helvetica neue" w:cs="helvetica neue" w:ascii="helvetica neue" w:hAnsi="helvetica neue"/>
            <w:color w:val="#000"/>
            <w:sz w:val="21"/>
            <w:u w:val="single"/>
            <w:vertAlign w:val="superscript"/>
          </w:rPr>
          <w:t xml:space="preserve">[3]</w:t>
        </w:r>
      </w:hyperlink>
    </w:p>
    <w:p>
      <w:pPr>
        <w:numPr>
          <w:ilvl w:val="1"/>
          <w:numId w:val="2"/>
        </w:numPr>
        <w:spacing w:line="360" w:before="105" w:after="105" w:lineRule="auto"/>
      </w:pPr>
      <w:r>
        <w:rPr>
          <w:rFonts w:eastAsia="georgia" w:cs="georgia" w:ascii="georgia" w:hAnsi="georgia"/>
          <w:color w:val="000000"/>
          <w:sz w:val="21"/>
        </w:rPr>
        <w:t xml:space="preserve">Multi‑forest scenarios may need either: trusts to a central AD used for Azure Files, separate storage accounts plus AD integrations per forest, or multiple Entra DS instances.</w:t>
      </w:r>
      <w:bookmarkStart w:id="9" w:name="fnref3_9"/>
      <w:bookmarkEnd w:id="9"/>
      <w:hyperlink w:anchor="fn3">
        <w:r>
          <w:rPr>
            <w:rFonts w:eastAsia="helvetica neue" w:cs="helvetica neue" w:ascii="helvetica neue" w:hAnsi="helvetica neue"/>
            <w:color w:val="#000"/>
            <w:sz w:val="21"/>
            <w:u w:val="single"/>
            <w:vertAlign w:val="superscript"/>
          </w:rPr>
          <w:t xml:space="preserve">[3]</w:t>
        </w:r>
      </w:hyperlink>
    </w:p>
    <w:p>
      <w:pPr>
        <w:numPr>
          <w:ilvl w:val="1"/>
          <w:numId w:val="2"/>
        </w:numPr>
        <w:spacing w:line="360" w:before="105" w:after="105" w:lineRule="auto"/>
      </w:pPr>
      <w:r>
        <w:rPr>
          <w:rFonts w:eastAsia="georgia" w:cs="georgia" w:ascii="georgia" w:hAnsi="georgia"/>
          <w:color w:val="000000"/>
          <w:sz w:val="21"/>
        </w:rPr>
        <w:t xml:space="preserve">Migration tools (robocopy, Azure File Sync, Data Box) are straightforward but ACL preservation across forests can be complex if consolidating identities.</w:t>
      </w:r>
      <w:bookmarkStart w:id="10" w:name="fnref1_19"/>
      <w:bookmarkEnd w:id="10"/>
      <w:hyperlink w:anchor="fn1">
        <w:r>
          <w:rPr>
            <w:rFonts w:eastAsia="helvetica neue" w:cs="helvetica neue" w:ascii="helvetica neue" w:hAnsi="helvetica neue"/>
            <w:color w:val="#000"/>
            <w:sz w:val="21"/>
            <w:u w:val="single"/>
            <w:vertAlign w:val="superscript"/>
          </w:rPr>
          <w:t xml:space="preserve">[1]</w:t>
        </w:r>
      </w:hyperlink>
      <w:bookmarkStart w:id="11" w:name="fnref3_10"/>
      <w:bookmarkEnd w:id="11"/>
      <w:hyperlink w:anchor="fn3">
        <w:r>
          <w:rPr>
            <w:rFonts w:eastAsia="helvetica neue" w:cs="helvetica neue" w:ascii="helvetica neue" w:hAnsi="helvetica neue"/>
            <w:color w:val="#000"/>
            <w:sz w:val="21"/>
            <w:u w:val="single"/>
            <w:vertAlign w:val="superscript"/>
          </w:rPr>
          <w:t xml:space="preserve">[3]</w:t>
        </w:r>
      </w:hyperlink>
    </w:p>
    <w:p>
      <w:pPr>
        <w:numPr>
          <w:ilvl w:val="1"/>
          <w:numId w:val="2"/>
        </w:numPr>
        <w:spacing w:line="360" w:before="105" w:after="105" w:lineRule="auto"/>
      </w:pPr>
      <w:r>
        <w:rPr>
          <w:rFonts w:eastAsia="georgia" w:cs="georgia" w:ascii="georgia" w:hAnsi="georgia"/>
          <w:b/>
          <w:color w:val="000000"/>
          <w:sz w:val="21"/>
        </w:rPr>
        <w:t xml:space="preserve">Relative effort:</w:t>
      </w:r>
      <w:r>
        <w:rPr>
          <w:rFonts w:eastAsia="georgia" w:cs="georgia" w:ascii="georgia" w:hAnsi="georgia"/>
          <w:color w:val="000000"/>
          <w:sz w:val="21"/>
        </w:rPr>
        <w:t xml:space="preserve"> Medium–High in a multi‑forest, multi‑child domain environment, mainly due to identity design and cross‑forest access requirements.</w:t>
      </w:r>
    </w:p>
    <w:p>
      <w:pPr>
        <w:numPr>
          <w:ilvl w:val="0"/>
          <w:numId w:val="2"/>
        </w:numPr>
        <w:spacing w:line="360" w:after="210" w:lineRule="auto"/>
      </w:pPr>
      <w:r>
        <w:rPr>
          <w:rFonts w:eastAsia="georgia" w:cs="georgia" w:ascii="georgia" w:hAnsi="georgia"/>
          <w:b/>
          <w:color w:val="000000"/>
          <w:sz w:val="21"/>
        </w:rPr>
        <w:t xml:space="preserve">Azure NetApp Files:</w:t>
      </w:r>
    </w:p>
    <w:p>
      <w:pPr>
        <w:numPr>
          <w:ilvl w:val="1"/>
          <w:numId w:val="2"/>
        </w:numPr>
        <w:spacing w:line="360" w:before="105" w:after="105" w:lineRule="auto"/>
      </w:pPr>
      <w:r>
        <w:rPr>
          <w:rFonts w:eastAsia="georgia" w:cs="georgia" w:ascii="georgia" w:hAnsi="georgia"/>
          <w:color w:val="000000"/>
          <w:sz w:val="21"/>
        </w:rPr>
        <w:t xml:space="preserve">ANF requires AD DS/LDAP reachable from its delegated subnet; typical pattern is a hub VNet with domain controllers or line‑of‑sight to existing forests.</w:t>
      </w:r>
      <w:bookmarkStart w:id="12" w:name="fnref2_10"/>
      <w:bookmarkEnd w:id="12"/>
      <w:hyperlink w:anchor="fn2">
        <w:r>
          <w:rPr>
            <w:rFonts w:eastAsia="helvetica neue" w:cs="helvetica neue" w:ascii="helvetica neue" w:hAnsi="helvetica neue"/>
            <w:color w:val="#000"/>
            <w:sz w:val="21"/>
            <w:u w:val="single"/>
            <w:vertAlign w:val="superscript"/>
          </w:rPr>
          <w:t xml:space="preserve">[2]</w:t>
        </w:r>
      </w:hyperlink>
      <w:bookmarkStart w:id="13" w:name="fnref1_20"/>
      <w:bookmarkEnd w:id="13"/>
      <w:hyperlink w:anchor="fn1">
        <w:r>
          <w:rPr>
            <w:rFonts w:eastAsia="helvetica neue" w:cs="helvetica neue" w:ascii="helvetica neue" w:hAnsi="helvetica neue"/>
            <w:color w:val="#000"/>
            <w:sz w:val="21"/>
            <w:u w:val="single"/>
            <w:vertAlign w:val="superscript"/>
          </w:rPr>
          <w:t xml:space="preserve">[1]</w:t>
        </w:r>
      </w:hyperlink>
    </w:p>
    <w:p>
      <w:pPr>
        <w:numPr>
          <w:ilvl w:val="1"/>
          <w:numId w:val="2"/>
        </w:numPr>
        <w:spacing w:line="360" w:before="105" w:after="105" w:lineRule="auto"/>
      </w:pPr>
      <w:r>
        <w:rPr>
          <w:rFonts w:eastAsia="georgia" w:cs="georgia" w:ascii="georgia" w:hAnsi="georgia"/>
          <w:color w:val="000000"/>
          <w:sz w:val="21"/>
        </w:rPr>
        <w:t xml:space="preserve">Multi‑forest support generally requires either: forest trusts to a central resource forest, or per‑forest ANF deployments with separate integrations; cross‑forest ACLs need careful planning.</w:t>
      </w:r>
      <w:bookmarkStart w:id="14" w:name="fnref2_11"/>
      <w:bookmarkEnd w:id="14"/>
      <w:hyperlink w:anchor="fn2">
        <w:r>
          <w:rPr>
            <w:rFonts w:eastAsia="helvetica neue" w:cs="helvetica neue" w:ascii="helvetica neue" w:hAnsi="helvetica neue"/>
            <w:color w:val="#000"/>
            <w:sz w:val="21"/>
            <w:u w:val="single"/>
            <w:vertAlign w:val="superscript"/>
          </w:rPr>
          <w:t xml:space="preserve">[2]</w:t>
        </w:r>
      </w:hyperlink>
      <w:bookmarkStart w:id="15" w:name="fnref1_21"/>
      <w:bookmarkEnd w:id="15"/>
      <w:hyperlink w:anchor="fn1">
        <w:r>
          <w:rPr>
            <w:rFonts w:eastAsia="helvetica neue" w:cs="helvetica neue" w:ascii="helvetica neue" w:hAnsi="helvetica neue"/>
            <w:color w:val="#000"/>
            <w:sz w:val="21"/>
            <w:u w:val="single"/>
            <w:vertAlign w:val="superscript"/>
          </w:rPr>
          <w:t xml:space="preserve">[1]</w:t>
        </w:r>
      </w:hyperlink>
    </w:p>
    <w:p>
      <w:pPr>
        <w:numPr>
          <w:ilvl w:val="1"/>
          <w:numId w:val="2"/>
        </w:numPr>
        <w:spacing w:line="360" w:before="105" w:after="105" w:lineRule="auto"/>
      </w:pPr>
      <w:r>
        <w:rPr>
          <w:rFonts w:eastAsia="georgia" w:cs="georgia" w:ascii="georgia" w:hAnsi="georgia"/>
          <w:color w:val="000000"/>
          <w:sz w:val="21"/>
        </w:rPr>
        <w:t xml:space="preserve">Data migration uses standard NAS techniques (robocopy, rsync, NetApp tools); more work when splitting or combining shares across forests.</w:t>
      </w:r>
    </w:p>
    <w:p>
      <w:pPr>
        <w:numPr>
          <w:ilvl w:val="1"/>
          <w:numId w:val="2"/>
        </w:numPr>
        <w:spacing w:line="360" w:before="105" w:after="105" w:lineRule="auto"/>
      </w:pPr>
      <w:r>
        <w:rPr>
          <w:rFonts w:eastAsia="georgia" w:cs="georgia" w:ascii="georgia" w:hAnsi="georgia"/>
          <w:b/>
          <w:color w:val="000000"/>
          <w:sz w:val="21"/>
        </w:rPr>
        <w:t xml:space="preserve">Relative effort:</w:t>
      </w:r>
      <w:r>
        <w:rPr>
          <w:rFonts w:eastAsia="georgia" w:cs="georgia" w:ascii="georgia" w:hAnsi="georgia"/>
          <w:color w:val="000000"/>
          <w:sz w:val="21"/>
        </w:rPr>
        <w:t xml:space="preserve"> Medium–High due to network and AD topology changes, but behavior is closest to existing NAS which simplifies application compatibility.</w:t>
      </w:r>
    </w:p>
    <w:p>
      <w:pPr>
        <w:numPr>
          <w:ilvl w:val="0"/>
          <w:numId w:val="2"/>
        </w:numPr>
        <w:spacing w:line="360" w:after="210" w:lineRule="auto"/>
      </w:pPr>
      <w:r>
        <w:rPr>
          <w:rFonts w:eastAsia="georgia" w:cs="georgia" w:ascii="georgia" w:hAnsi="georgia"/>
          <w:b/>
          <w:color w:val="000000"/>
          <w:sz w:val="21"/>
        </w:rPr>
        <w:t xml:space="preserve">SharePoint Online:</w:t>
      </w:r>
    </w:p>
    <w:p>
      <w:pPr>
        <w:numPr>
          <w:ilvl w:val="1"/>
          <w:numId w:val="2"/>
        </w:numPr>
        <w:spacing w:line="360" w:before="105" w:after="105" w:lineRule="auto"/>
      </w:pPr>
      <w:r>
        <w:rPr>
          <w:rFonts w:eastAsia="georgia" w:cs="georgia" w:ascii="georgia" w:hAnsi="georgia"/>
          <w:color w:val="000000"/>
          <w:sz w:val="21"/>
        </w:rPr>
        <w:t xml:space="preserve">Identity integration requires syncing all relevant users from every forest into Entra ID (via AAD Connect cloud sync or multi‑forest sync), but no AD DS line‑of‑sight is required for file access.</w:t>
      </w:r>
      <w:bookmarkStart w:id="16" w:name="fnref5_10"/>
      <w:bookmarkEnd w:id="16"/>
      <w:hyperlink w:anchor="fn5">
        <w:r>
          <w:rPr>
            <w:rFonts w:eastAsia="helvetica neue" w:cs="helvetica neue" w:ascii="helvetica neue" w:hAnsi="helvetica neue"/>
            <w:color w:val="#000"/>
            <w:sz w:val="21"/>
            <w:u w:val="single"/>
            <w:vertAlign w:val="superscript"/>
          </w:rPr>
          <w:t xml:space="preserve">[5]</w:t>
        </w:r>
      </w:hyperlink>
    </w:p>
    <w:p>
      <w:pPr>
        <w:numPr>
          <w:ilvl w:val="1"/>
          <w:numId w:val="2"/>
        </w:numPr>
        <w:spacing w:line="360" w:before="105" w:after="105" w:lineRule="auto"/>
      </w:pPr>
      <w:r>
        <w:rPr>
          <w:rFonts w:eastAsia="georgia" w:cs="georgia" w:ascii="georgia" w:hAnsi="georgia"/>
          <w:color w:val="000000"/>
          <w:sz w:val="21"/>
        </w:rPr>
        <w:t xml:space="preserve">ACL and structure often need redesign into sites, libraries, and M365 groups; NTFS permissions do not map 1:1, so significant planning is needed.</w:t>
      </w:r>
      <w:bookmarkStart w:id="17" w:name="fnref6_5"/>
      <w:bookmarkEnd w:id="17"/>
      <w:hyperlink w:anchor="fn6">
        <w:r>
          <w:rPr>
            <w:rFonts w:eastAsia="helvetica neue" w:cs="helvetica neue" w:ascii="helvetica neue" w:hAnsi="helvetica neue"/>
            <w:color w:val="#000"/>
            <w:sz w:val="21"/>
            <w:u w:val="single"/>
            <w:vertAlign w:val="superscript"/>
          </w:rPr>
          <w:t xml:space="preserve">[6]</w:t>
        </w:r>
      </w:hyperlink>
      <w:bookmarkStart w:id="18" w:name="fnref5_11"/>
      <w:bookmarkEnd w:id="18"/>
      <w:hyperlink w:anchor="fn5">
        <w:r>
          <w:rPr>
            <w:rFonts w:eastAsia="helvetica neue" w:cs="helvetica neue" w:ascii="helvetica neue" w:hAnsi="helvetica neue"/>
            <w:color w:val="#000"/>
            <w:sz w:val="21"/>
            <w:u w:val="single"/>
            <w:vertAlign w:val="superscript"/>
          </w:rPr>
          <w:t xml:space="preserve">[5]</w:t>
        </w:r>
      </w:hyperlink>
    </w:p>
    <w:p>
      <w:pPr>
        <w:numPr>
          <w:ilvl w:val="1"/>
          <w:numId w:val="2"/>
        </w:numPr>
        <w:spacing w:line="360" w:before="105" w:after="105" w:lineRule="auto"/>
      </w:pPr>
      <w:r>
        <w:rPr>
          <w:rFonts w:eastAsia="georgia" w:cs="georgia" w:ascii="georgia" w:hAnsi="georgia"/>
          <w:color w:val="000000"/>
          <w:sz w:val="21"/>
        </w:rPr>
        <w:t xml:space="preserve">Multi‑forest complexity is mostly in identity consolidation and UPN normalization rather than storage itself.</w:t>
      </w:r>
    </w:p>
    <w:p>
      <w:pPr>
        <w:numPr>
          <w:ilvl w:val="1"/>
          <w:numId w:val="2"/>
        </w:numPr>
        <w:spacing w:line="360" w:before="105" w:after="105" w:lineRule="auto"/>
      </w:pPr>
      <w:r>
        <w:rPr>
          <w:rFonts w:eastAsia="georgia" w:cs="georgia" w:ascii="georgia" w:hAnsi="georgia"/>
          <w:b/>
          <w:color w:val="000000"/>
          <w:sz w:val="21"/>
        </w:rPr>
        <w:t xml:space="preserve">Relative effort:</w:t>
      </w:r>
      <w:r>
        <w:rPr>
          <w:rFonts w:eastAsia="georgia" w:cs="georgia" w:ascii="georgia" w:hAnsi="georgia"/>
          <w:color w:val="000000"/>
          <w:sz w:val="21"/>
        </w:rPr>
        <w:t xml:space="preserve"> High for a true migration of departmental shares due to structural changes and user retraining, but lower long‑term operational complexity.</w:t>
      </w:r>
    </w:p>
    <w:p>
      <w:pPr>
        <w:spacing w:line="360" w:before="315" w:after="105" w:lineRule="auto"/>
        <w:ind w:left="-30"/>
        <w:jc w:val="left"/>
      </w:pPr>
      <w:bookmarkStart w:id="19" w:name="network_and_connectivity_considerations"/>
      <w:r>
        <w:rPr>
          <w:rFonts w:eastAsia="georgia" w:cs="georgia" w:ascii="georgia" w:hAnsi="georgia"/>
          <w:b/>
          <w:color w:val="000000"/>
          <w:sz w:val="24"/>
        </w:rPr>
        <w:t xml:space="preserve">Network and connectivity considerations</w:t>
      </w:r>
      <w:bookmarkEnd w:id="19"/>
    </w:p>
    <w:p>
      <w:pPr>
        <w:numPr>
          <w:ilvl w:val="0"/>
          <w:numId w:val="3"/>
        </w:numPr>
        <w:spacing w:line="360" w:after="210" w:lineRule="auto"/>
      </w:pPr>
      <w:r>
        <w:rPr>
          <w:rFonts w:eastAsia="georgia" w:cs="georgia" w:ascii="georgia" w:hAnsi="georgia"/>
          <w:b/>
          <w:color w:val="000000"/>
          <w:sz w:val="21"/>
        </w:rPr>
        <w:t xml:space="preserve">On‑prem Windows file server:</w:t>
      </w:r>
    </w:p>
    <w:p>
      <w:pPr>
        <w:numPr>
          <w:ilvl w:val="1"/>
          <w:numId w:val="3"/>
        </w:numPr>
        <w:spacing w:line="360" w:before="105" w:after="105" w:lineRule="auto"/>
      </w:pPr>
      <w:r>
        <w:rPr>
          <w:rFonts w:eastAsia="georgia" w:cs="georgia" w:ascii="georgia" w:hAnsi="georgia"/>
          <w:color w:val="000000"/>
          <w:sz w:val="21"/>
        </w:rPr>
        <w:t xml:space="preserve">Recommended: LAN access for primary users, plus site‑to‑site VPN/MPLS for branches; DFS‑N often used to localize traffic.</w:t>
      </w:r>
    </w:p>
    <w:p>
      <w:pPr>
        <w:numPr>
          <w:ilvl w:val="1"/>
          <w:numId w:val="3"/>
        </w:numPr>
        <w:spacing w:line="360" w:before="105" w:after="105" w:lineRule="auto"/>
      </w:pPr>
      <w:r>
        <w:rPr>
          <w:rFonts w:eastAsia="georgia" w:cs="georgia" w:ascii="georgia" w:hAnsi="georgia"/>
          <w:color w:val="000000"/>
          <w:sz w:val="21"/>
        </w:rPr>
        <w:t xml:space="preserve">Bandwidth impact from large file ops and profiles is mostly contained within each site; inter‑site replication must be scheduled and throttled using DFS‑R/robocopy.</w:t>
      </w:r>
    </w:p>
    <w:p>
      <w:pPr>
        <w:numPr>
          <w:ilvl w:val="1"/>
          <w:numId w:val="3"/>
        </w:numPr>
        <w:spacing w:line="360" w:before="105" w:after="105" w:lineRule="auto"/>
      </w:pPr>
      <w:r>
        <w:rPr>
          <w:rFonts w:eastAsia="georgia" w:cs="georgia" w:ascii="georgia" w:hAnsi="georgia"/>
          <w:color w:val="000000"/>
          <w:sz w:val="21"/>
        </w:rPr>
        <w:t xml:space="preserve">Branch offices can use local file servers with DFS‑N to keep access local and avoid WAN latency.</w:t>
      </w:r>
    </w:p>
    <w:p>
      <w:pPr>
        <w:numPr>
          <w:ilvl w:val="0"/>
          <w:numId w:val="3"/>
        </w:numPr>
        <w:spacing w:line="360" w:after="210" w:lineRule="auto"/>
      </w:pPr>
      <w:r>
        <w:rPr>
          <w:rFonts w:eastAsia="georgia" w:cs="georgia" w:ascii="georgia" w:hAnsi="georgia"/>
          <w:b/>
          <w:color w:val="000000"/>
          <w:sz w:val="21"/>
        </w:rPr>
        <w:t xml:space="preserve">Azure Files:</w:t>
      </w:r>
    </w:p>
    <w:p>
      <w:pPr>
        <w:numPr>
          <w:ilvl w:val="1"/>
          <w:numId w:val="3"/>
        </w:numPr>
        <w:spacing w:line="360" w:before="105" w:after="105" w:lineRule="auto"/>
      </w:pPr>
      <w:r>
        <w:rPr>
          <w:rFonts w:eastAsia="georgia" w:cs="georgia" w:ascii="georgia" w:hAnsi="georgia"/>
          <w:color w:val="000000"/>
          <w:sz w:val="21"/>
        </w:rPr>
        <w:t xml:space="preserve">Recommended: ExpressRoute for large, latency‑sensitive SMB workloads; VPN or direct internet for smaller/remote deployments; Azure File Sync to maintain local caches and cloud tiering.</w:t>
      </w:r>
      <w:bookmarkStart w:id="20" w:name="fnref1_22"/>
      <w:bookmarkEnd w:id="20"/>
      <w:hyperlink w:anchor="fn1">
        <w:r>
          <w:rPr>
            <w:rFonts w:eastAsia="helvetica neue" w:cs="helvetica neue" w:ascii="helvetica neue" w:hAnsi="helvetica neue"/>
            <w:color w:val="#000"/>
            <w:sz w:val="21"/>
            <w:u w:val="single"/>
            <w:vertAlign w:val="superscript"/>
          </w:rPr>
          <w:t xml:space="preserve">[1]</w:t>
        </w:r>
      </w:hyperlink>
      <w:bookmarkStart w:id="21" w:name="fnref3_11"/>
      <w:bookmarkEnd w:id="21"/>
      <w:hyperlink w:anchor="fn3">
        <w:r>
          <w:rPr>
            <w:rFonts w:eastAsia="helvetica neue" w:cs="helvetica neue" w:ascii="helvetica neue" w:hAnsi="helvetica neue"/>
            <w:color w:val="#000"/>
            <w:sz w:val="21"/>
            <w:u w:val="single"/>
            <w:vertAlign w:val="superscript"/>
          </w:rPr>
          <w:t xml:space="preserve">[3]</w:t>
        </w:r>
      </w:hyperlink>
    </w:p>
    <w:p>
      <w:pPr>
        <w:numPr>
          <w:ilvl w:val="1"/>
          <w:numId w:val="3"/>
        </w:numPr>
        <w:spacing w:line="360" w:before="105" w:after="105" w:lineRule="auto"/>
      </w:pPr>
      <w:r>
        <w:rPr>
          <w:rFonts w:eastAsia="georgia" w:cs="georgia" w:ascii="georgia" w:hAnsi="georgia"/>
          <w:color w:val="000000"/>
          <w:sz w:val="21"/>
        </w:rPr>
        <w:t xml:space="preserve">Large initial seeding may need Data Box; ongoing reads/writes depend on per‑share throughput and client concurrency; SMB multichannel improves throughput from capable clients.</w:t>
      </w:r>
      <w:bookmarkStart w:id="22" w:name="fnref8_2"/>
      <w:bookmarkEnd w:id="22"/>
      <w:hyperlink w:anchor="fn8">
        <w:r>
          <w:rPr>
            <w:rFonts w:eastAsia="helvetica neue" w:cs="helvetica neue" w:ascii="helvetica neue" w:hAnsi="helvetica neue"/>
            <w:color w:val="#000"/>
            <w:sz w:val="21"/>
            <w:u w:val="single"/>
            <w:vertAlign w:val="superscript"/>
          </w:rPr>
          <w:t xml:space="preserve">[8]</w:t>
        </w:r>
      </w:hyperlink>
      <w:bookmarkStart w:id="23" w:name="fnref1_23"/>
      <w:bookmarkEnd w:id="23"/>
      <w:hyperlink w:anchor="fn1">
        <w:r>
          <w:rPr>
            <w:rFonts w:eastAsia="helvetica neue" w:cs="helvetica neue" w:ascii="helvetica neue" w:hAnsi="helvetica neue"/>
            <w:color w:val="#000"/>
            <w:sz w:val="21"/>
            <w:u w:val="single"/>
            <w:vertAlign w:val="superscript"/>
          </w:rPr>
          <w:t xml:space="preserve">[1]</w:t>
        </w:r>
      </w:hyperlink>
    </w:p>
    <w:p>
      <w:pPr>
        <w:numPr>
          <w:ilvl w:val="1"/>
          <w:numId w:val="3"/>
        </w:numPr>
        <w:spacing w:line="360" w:before="105" w:after="105" w:lineRule="auto"/>
      </w:pPr>
      <w:r>
        <w:rPr>
          <w:rFonts w:eastAsia="georgia" w:cs="georgia" w:ascii="georgia" w:hAnsi="georgia"/>
          <w:color w:val="000000"/>
          <w:sz w:val="21"/>
        </w:rPr>
        <w:t xml:space="preserve">Azure File Sync mitigates bandwidth by storing hot data locally and tiering cold data to Azure, with background sync and bandwidth‑throttling options.</w:t>
      </w:r>
      <w:bookmarkStart w:id="24" w:name="fnref3_12"/>
      <w:bookmarkEnd w:id="24"/>
      <w:hyperlink w:anchor="fn3">
        <w:r>
          <w:rPr>
            <w:rFonts w:eastAsia="helvetica neue" w:cs="helvetica neue" w:ascii="helvetica neue" w:hAnsi="helvetica neue"/>
            <w:color w:val="#000"/>
            <w:sz w:val="21"/>
            <w:u w:val="single"/>
            <w:vertAlign w:val="superscript"/>
          </w:rPr>
          <w:t xml:space="preserve">[3]</w:t>
        </w:r>
      </w:hyperlink>
      <w:bookmarkStart w:id="25" w:name="fnref1_24"/>
      <w:bookmarkEnd w:id="25"/>
      <w:hyperlink w:anchor="fn1">
        <w:r>
          <w:rPr>
            <w:rFonts w:eastAsia="helvetica neue" w:cs="helvetica neue" w:ascii="helvetica neue" w:hAnsi="helvetica neue"/>
            <w:color w:val="#000"/>
            <w:sz w:val="21"/>
            <w:u w:val="single"/>
            <w:vertAlign w:val="superscript"/>
          </w:rPr>
          <w:t xml:space="preserve">[1]</w:t>
        </w:r>
      </w:hyperlink>
    </w:p>
    <w:p>
      <w:pPr>
        <w:numPr>
          <w:ilvl w:val="0"/>
          <w:numId w:val="3"/>
        </w:numPr>
        <w:spacing w:line="360" w:after="210" w:lineRule="auto"/>
      </w:pPr>
      <w:r>
        <w:rPr>
          <w:rFonts w:eastAsia="georgia" w:cs="georgia" w:ascii="georgia" w:hAnsi="georgia"/>
          <w:b/>
          <w:color w:val="000000"/>
          <w:sz w:val="21"/>
        </w:rPr>
        <w:t xml:space="preserve">Azure NetApp Files:</w:t>
      </w:r>
    </w:p>
    <w:p>
      <w:pPr>
        <w:numPr>
          <w:ilvl w:val="1"/>
          <w:numId w:val="3"/>
        </w:numPr>
        <w:spacing w:line="360" w:before="105" w:after="105" w:lineRule="auto"/>
      </w:pPr>
      <w:r>
        <w:rPr>
          <w:rFonts w:eastAsia="georgia" w:cs="georgia" w:ascii="georgia" w:hAnsi="georgia"/>
          <w:color w:val="000000"/>
          <w:sz w:val="21"/>
        </w:rPr>
        <w:t xml:space="preserve">Recommended: ExpressRoute for consistent low‑latency access from on‑prem; Azure workloads should be colocated in same region/VNet.</w:t>
      </w:r>
      <w:bookmarkStart w:id="26" w:name="fnref2_12"/>
      <w:bookmarkEnd w:id="26"/>
      <w:hyperlink w:anchor="fn2">
        <w:r>
          <w:rPr>
            <w:rFonts w:eastAsia="helvetica neue" w:cs="helvetica neue" w:ascii="helvetica neue" w:hAnsi="helvetica neue"/>
            <w:color w:val="#000"/>
            <w:sz w:val="21"/>
            <w:u w:val="single"/>
            <w:vertAlign w:val="superscript"/>
          </w:rPr>
          <w:t xml:space="preserve">[2]</w:t>
        </w:r>
      </w:hyperlink>
      <w:bookmarkStart w:id="27" w:name="fnref1_25"/>
      <w:bookmarkEnd w:id="27"/>
      <w:hyperlink w:anchor="fn1">
        <w:r>
          <w:rPr>
            <w:rFonts w:eastAsia="helvetica neue" w:cs="helvetica neue" w:ascii="helvetica neue" w:hAnsi="helvetica neue"/>
            <w:color w:val="#000"/>
            <w:sz w:val="21"/>
            <w:u w:val="single"/>
            <w:vertAlign w:val="superscript"/>
          </w:rPr>
          <w:t xml:space="preserve">[1]</w:t>
        </w:r>
      </w:hyperlink>
    </w:p>
    <w:p>
      <w:pPr>
        <w:numPr>
          <w:ilvl w:val="1"/>
          <w:numId w:val="3"/>
        </w:numPr>
        <w:spacing w:line="360" w:before="105" w:after="105" w:lineRule="auto"/>
      </w:pPr>
      <w:r>
        <w:rPr>
          <w:rFonts w:eastAsia="georgia" w:cs="georgia" w:ascii="georgia" w:hAnsi="georgia"/>
          <w:color w:val="000000"/>
          <w:sz w:val="21"/>
        </w:rPr>
        <w:t xml:space="preserve">High‑performance volumes can generate very high bandwidth usage; careful capacity planning on ExpressRoute circuits and branch connectivity is required.</w:t>
      </w:r>
    </w:p>
    <w:p>
      <w:pPr>
        <w:numPr>
          <w:ilvl w:val="1"/>
          <w:numId w:val="3"/>
        </w:numPr>
        <w:spacing w:line="360" w:before="105" w:after="105" w:lineRule="auto"/>
      </w:pPr>
      <w:r>
        <w:rPr>
          <w:rFonts w:eastAsia="georgia" w:cs="georgia" w:ascii="georgia" w:hAnsi="georgia"/>
          <w:color w:val="000000"/>
          <w:sz w:val="21"/>
        </w:rPr>
        <w:t xml:space="preserve">Branch offices benefit most when access is proxied via central VDI/RDS in Azure rather than direct SMB over long WAN paths.</w:t>
      </w:r>
    </w:p>
    <w:p>
      <w:pPr>
        <w:numPr>
          <w:ilvl w:val="0"/>
          <w:numId w:val="3"/>
        </w:numPr>
        <w:spacing w:line="360" w:after="210" w:lineRule="auto"/>
      </w:pPr>
      <w:r>
        <w:rPr>
          <w:rFonts w:eastAsia="georgia" w:cs="georgia" w:ascii="georgia" w:hAnsi="georgia"/>
          <w:b/>
          <w:color w:val="000000"/>
          <w:sz w:val="21"/>
        </w:rPr>
        <w:t xml:space="preserve">SharePoint Online:</w:t>
      </w:r>
    </w:p>
    <w:p>
      <w:pPr>
        <w:numPr>
          <w:ilvl w:val="1"/>
          <w:numId w:val="3"/>
        </w:numPr>
        <w:spacing w:line="360" w:before="105" w:after="105" w:lineRule="auto"/>
      </w:pPr>
      <w:r>
        <w:rPr>
          <w:rFonts w:eastAsia="georgia" w:cs="georgia" w:ascii="georgia" w:hAnsi="georgia"/>
          <w:color w:val="000000"/>
          <w:sz w:val="21"/>
        </w:rPr>
        <w:t xml:space="preserve">Recommended: Direct internet access with split‑tunneling rather than backhauling via VPN; optimize with local breakouts and Office 365 endpoints.</w:t>
      </w:r>
      <w:bookmarkStart w:id="28" w:name="fnref5_12"/>
      <w:bookmarkEnd w:id="28"/>
      <w:hyperlink w:anchor="fn5">
        <w:r>
          <w:rPr>
            <w:rFonts w:eastAsia="helvetica neue" w:cs="helvetica neue" w:ascii="helvetica neue" w:hAnsi="helvetica neue"/>
            <w:color w:val="#000"/>
            <w:sz w:val="21"/>
            <w:u w:val="single"/>
            <w:vertAlign w:val="superscript"/>
          </w:rPr>
          <w:t xml:space="preserve">[5]</w:t>
        </w:r>
      </w:hyperlink>
    </w:p>
    <w:p>
      <w:pPr>
        <w:numPr>
          <w:ilvl w:val="1"/>
          <w:numId w:val="3"/>
        </w:numPr>
        <w:spacing w:line="360" w:before="105" w:after="105" w:lineRule="auto"/>
      </w:pPr>
      <w:r>
        <w:rPr>
          <w:rFonts w:eastAsia="georgia" w:cs="georgia" w:ascii="georgia" w:hAnsi="georgia"/>
          <w:color w:val="000000"/>
          <w:sz w:val="21"/>
        </w:rPr>
        <w:t xml:space="preserve">OneDrive Files On‑Demand reduces bandwidth by downloading only needed content; initial sync can be staged per user and throttled.</w:t>
      </w:r>
      <w:bookmarkStart w:id="29" w:name="fnref6_6"/>
      <w:bookmarkEnd w:id="29"/>
      <w:hyperlink w:anchor="fn6">
        <w:r>
          <w:rPr>
            <w:rFonts w:eastAsia="helvetica neue" w:cs="helvetica neue" w:ascii="helvetica neue" w:hAnsi="helvetica neue"/>
            <w:color w:val="#000"/>
            <w:sz w:val="21"/>
            <w:u w:val="single"/>
            <w:vertAlign w:val="superscript"/>
          </w:rPr>
          <w:t xml:space="preserve">[6]</w:t>
        </w:r>
      </w:hyperlink>
      <w:bookmarkStart w:id="30" w:name="fnref5_13"/>
      <w:bookmarkEnd w:id="30"/>
      <w:hyperlink w:anchor="fn5">
        <w:r>
          <w:rPr>
            <w:rFonts w:eastAsia="helvetica neue" w:cs="helvetica neue" w:ascii="helvetica neue" w:hAnsi="helvetica neue"/>
            <w:color w:val="#000"/>
            <w:sz w:val="21"/>
            <w:u w:val="single"/>
            <w:vertAlign w:val="superscript"/>
          </w:rPr>
          <w:t xml:space="preserve">[5]</w:t>
        </w:r>
      </w:hyperlink>
    </w:p>
    <w:p>
      <w:pPr>
        <w:numPr>
          <w:ilvl w:val="1"/>
          <w:numId w:val="3"/>
        </w:numPr>
        <w:spacing w:line="360" w:before="105" w:after="105" w:lineRule="auto"/>
      </w:pPr>
      <w:r>
        <w:rPr>
          <w:rFonts w:eastAsia="georgia" w:cs="georgia" w:ascii="georgia" w:hAnsi="georgia"/>
          <w:color w:val="000000"/>
          <w:sz w:val="21"/>
        </w:rPr>
        <w:t xml:space="preserve">For branches, performance depends on internet quality; no concept of local file server cache, but users can pin frequently used files locally.</w:t>
      </w:r>
    </w:p>
    <w:p>
      <w:pPr>
        <w:spacing w:line="360" w:before="315" w:after="105" w:lineRule="auto"/>
        <w:ind w:left="-30"/>
        <w:jc w:val="left"/>
      </w:pPr>
      <w:bookmarkStart w:id="31" w:name="direct_drive_mapping_details"/>
      <w:r>
        <w:rPr>
          <w:rFonts w:eastAsia="georgia" w:cs="georgia" w:ascii="georgia" w:hAnsi="georgia"/>
          <w:b/>
          <w:color w:val="000000"/>
          <w:sz w:val="24"/>
        </w:rPr>
        <w:t xml:space="preserve">Direct drive mapping details</w:t>
      </w:r>
      <w:bookmarkEnd w:id="31"/>
    </w:p>
    <w:p>
      <w:pPr>
        <w:numPr>
          <w:ilvl w:val="0"/>
          <w:numId w:val="4"/>
        </w:numPr>
        <w:spacing w:line="360" w:after="210" w:lineRule="auto"/>
      </w:pPr>
      <w:r>
        <w:rPr>
          <w:rFonts w:eastAsia="georgia" w:cs="georgia" w:ascii="georgia" w:hAnsi="georgia"/>
          <w:b/>
          <w:color w:val="000000"/>
          <w:sz w:val="21"/>
        </w:rPr>
        <w:t xml:space="preserve">On‑prem Windows file server:</w:t>
      </w:r>
    </w:p>
    <w:p>
      <w:pPr>
        <w:numPr>
          <w:ilvl w:val="1"/>
          <w:numId w:val="4"/>
        </w:numPr>
        <w:spacing w:line="360" w:before="105" w:after="105" w:lineRule="auto"/>
      </w:pPr>
      <w:r>
        <w:rPr>
          <w:rFonts w:eastAsia="georgia" w:cs="georgia" w:ascii="georgia" w:hAnsi="georgia"/>
          <w:color w:val="000000"/>
          <w:sz w:val="21"/>
        </w:rPr>
        <w:t xml:space="preserve">Fully supports native SMB mapping (\server\share) with Kerberos/NTLM when clients can reach domain controllers; multi‑forest works if trusts and DNS are in place.</w:t>
      </w:r>
    </w:p>
    <w:p>
      <w:pPr>
        <w:numPr>
          <w:ilvl w:val="1"/>
          <w:numId w:val="4"/>
        </w:numPr>
        <w:spacing w:line="360" w:before="105" w:after="105" w:lineRule="auto"/>
      </w:pPr>
      <w:r>
        <w:rPr>
          <w:rFonts w:eastAsia="georgia" w:cs="georgia" w:ascii="georgia" w:hAnsi="georgia"/>
          <w:color w:val="000000"/>
          <w:sz w:val="21"/>
        </w:rPr>
        <w:t xml:space="preserve">GPO‑driven drive mapping is straightforward and widely used.</w:t>
      </w:r>
    </w:p>
    <w:p>
      <w:pPr>
        <w:numPr>
          <w:ilvl w:val="0"/>
          <w:numId w:val="4"/>
        </w:numPr>
        <w:spacing w:line="360" w:after="210" w:lineRule="auto"/>
      </w:pPr>
      <w:r>
        <w:rPr>
          <w:rFonts w:eastAsia="georgia" w:cs="georgia" w:ascii="georgia" w:hAnsi="georgia"/>
          <w:b/>
          <w:color w:val="000000"/>
          <w:sz w:val="21"/>
        </w:rPr>
        <w:t xml:space="preserve">Azure Files:</w:t>
      </w:r>
    </w:p>
    <w:p>
      <w:pPr>
        <w:numPr>
          <w:ilvl w:val="1"/>
          <w:numId w:val="4"/>
        </w:numPr>
        <w:spacing w:line="360" w:before="105" w:after="105" w:lineRule="auto"/>
      </w:pPr>
      <w:r>
        <w:rPr>
          <w:rFonts w:eastAsia="georgia" w:cs="georgia" w:ascii="georgia" w:hAnsi="georgia"/>
          <w:color w:val="000000"/>
          <w:sz w:val="21"/>
        </w:rPr>
        <w:t xml:space="preserve">Native SMB mapping supported from domain‑joined clients using AD DS auth or from Entra‑joined clients using Entra Kerberos; requires correctly configured SPNs, DNS, and Kerberos realm mappings in hybrid setups.</w:t>
      </w:r>
      <w:bookmarkStart w:id="32" w:name="fnref7_1"/>
      <w:bookmarkEnd w:id="32"/>
      <w:hyperlink w:anchor="fn7">
        <w:r>
          <w:rPr>
            <w:rFonts w:eastAsia="helvetica neue" w:cs="helvetica neue" w:ascii="helvetica neue" w:hAnsi="helvetica neue"/>
            <w:color w:val="#000"/>
            <w:sz w:val="21"/>
            <w:u w:val="single"/>
            <w:vertAlign w:val="superscript"/>
          </w:rPr>
          <w:t xml:space="preserve">[7]</w:t>
        </w:r>
      </w:hyperlink>
      <w:bookmarkStart w:id="33" w:name="fnref4_5"/>
      <w:bookmarkEnd w:id="33"/>
      <w:hyperlink w:anchor="fn4">
        <w:r>
          <w:rPr>
            <w:rFonts w:eastAsia="helvetica neue" w:cs="helvetica neue" w:ascii="helvetica neue" w:hAnsi="helvetica neue"/>
            <w:color w:val="#000"/>
            <w:sz w:val="21"/>
            <w:u w:val="single"/>
            <w:vertAlign w:val="superscript"/>
          </w:rPr>
          <w:t xml:space="preserve">[4]</w:t>
        </w:r>
      </w:hyperlink>
      <w:bookmarkStart w:id="34" w:name="fnref3_13"/>
      <w:bookmarkEnd w:id="34"/>
      <w:hyperlink w:anchor="fn3">
        <w:r>
          <w:rPr>
            <w:rFonts w:eastAsia="helvetica neue" w:cs="helvetica neue" w:ascii="helvetica neue" w:hAnsi="helvetica neue"/>
            <w:color w:val="#000"/>
            <w:sz w:val="21"/>
            <w:u w:val="single"/>
            <w:vertAlign w:val="superscript"/>
          </w:rPr>
          <w:t xml:space="preserve">[3]</w:t>
        </w:r>
      </w:hyperlink>
    </w:p>
    <w:p>
      <w:pPr>
        <w:numPr>
          <w:ilvl w:val="1"/>
          <w:numId w:val="4"/>
        </w:numPr>
        <w:spacing w:line="360" w:before="105" w:after="105" w:lineRule="auto"/>
      </w:pPr>
      <w:r>
        <w:rPr>
          <w:rFonts w:eastAsia="georgia" w:cs="georgia" w:ascii="georgia" w:hAnsi="georgia"/>
          <w:color w:val="000000"/>
          <w:sz w:val="21"/>
        </w:rPr>
        <w:t xml:space="preserve">For on‑prem users, stable mapping usually assumes ExpressRoute/VPN and line‑of‑sight to either on‑prem DCs or Entra Domain Services if used as the directory source.</w:t>
      </w:r>
      <w:bookmarkStart w:id="35" w:name="fnref3_14"/>
      <w:bookmarkEnd w:id="35"/>
      <w:hyperlink w:anchor="fn3">
        <w:r>
          <w:rPr>
            <w:rFonts w:eastAsia="helvetica neue" w:cs="helvetica neue" w:ascii="helvetica neue" w:hAnsi="helvetica neue"/>
            <w:color w:val="#000"/>
            <w:sz w:val="21"/>
            <w:u w:val="single"/>
            <w:vertAlign w:val="superscript"/>
          </w:rPr>
          <w:t xml:space="preserve">[3]</w:t>
        </w:r>
      </w:hyperlink>
    </w:p>
    <w:p>
      <w:pPr>
        <w:numPr>
          <w:ilvl w:val="0"/>
          <w:numId w:val="4"/>
        </w:numPr>
        <w:spacing w:line="360" w:after="210" w:lineRule="auto"/>
      </w:pPr>
      <w:r>
        <w:rPr>
          <w:rFonts w:eastAsia="georgia" w:cs="georgia" w:ascii="georgia" w:hAnsi="georgia"/>
          <w:b/>
          <w:color w:val="000000"/>
          <w:sz w:val="21"/>
        </w:rPr>
        <w:t xml:space="preserve">Azure NetApp Files:</w:t>
      </w:r>
    </w:p>
    <w:p>
      <w:pPr>
        <w:numPr>
          <w:ilvl w:val="1"/>
          <w:numId w:val="4"/>
        </w:numPr>
        <w:spacing w:line="360" w:before="105" w:after="105" w:lineRule="auto"/>
      </w:pPr>
      <w:r>
        <w:rPr>
          <w:rFonts w:eastAsia="georgia" w:cs="georgia" w:ascii="georgia" w:hAnsi="georgia"/>
          <w:color w:val="000000"/>
          <w:sz w:val="21"/>
        </w:rPr>
        <w:t xml:space="preserve">Native SMB mapping works similarly to traditional NAS; clients must be joined to the AD domain that ANF is integrated with, with DC reachability across ExpressRoute/VPN.</w:t>
      </w:r>
      <w:bookmarkStart w:id="36" w:name="fnref1_26"/>
      <w:bookmarkEnd w:id="36"/>
      <w:hyperlink w:anchor="fn1">
        <w:r>
          <w:rPr>
            <w:rFonts w:eastAsia="helvetica neue" w:cs="helvetica neue" w:ascii="helvetica neue" w:hAnsi="helvetica neue"/>
            <w:color w:val="#000"/>
            <w:sz w:val="21"/>
            <w:u w:val="single"/>
            <w:vertAlign w:val="superscript"/>
          </w:rPr>
          <w:t xml:space="preserve">[1]</w:t>
        </w:r>
      </w:hyperlink>
      <w:bookmarkStart w:id="37" w:name="fnref2_13"/>
      <w:bookmarkEnd w:id="37"/>
      <w:hyperlink w:anchor="fn2">
        <w:r>
          <w:rPr>
            <w:rFonts w:eastAsia="helvetica neue" w:cs="helvetica neue" w:ascii="helvetica neue" w:hAnsi="helvetica neue"/>
            <w:color w:val="#000"/>
            <w:sz w:val="21"/>
            <w:u w:val="single"/>
            <w:vertAlign w:val="superscript"/>
          </w:rPr>
          <w:t xml:space="preserve">[2]</w:t>
        </w:r>
      </w:hyperlink>
    </w:p>
    <w:p>
      <w:pPr>
        <w:numPr>
          <w:ilvl w:val="1"/>
          <w:numId w:val="4"/>
        </w:numPr>
        <w:spacing w:line="360" w:before="105" w:after="105" w:lineRule="auto"/>
      </w:pPr>
      <w:r>
        <w:rPr>
          <w:rFonts w:eastAsia="georgia" w:cs="georgia" w:ascii="georgia" w:hAnsi="georgia"/>
          <w:color w:val="000000"/>
          <w:sz w:val="21"/>
        </w:rPr>
        <w:t xml:space="preserve">NFS mounts available for Linux/UNIX workloads; dual‑protocol volumes allow both SMB and NFS access with unified ACLs/permissions.</w:t>
      </w:r>
      <w:bookmarkStart w:id="38" w:name="fnref2_14"/>
      <w:bookmarkEnd w:id="38"/>
      <w:hyperlink w:anchor="fn2">
        <w:r>
          <w:rPr>
            <w:rFonts w:eastAsia="helvetica neue" w:cs="helvetica neue" w:ascii="helvetica neue" w:hAnsi="helvetica neue"/>
            <w:color w:val="#000"/>
            <w:sz w:val="21"/>
            <w:u w:val="single"/>
            <w:vertAlign w:val="superscript"/>
          </w:rPr>
          <w:t xml:space="preserve">[2]</w:t>
        </w:r>
      </w:hyperlink>
      <w:bookmarkStart w:id="39" w:name="fnref1_27"/>
      <w:bookmarkEnd w:id="39"/>
      <w:hyperlink w:anchor="fn1">
        <w:r>
          <w:rPr>
            <w:rFonts w:eastAsia="helvetica neue" w:cs="helvetica neue" w:ascii="helvetica neue" w:hAnsi="helvetica neue"/>
            <w:color w:val="#000"/>
            <w:sz w:val="21"/>
            <w:u w:val="single"/>
            <w:vertAlign w:val="superscript"/>
          </w:rPr>
          <w:t xml:space="preserve">[1]</w:t>
        </w:r>
      </w:hyperlink>
    </w:p>
    <w:p>
      <w:pPr>
        <w:numPr>
          <w:ilvl w:val="0"/>
          <w:numId w:val="4"/>
        </w:numPr>
        <w:spacing w:line="360" w:after="210" w:lineRule="auto"/>
      </w:pPr>
      <w:r>
        <w:rPr>
          <w:rFonts w:eastAsia="georgia" w:cs="georgia" w:ascii="georgia" w:hAnsi="georgia"/>
          <w:b/>
          <w:color w:val="000000"/>
          <w:sz w:val="21"/>
        </w:rPr>
        <w:t xml:space="preserve">SharePoint Online:</w:t>
      </w:r>
    </w:p>
    <w:p>
      <w:pPr>
        <w:numPr>
          <w:ilvl w:val="1"/>
          <w:numId w:val="4"/>
        </w:numPr>
        <w:spacing w:line="360" w:before="105" w:after="105" w:lineRule="auto"/>
      </w:pPr>
      <w:r>
        <w:rPr>
          <w:rFonts w:eastAsia="georgia" w:cs="georgia" w:ascii="georgia" w:hAnsi="georgia"/>
          <w:color w:val="000000"/>
          <w:sz w:val="21"/>
        </w:rPr>
        <w:t xml:space="preserve">Mapping libraries as drives via WebDAV is possible but considered legacy and unreliable for large structures; issues include throttling, path length limits, and lack of modern collaboration features.</w:t>
      </w:r>
      <w:bookmarkStart w:id="40" w:name="fnref5_14"/>
      <w:bookmarkEnd w:id="40"/>
      <w:hyperlink w:anchor="fn5">
        <w:r>
          <w:rPr>
            <w:rFonts w:eastAsia="helvetica neue" w:cs="helvetica neue" w:ascii="helvetica neue" w:hAnsi="helvetica neue"/>
            <w:color w:val="#000"/>
            <w:sz w:val="21"/>
            <w:u w:val="single"/>
            <w:vertAlign w:val="superscript"/>
          </w:rPr>
          <w:t xml:space="preserve">[5]</w:t>
        </w:r>
      </w:hyperlink>
      <w:bookmarkStart w:id="41" w:name="fnref6_7"/>
      <w:bookmarkEnd w:id="41"/>
      <w:hyperlink w:anchor="fn6">
        <w:r>
          <w:rPr>
            <w:rFonts w:eastAsia="helvetica neue" w:cs="helvetica neue" w:ascii="helvetica neue" w:hAnsi="helvetica neue"/>
            <w:color w:val="#000"/>
            <w:sz w:val="21"/>
            <w:u w:val="single"/>
            <w:vertAlign w:val="superscript"/>
          </w:rPr>
          <w:t xml:space="preserve">[6]</w:t>
        </w:r>
      </w:hyperlink>
    </w:p>
    <w:p>
      <w:pPr>
        <w:numPr>
          <w:ilvl w:val="1"/>
          <w:numId w:val="4"/>
        </w:numPr>
        <w:spacing w:line="360" w:before="105" w:after="105" w:lineRule="auto"/>
      </w:pPr>
      <w:r>
        <w:rPr>
          <w:rFonts w:eastAsia="georgia" w:cs="georgia" w:ascii="georgia" w:hAnsi="georgia"/>
          <w:color w:val="000000"/>
          <w:sz w:val="21"/>
        </w:rPr>
        <w:t xml:space="preserve">Recommended approach is OneDrive sync with Files On‑Demand, exposing document libraries as local folders rather than traditional “G:\” mappings; still behaves differently from SMB for legacy apps.</w:t>
      </w:r>
      <w:bookmarkStart w:id="42" w:name="fnref6_8"/>
      <w:bookmarkEnd w:id="42"/>
      <w:hyperlink w:anchor="fn6">
        <w:r>
          <w:rPr>
            <w:rFonts w:eastAsia="helvetica neue" w:cs="helvetica neue" w:ascii="helvetica neue" w:hAnsi="helvetica neue"/>
            <w:color w:val="#000"/>
            <w:sz w:val="21"/>
            <w:u w:val="single"/>
            <w:vertAlign w:val="superscript"/>
          </w:rPr>
          <w:t xml:space="preserve">[6]</w:t>
        </w:r>
      </w:hyperlink>
      <w:bookmarkStart w:id="43" w:name="fnref5_15"/>
      <w:bookmarkEnd w:id="43"/>
      <w:hyperlink w:anchor="fn5">
        <w:r>
          <w:rPr>
            <w:rFonts w:eastAsia="helvetica neue" w:cs="helvetica neue" w:ascii="helvetica neue" w:hAnsi="helvetica neue"/>
            <w:color w:val="#000"/>
            <w:sz w:val="21"/>
            <w:u w:val="single"/>
            <w:vertAlign w:val="superscript"/>
          </w:rPr>
          <w:t xml:space="preserve">[5]</w:t>
        </w:r>
      </w:hyperlink>
    </w:p>
    <w:p>
      <w:pPr>
        <w:spacing w:line="360" w:before="315" w:after="105" w:lineRule="auto"/>
        <w:ind w:left="-30"/>
        <w:jc w:val="left"/>
      </w:pPr>
      <w:bookmarkStart w:id="44" w:name="which_options_fit_which_scenarios"/>
      <w:r>
        <w:rPr>
          <w:rFonts w:eastAsia="georgia" w:cs="georgia" w:ascii="georgia" w:hAnsi="georgia"/>
          <w:b/>
          <w:color w:val="000000"/>
          <w:sz w:val="24"/>
        </w:rPr>
        <w:t xml:space="preserve">Which options fit which scenarios</w:t>
      </w:r>
      <w:bookmarkEnd w:id="44"/>
    </w:p>
    <w:p>
      <w:pPr>
        <w:numPr>
          <w:ilvl w:val="0"/>
          <w:numId w:val="5"/>
        </w:numPr>
        <w:spacing w:line="360" w:after="210" w:lineRule="auto"/>
      </w:pPr>
      <w:r>
        <w:rPr>
          <w:rFonts w:eastAsia="georgia" w:cs="georgia" w:ascii="georgia" w:hAnsi="georgia"/>
          <w:b/>
          <w:color w:val="000000"/>
          <w:sz w:val="21"/>
        </w:rPr>
        <w:t xml:space="preserve">Lift‑and‑shift of SMB departmental shares with minimal change:</w:t>
      </w:r>
    </w:p>
    <w:p>
      <w:pPr>
        <w:numPr>
          <w:ilvl w:val="1"/>
          <w:numId w:val="5"/>
        </w:numPr>
        <w:spacing w:line="360" w:before="105" w:after="105" w:lineRule="auto"/>
      </w:pPr>
      <w:r>
        <w:rPr>
          <w:rFonts w:eastAsia="georgia" w:cs="georgia" w:ascii="georgia" w:hAnsi="georgia"/>
          <w:b/>
          <w:color w:val="000000"/>
          <w:sz w:val="21"/>
        </w:rPr>
        <w:t xml:space="preserve">Best fit:</w:t>
      </w:r>
      <w:r>
        <w:rPr>
          <w:rFonts w:eastAsia="georgia" w:cs="georgia" w:ascii="georgia" w:hAnsi="georgia"/>
          <w:color w:val="000000"/>
          <w:sz w:val="21"/>
        </w:rPr>
        <w:t xml:space="preserve"> Azure Files with on‑prem AD DS or Entra DS integration plus Azure File Sync for key sites; preserves SMB semantics and mapping.</w:t>
      </w:r>
      <w:bookmarkStart w:id="45" w:name="fnref1_28"/>
      <w:bookmarkEnd w:id="45"/>
      <w:hyperlink w:anchor="fn1">
        <w:r>
          <w:rPr>
            <w:rFonts w:eastAsia="helvetica neue" w:cs="helvetica neue" w:ascii="helvetica neue" w:hAnsi="helvetica neue"/>
            <w:color w:val="#000"/>
            <w:sz w:val="21"/>
            <w:u w:val="single"/>
            <w:vertAlign w:val="superscript"/>
          </w:rPr>
          <w:t xml:space="preserve">[1]</w:t>
        </w:r>
      </w:hyperlink>
      <w:bookmarkStart w:id="46" w:name="fnref3_15"/>
      <w:bookmarkEnd w:id="46"/>
      <w:hyperlink w:anchor="fn3">
        <w:r>
          <w:rPr>
            <w:rFonts w:eastAsia="helvetica neue" w:cs="helvetica neue" w:ascii="helvetica neue" w:hAnsi="helvetica neue"/>
            <w:color w:val="#000"/>
            <w:sz w:val="21"/>
            <w:u w:val="single"/>
            <w:vertAlign w:val="superscript"/>
          </w:rPr>
          <w:t xml:space="preserve">[3]</w:t>
        </w:r>
      </w:hyperlink>
    </w:p>
    <w:p>
      <w:pPr>
        <w:numPr>
          <w:ilvl w:val="1"/>
          <w:numId w:val="5"/>
        </w:numPr>
        <w:spacing w:line="360" w:before="105" w:after="105" w:lineRule="auto"/>
      </w:pPr>
      <w:r>
        <w:rPr>
          <w:rFonts w:eastAsia="georgia" w:cs="georgia" w:ascii="georgia" w:hAnsi="georgia"/>
          <w:b/>
          <w:color w:val="000000"/>
          <w:sz w:val="21"/>
        </w:rPr>
        <w:t xml:space="preserve">Alternative:</w:t>
      </w:r>
      <w:r>
        <w:rPr>
          <w:rFonts w:eastAsia="georgia" w:cs="georgia" w:ascii="georgia" w:hAnsi="georgia"/>
          <w:color w:val="000000"/>
          <w:sz w:val="21"/>
        </w:rPr>
        <w:t xml:space="preserve"> Azure NetApp Files where higher performance is required and ExpressRoute is available.</w:t>
      </w:r>
      <w:bookmarkStart w:id="47" w:name="fnref2_15"/>
      <w:bookmarkEnd w:id="47"/>
      <w:hyperlink w:anchor="fn2">
        <w:r>
          <w:rPr>
            <w:rFonts w:eastAsia="helvetica neue" w:cs="helvetica neue" w:ascii="helvetica neue" w:hAnsi="helvetica neue"/>
            <w:color w:val="#000"/>
            <w:sz w:val="21"/>
            <w:u w:val="single"/>
            <w:vertAlign w:val="superscript"/>
          </w:rPr>
          <w:t xml:space="preserve">[2]</w:t>
        </w:r>
      </w:hyperlink>
      <w:bookmarkStart w:id="48" w:name="fnref1_29"/>
      <w:bookmarkEnd w:id="48"/>
      <w:hyperlink w:anchor="fn1">
        <w:r>
          <w:rPr>
            <w:rFonts w:eastAsia="helvetica neue" w:cs="helvetica neue" w:ascii="helvetica neue" w:hAnsi="helvetica neue"/>
            <w:color w:val="#000"/>
            <w:sz w:val="21"/>
            <w:u w:val="single"/>
            <w:vertAlign w:val="superscript"/>
          </w:rPr>
          <w:t xml:space="preserve">[1]</w:t>
        </w:r>
      </w:hyperlink>
    </w:p>
    <w:p>
      <w:pPr>
        <w:numPr>
          <w:ilvl w:val="0"/>
          <w:numId w:val="5"/>
        </w:numPr>
        <w:spacing w:line="360" w:after="210" w:lineRule="auto"/>
      </w:pPr>
      <w:r>
        <w:rPr>
          <w:rFonts w:eastAsia="georgia" w:cs="georgia" w:ascii="georgia" w:hAnsi="georgia"/>
          <w:b/>
          <w:color w:val="000000"/>
          <w:sz w:val="21"/>
        </w:rPr>
        <w:t xml:space="preserve">Long‑term modernisation toward M365 collaboration while supporting legacy apps:</w:t>
      </w:r>
    </w:p>
    <w:p>
      <w:pPr>
        <w:numPr>
          <w:ilvl w:val="1"/>
          <w:numId w:val="5"/>
        </w:numPr>
        <w:spacing w:line="360" w:before="105" w:after="105" w:lineRule="auto"/>
      </w:pPr>
      <w:r>
        <w:rPr>
          <w:rFonts w:eastAsia="georgia" w:cs="georgia" w:ascii="georgia" w:hAnsi="georgia"/>
          <w:b/>
          <w:color w:val="000000"/>
          <w:sz w:val="21"/>
        </w:rPr>
        <w:t xml:space="preserve">Best fit:</w:t>
      </w:r>
      <w:r>
        <w:rPr>
          <w:rFonts w:eastAsia="georgia" w:cs="georgia" w:ascii="georgia" w:hAnsi="georgia"/>
          <w:color w:val="000000"/>
          <w:sz w:val="21"/>
        </w:rPr>
        <w:t xml:space="preserve"> Hybrid of Azure Files (or ANF) for legacy SMB workloads and SharePoint Online/OneDrive for collaborative and new workloads.</w:t>
      </w:r>
      <w:bookmarkStart w:id="49" w:name="fnref5_16"/>
      <w:bookmarkEnd w:id="49"/>
      <w:hyperlink w:anchor="fn5">
        <w:r>
          <w:rPr>
            <w:rFonts w:eastAsia="helvetica neue" w:cs="helvetica neue" w:ascii="helvetica neue" w:hAnsi="helvetica neue"/>
            <w:color w:val="#000"/>
            <w:sz w:val="21"/>
            <w:u w:val="single"/>
            <w:vertAlign w:val="superscript"/>
          </w:rPr>
          <w:t xml:space="preserve">[5]</w:t>
        </w:r>
      </w:hyperlink>
      <w:bookmarkStart w:id="50" w:name="fnref1_30"/>
      <w:bookmarkEnd w:id="50"/>
      <w:hyperlink w:anchor="fn1">
        <w:r>
          <w:rPr>
            <w:rFonts w:eastAsia="helvetica neue" w:cs="helvetica neue" w:ascii="helvetica neue" w:hAnsi="helvetica neue"/>
            <w:color w:val="#000"/>
            <w:sz w:val="21"/>
            <w:u w:val="single"/>
            <w:vertAlign w:val="superscript"/>
          </w:rPr>
          <w:t xml:space="preserve">[1]</w:t>
        </w:r>
      </w:hyperlink>
      <w:bookmarkStart w:id="51" w:name="fnref2_16"/>
      <w:bookmarkEnd w:id="51"/>
      <w:hyperlink w:anchor="fn2">
        <w:r>
          <w:rPr>
            <w:rFonts w:eastAsia="helvetica neue" w:cs="helvetica neue" w:ascii="helvetica neue" w:hAnsi="helvetica neue"/>
            <w:color w:val="#000"/>
            <w:sz w:val="21"/>
            <w:u w:val="single"/>
            <w:vertAlign w:val="superscript"/>
          </w:rPr>
          <w:t xml:space="preserve">[2]</w:t>
        </w:r>
      </w:hyperlink>
    </w:p>
    <w:p>
      <w:pPr>
        <w:numPr>
          <w:ilvl w:val="1"/>
          <w:numId w:val="5"/>
        </w:numPr>
        <w:spacing w:line="360" w:before="105" w:after="105" w:lineRule="auto"/>
      </w:pPr>
      <w:r>
        <w:rPr>
          <w:rFonts w:eastAsia="georgia" w:cs="georgia" w:ascii="georgia" w:hAnsi="georgia"/>
          <w:color w:val="000000"/>
          <w:sz w:val="21"/>
        </w:rPr>
        <w:t xml:space="preserve">Gradually migrate departmental content that benefits from coauthoring and metadata into SharePoint while keeping application shares on SMB.</w:t>
      </w:r>
    </w:p>
    <w:p>
      <w:pPr>
        <w:numPr>
          <w:ilvl w:val="0"/>
          <w:numId w:val="5"/>
        </w:numPr>
        <w:spacing w:line="360" w:after="210" w:lineRule="auto"/>
      </w:pPr>
      <w:r>
        <w:rPr>
          <w:rFonts w:eastAsia="georgia" w:cs="georgia" w:ascii="georgia" w:hAnsi="georgia"/>
          <w:b/>
          <w:color w:val="000000"/>
          <w:sz w:val="21"/>
        </w:rPr>
        <w:t xml:space="preserve">High‑performance NAS‑style workloads (low latency, high throughput):</w:t>
      </w:r>
    </w:p>
    <w:p>
      <w:pPr>
        <w:numPr>
          <w:ilvl w:val="1"/>
          <w:numId w:val="5"/>
        </w:numPr>
        <w:spacing w:line="360" w:before="105" w:after="105" w:lineRule="auto"/>
      </w:pPr>
      <w:r>
        <w:rPr>
          <w:rFonts w:eastAsia="georgia" w:cs="georgia" w:ascii="georgia" w:hAnsi="georgia"/>
          <w:b/>
          <w:color w:val="000000"/>
          <w:sz w:val="21"/>
        </w:rPr>
        <w:t xml:space="preserve">Best fit:</w:t>
      </w:r>
      <w:r>
        <w:rPr>
          <w:rFonts w:eastAsia="georgia" w:cs="georgia" w:ascii="georgia" w:hAnsi="georgia"/>
          <w:color w:val="000000"/>
          <w:sz w:val="21"/>
        </w:rPr>
        <w:t xml:space="preserve"> Azure NetApp Files with appropriate performance tiers and ExpressRoute; target workloads in the same Azure region.</w:t>
      </w:r>
      <w:bookmarkStart w:id="52" w:name="fnref8_3"/>
      <w:bookmarkEnd w:id="52"/>
      <w:hyperlink w:anchor="fn8">
        <w:r>
          <w:rPr>
            <w:rFonts w:eastAsia="helvetica neue" w:cs="helvetica neue" w:ascii="helvetica neue" w:hAnsi="helvetica neue"/>
            <w:color w:val="#000"/>
            <w:sz w:val="21"/>
            <w:u w:val="single"/>
            <w:vertAlign w:val="superscript"/>
          </w:rPr>
          <w:t xml:space="preserve">[8]</w:t>
        </w:r>
      </w:hyperlink>
      <w:bookmarkStart w:id="53" w:name="fnref1_31"/>
      <w:bookmarkEnd w:id="53"/>
      <w:hyperlink w:anchor="fn1">
        <w:r>
          <w:rPr>
            <w:rFonts w:eastAsia="helvetica neue" w:cs="helvetica neue" w:ascii="helvetica neue" w:hAnsi="helvetica neue"/>
            <w:color w:val="#000"/>
            <w:sz w:val="21"/>
            <w:u w:val="single"/>
            <w:vertAlign w:val="superscript"/>
          </w:rPr>
          <w:t xml:space="preserve">[1]</w:t>
        </w:r>
      </w:hyperlink>
      <w:bookmarkStart w:id="54" w:name="fnref2_17"/>
      <w:bookmarkEnd w:id="54"/>
      <w:hyperlink w:anchor="fn2">
        <w:r>
          <w:rPr>
            <w:rFonts w:eastAsia="helvetica neue" w:cs="helvetica neue" w:ascii="helvetica neue" w:hAnsi="helvetica neue"/>
            <w:color w:val="#000"/>
            <w:sz w:val="21"/>
            <w:u w:val="single"/>
            <w:vertAlign w:val="superscript"/>
          </w:rPr>
          <w:t xml:space="preserve">[2]</w:t>
        </w:r>
      </w:hyperlink>
    </w:p>
    <w:p>
      <w:pPr>
        <w:numPr>
          <w:ilvl w:val="1"/>
          <w:numId w:val="5"/>
        </w:numPr>
        <w:spacing w:line="360" w:before="105" w:after="105" w:lineRule="auto"/>
      </w:pPr>
      <w:r>
        <w:rPr>
          <w:rFonts w:eastAsia="georgia" w:cs="georgia" w:ascii="georgia" w:hAnsi="georgia"/>
          <w:color w:val="000000"/>
          <w:sz w:val="21"/>
        </w:rPr>
        <w:t xml:space="preserve">On‑prem high‑end NAS remains an option if workloads cannot move network‑wise to Azure.</w:t>
      </w:r>
    </w:p>
    <w:p>
      <w:pPr>
        <w:numPr>
          <w:ilvl w:val="0"/>
          <w:numId w:val="5"/>
        </w:numPr>
        <w:spacing w:line="360" w:after="210" w:lineRule="auto"/>
      </w:pPr>
      <w:r>
        <w:rPr>
          <w:rFonts w:eastAsia="georgia" w:cs="georgia" w:ascii="georgia" w:hAnsi="georgia"/>
          <w:b/>
          <w:color w:val="000000"/>
          <w:sz w:val="21"/>
        </w:rPr>
        <w:t xml:space="preserve">Environments where multiple AD forests will remain:</w:t>
      </w:r>
    </w:p>
    <w:p>
      <w:pPr>
        <w:numPr>
          <w:ilvl w:val="1"/>
          <w:numId w:val="5"/>
        </w:numPr>
        <w:spacing w:line="360" w:before="105" w:after="105" w:lineRule="auto"/>
      </w:pPr>
      <w:r>
        <w:rPr>
          <w:rFonts w:eastAsia="georgia" w:cs="georgia" w:ascii="georgia" w:hAnsi="georgia"/>
          <w:b/>
          <w:color w:val="000000"/>
          <w:sz w:val="21"/>
        </w:rPr>
        <w:t xml:space="preserve">Best fit:</w:t>
      </w:r>
    </w:p>
    <w:p>
      <w:pPr>
        <w:numPr>
          <w:ilvl w:val="2"/>
          <w:numId w:val="5"/>
        </w:numPr>
        <w:spacing w:line="360" w:before="105" w:after="105" w:lineRule="auto"/>
      </w:pPr>
      <w:r>
        <w:rPr>
          <w:rFonts w:eastAsia="georgia" w:cs="georgia" w:ascii="georgia" w:hAnsi="georgia"/>
          <w:color w:val="000000"/>
          <w:sz w:val="21"/>
        </w:rPr>
        <w:t xml:space="preserve">Continue using on‑prem Windows file servers per forest, possibly fronted with DFS‑N, if centralization is not mandatory.</w:t>
      </w:r>
    </w:p>
    <w:p>
      <w:pPr>
        <w:numPr>
          <w:ilvl w:val="2"/>
          <w:numId w:val="5"/>
        </w:numPr>
        <w:spacing w:line="360" w:before="105" w:after="105" w:lineRule="auto"/>
      </w:pPr>
      <w:r>
        <w:rPr>
          <w:rFonts w:eastAsia="georgia" w:cs="georgia" w:ascii="georgia" w:hAnsi="georgia"/>
          <w:color w:val="000000"/>
          <w:sz w:val="21"/>
        </w:rPr>
        <w:t xml:space="preserve">Or deploy </w:t>
      </w:r>
      <w:r>
        <w:rPr>
          <w:rFonts w:eastAsia="georgia" w:cs="georgia" w:ascii="georgia" w:hAnsi="georgia"/>
          <w:b/>
          <w:color w:val="000000"/>
          <w:sz w:val="21"/>
        </w:rPr>
        <w:t xml:space="preserve">separate Azure Files / ANF integrations per forest</w:t>
      </w:r>
      <w:r>
        <w:rPr>
          <w:rFonts w:eastAsia="georgia" w:cs="georgia" w:ascii="georgia" w:hAnsi="georgia"/>
          <w:color w:val="000000"/>
          <w:sz w:val="21"/>
        </w:rPr>
        <w:t xml:space="preserve">, potentially with Azure File Sync per domain, instead of forcing AD consolidation.</w:t>
      </w:r>
      <w:bookmarkStart w:id="55" w:name="fnref3_16"/>
      <w:bookmarkEnd w:id="55"/>
      <w:hyperlink w:anchor="fn3">
        <w:r>
          <w:rPr>
            <w:rFonts w:eastAsia="helvetica neue" w:cs="helvetica neue" w:ascii="helvetica neue" w:hAnsi="helvetica neue"/>
            <w:color w:val="#000"/>
            <w:sz w:val="21"/>
            <w:u w:val="single"/>
            <w:vertAlign w:val="superscript"/>
          </w:rPr>
          <w:t xml:space="preserve">[3]</w:t>
        </w:r>
      </w:hyperlink>
      <w:bookmarkStart w:id="56" w:name="fnref1_32"/>
      <w:bookmarkEnd w:id="56"/>
      <w:hyperlink w:anchor="fn1">
        <w:r>
          <w:rPr>
            <w:rFonts w:eastAsia="helvetica neue" w:cs="helvetica neue" w:ascii="helvetica neue" w:hAnsi="helvetica neue"/>
            <w:color w:val="#000"/>
            <w:sz w:val="21"/>
            <w:u w:val="single"/>
            <w:vertAlign w:val="superscript"/>
          </w:rPr>
          <w:t xml:space="preserve">[1]</w:t>
        </w:r>
      </w:hyperlink>
      <w:bookmarkStart w:id="57" w:name="fnref2_18"/>
      <w:bookmarkEnd w:id="57"/>
      <w:hyperlink w:anchor="fn2">
        <w:r>
          <w:rPr>
            <w:rFonts w:eastAsia="helvetica neue" w:cs="helvetica neue" w:ascii="helvetica neue" w:hAnsi="helvetica neue"/>
            <w:color w:val="#000"/>
            <w:sz w:val="21"/>
            <w:u w:val="single"/>
            <w:vertAlign w:val="superscript"/>
          </w:rPr>
          <w:t xml:space="preserve">[2]</w:t>
        </w:r>
      </w:hyperlink>
    </w:p>
    <w:p>
      <w:pPr>
        <w:numPr>
          <w:ilvl w:val="1"/>
          <w:numId w:val="5"/>
        </w:numPr>
        <w:spacing w:line="360" w:before="105" w:after="105" w:lineRule="auto"/>
      </w:pPr>
      <w:r>
        <w:rPr>
          <w:rFonts w:eastAsia="georgia" w:cs="georgia" w:ascii="georgia" w:hAnsi="georgia"/>
          <w:color w:val="000000"/>
          <w:sz w:val="21"/>
        </w:rPr>
        <w:t xml:space="preserve">SharePoint Online is attractive for cross‑forest collaboration if all users are synchronized into a common Entra tenant.</w:t>
      </w:r>
      <w:bookmarkStart w:id="58" w:name="fnref5_17"/>
      <w:bookmarkEnd w:id="58"/>
      <w:hyperlink w:anchor="fn5">
        <w:r>
          <w:rPr>
            <w:rFonts w:eastAsia="helvetica neue" w:cs="helvetica neue" w:ascii="helvetica neue" w:hAnsi="helvetica neue"/>
            <w:color w:val="#000"/>
            <w:sz w:val="21"/>
            <w:u w:val="single"/>
            <w:vertAlign w:val="superscript"/>
          </w:rPr>
          <w:t xml:space="preserve">[5]</w:t>
        </w:r>
      </w:hyperlink>
    </w:p>
    <w:p>
      <w:pPr>
        <w:spacing w:line="360" w:before="315" w:after="105" w:lineRule="auto"/>
        <w:ind w:left="-30"/>
        <w:jc w:val="left"/>
      </w:pPr>
      <w:bookmarkStart w:id="59" w:name="per_solution_pros_cons_multi_fore_9009d7"/>
      <w:r>
        <w:rPr>
          <w:rFonts w:eastAsia="georgia" w:cs="georgia" w:ascii="georgia" w:hAnsi="georgia"/>
          <w:b/>
          <w:color w:val="000000"/>
          <w:sz w:val="24"/>
        </w:rPr>
        <w:t xml:space="preserve">Per‑solution pros/cons (multi‑forest &amp; mapping focus)</w:t>
      </w:r>
      <w:bookmarkEnd w:id="59"/>
    </w:p>
    <w:p>
      <w:pPr>
        <w:numPr>
          <w:ilvl w:val="0"/>
          <w:numId w:val="6"/>
        </w:numPr>
        <w:spacing w:line="360" w:after="210" w:lineRule="auto"/>
      </w:pPr>
      <w:r>
        <w:rPr>
          <w:rFonts w:eastAsia="georgia" w:cs="georgia" w:ascii="georgia" w:hAnsi="georgia"/>
          <w:b/>
          <w:color w:val="000000"/>
          <w:sz w:val="21"/>
        </w:rPr>
        <w:t xml:space="preserve">On‑prem Windows file server</w:t>
      </w:r>
    </w:p>
    <w:p>
      <w:pPr>
        <w:numPr>
          <w:ilvl w:val="1"/>
          <w:numId w:val="6"/>
        </w:numPr>
        <w:spacing w:line="360" w:before="105" w:after="105" w:lineRule="auto"/>
      </w:pPr>
      <w:r>
        <w:rPr>
          <w:rFonts w:eastAsia="georgia" w:cs="georgia" w:ascii="georgia" w:hAnsi="georgia"/>
          <w:color w:val="000000"/>
          <w:sz w:val="21"/>
        </w:rPr>
        <w:t xml:space="preserve">Pros: Native multi‑forest/child domain support with trusts; rich GPO‑driven SMB mapping; predictable LAN performance.</w:t>
      </w:r>
    </w:p>
    <w:p>
      <w:pPr>
        <w:numPr>
          <w:ilvl w:val="1"/>
          <w:numId w:val="6"/>
        </w:numPr>
        <w:spacing w:line="360" w:before="105" w:after="105" w:lineRule="auto"/>
      </w:pPr>
      <w:r>
        <w:rPr>
          <w:rFonts w:eastAsia="georgia" w:cs="georgia" w:ascii="georgia" w:hAnsi="georgia"/>
          <w:color w:val="000000"/>
          <w:sz w:val="21"/>
        </w:rPr>
        <w:t xml:space="preserve">Pros: Minimal change for users; full NTFS ACL compatibility; straightforward for legacy apps and profiles.</w:t>
      </w:r>
    </w:p>
    <w:p>
      <w:pPr>
        <w:numPr>
          <w:ilvl w:val="1"/>
          <w:numId w:val="6"/>
        </w:numPr>
        <w:spacing w:line="360" w:before="105" w:after="105" w:lineRule="auto"/>
      </w:pPr>
      <w:r>
        <w:rPr>
          <w:rFonts w:eastAsia="georgia" w:cs="georgia" w:ascii="georgia" w:hAnsi="georgia"/>
          <w:color w:val="000000"/>
          <w:sz w:val="21"/>
        </w:rPr>
        <w:t xml:space="preserve">Cons: Ongoing hardware/OS lifecycle and patching; DR and capacity scale‑out require significant effort.</w:t>
      </w:r>
    </w:p>
    <w:p>
      <w:pPr>
        <w:numPr>
          <w:ilvl w:val="1"/>
          <w:numId w:val="6"/>
        </w:numPr>
        <w:spacing w:line="360" w:before="105" w:after="105" w:lineRule="auto"/>
      </w:pPr>
      <w:r>
        <w:rPr>
          <w:rFonts w:eastAsia="georgia" w:cs="georgia" w:ascii="georgia" w:hAnsi="georgia"/>
          <w:color w:val="000000"/>
          <w:sz w:val="21"/>
        </w:rPr>
        <w:t xml:space="preserve">Cons: Limited cloud elasticity; remote access depends on VPN/MPLS and branch infrastructure.</w:t>
      </w:r>
    </w:p>
    <w:p>
      <w:pPr>
        <w:numPr>
          <w:ilvl w:val="0"/>
          <w:numId w:val="6"/>
        </w:numPr>
        <w:spacing w:line="360" w:after="210" w:lineRule="auto"/>
      </w:pPr>
      <w:r>
        <w:rPr>
          <w:rFonts w:eastAsia="georgia" w:cs="georgia" w:ascii="georgia" w:hAnsi="georgia"/>
          <w:b/>
          <w:color w:val="000000"/>
          <w:sz w:val="21"/>
        </w:rPr>
        <w:t xml:space="preserve">Azure Files</w:t>
      </w:r>
    </w:p>
    <w:p>
      <w:pPr>
        <w:numPr>
          <w:ilvl w:val="1"/>
          <w:numId w:val="6"/>
        </w:numPr>
        <w:spacing w:line="360" w:before="105" w:after="105" w:lineRule="auto"/>
      </w:pPr>
      <w:r>
        <w:rPr>
          <w:rFonts w:eastAsia="georgia" w:cs="georgia" w:ascii="georgia" w:hAnsi="georgia"/>
          <w:color w:val="000000"/>
          <w:sz w:val="21"/>
        </w:rPr>
        <w:t xml:space="preserve">Pros: Native SMB with AD/Entra integration and drive mapping; Azure File Sync provides local caches with cloud tiering.</w:t>
      </w:r>
      <w:bookmarkStart w:id="60" w:name="fnref1_33"/>
      <w:bookmarkEnd w:id="60"/>
      <w:hyperlink w:anchor="fn1">
        <w:r>
          <w:rPr>
            <w:rFonts w:eastAsia="helvetica neue" w:cs="helvetica neue" w:ascii="helvetica neue" w:hAnsi="helvetica neue"/>
            <w:color w:val="#000"/>
            <w:sz w:val="21"/>
            <w:u w:val="single"/>
            <w:vertAlign w:val="superscript"/>
          </w:rPr>
          <w:t xml:space="preserve">[1]</w:t>
        </w:r>
      </w:hyperlink>
      <w:bookmarkStart w:id="61" w:name="fnref3_17"/>
      <w:bookmarkEnd w:id="61"/>
      <w:hyperlink w:anchor="fn3">
        <w:r>
          <w:rPr>
            <w:rFonts w:eastAsia="helvetica neue" w:cs="helvetica neue" w:ascii="helvetica neue" w:hAnsi="helvetica neue"/>
            <w:color w:val="#000"/>
            <w:sz w:val="21"/>
            <w:u w:val="single"/>
            <w:vertAlign w:val="superscript"/>
          </w:rPr>
          <w:t xml:space="preserve">[3]</w:t>
        </w:r>
      </w:hyperlink>
    </w:p>
    <w:p>
      <w:pPr>
        <w:numPr>
          <w:ilvl w:val="1"/>
          <w:numId w:val="6"/>
        </w:numPr>
        <w:spacing w:line="360" w:before="105" w:after="105" w:lineRule="auto"/>
      </w:pPr>
      <w:r>
        <w:rPr>
          <w:rFonts w:eastAsia="georgia" w:cs="georgia" w:ascii="georgia" w:hAnsi="georgia"/>
          <w:color w:val="000000"/>
          <w:sz w:val="21"/>
        </w:rPr>
        <w:t xml:space="preserve">Pros: Managed service with no OS/hardware; good for gradual lift‑and‑shift of shares.</w:t>
      </w:r>
      <w:bookmarkStart w:id="62" w:name="fnref1_34"/>
      <w:bookmarkEnd w:id="62"/>
      <w:hyperlink w:anchor="fn1">
        <w:r>
          <w:rPr>
            <w:rFonts w:eastAsia="helvetica neue" w:cs="helvetica neue" w:ascii="helvetica neue" w:hAnsi="helvetica neue"/>
            <w:color w:val="#000"/>
            <w:sz w:val="21"/>
            <w:u w:val="single"/>
            <w:vertAlign w:val="superscript"/>
          </w:rPr>
          <w:t xml:space="preserve">[1]</w:t>
        </w:r>
      </w:hyperlink>
    </w:p>
    <w:p>
      <w:pPr>
        <w:numPr>
          <w:ilvl w:val="1"/>
          <w:numId w:val="6"/>
        </w:numPr>
        <w:spacing w:line="360" w:before="105" w:after="105" w:lineRule="auto"/>
      </w:pPr>
      <w:r>
        <w:rPr>
          <w:rFonts w:eastAsia="georgia" w:cs="georgia" w:ascii="georgia" w:hAnsi="georgia"/>
          <w:color w:val="000000"/>
          <w:sz w:val="21"/>
        </w:rPr>
        <w:t xml:space="preserve">Cons: Identity design in multi‑forest environments is complex; may require trusts, Entra DS, or multiple storage accounts.</w:t>
      </w:r>
      <w:bookmarkStart w:id="63" w:name="fnref3_18"/>
      <w:bookmarkEnd w:id="63"/>
      <w:hyperlink w:anchor="fn3">
        <w:r>
          <w:rPr>
            <w:rFonts w:eastAsia="helvetica neue" w:cs="helvetica neue" w:ascii="helvetica neue" w:hAnsi="helvetica neue"/>
            <w:color w:val="#000"/>
            <w:sz w:val="21"/>
            <w:u w:val="single"/>
            <w:vertAlign w:val="superscript"/>
          </w:rPr>
          <w:t xml:space="preserve">[3]</w:t>
        </w:r>
      </w:hyperlink>
    </w:p>
    <w:p>
      <w:pPr>
        <w:numPr>
          <w:ilvl w:val="1"/>
          <w:numId w:val="6"/>
        </w:numPr>
        <w:spacing w:line="360" w:before="105" w:after="105" w:lineRule="auto"/>
      </w:pPr>
      <w:r>
        <w:rPr>
          <w:rFonts w:eastAsia="georgia" w:cs="georgia" w:ascii="georgia" w:hAnsi="georgia"/>
          <w:color w:val="000000"/>
          <w:sz w:val="21"/>
        </w:rPr>
        <w:t xml:space="preserve">Cons: Performance and UX depend on network design; egress and ExpressRoute/VPN costs apply.</w:t>
      </w:r>
      <w:bookmarkStart w:id="64" w:name="fnref9_4"/>
      <w:bookmarkEnd w:id="64"/>
      <w:hyperlink w:anchor="fn9">
        <w:r>
          <w:rPr>
            <w:rFonts w:eastAsia="helvetica neue" w:cs="helvetica neue" w:ascii="helvetica neue" w:hAnsi="helvetica neue"/>
            <w:color w:val="#000"/>
            <w:sz w:val="21"/>
            <w:u w:val="single"/>
            <w:vertAlign w:val="superscript"/>
          </w:rPr>
          <w:t xml:space="preserve">[9]</w:t>
        </w:r>
      </w:hyperlink>
      <w:bookmarkStart w:id="65" w:name="fnref1_35"/>
      <w:bookmarkEnd w:id="65"/>
      <w:hyperlink w:anchor="fn1">
        <w:r>
          <w:rPr>
            <w:rFonts w:eastAsia="helvetica neue" w:cs="helvetica neue" w:ascii="helvetica neue" w:hAnsi="helvetica neue"/>
            <w:color w:val="#000"/>
            <w:sz w:val="21"/>
            <w:u w:val="single"/>
            <w:vertAlign w:val="superscript"/>
          </w:rPr>
          <w:t xml:space="preserve">[1]</w:t>
        </w:r>
      </w:hyperlink>
    </w:p>
    <w:p>
      <w:pPr>
        <w:numPr>
          <w:ilvl w:val="0"/>
          <w:numId w:val="6"/>
        </w:numPr>
        <w:spacing w:line="360" w:after="210" w:lineRule="auto"/>
      </w:pPr>
      <w:r>
        <w:rPr>
          <w:rFonts w:eastAsia="georgia" w:cs="georgia" w:ascii="georgia" w:hAnsi="georgia"/>
          <w:b/>
          <w:color w:val="000000"/>
          <w:sz w:val="21"/>
        </w:rPr>
        <w:t xml:space="preserve">Azure NetApp Files</w:t>
      </w:r>
    </w:p>
    <w:p>
      <w:pPr>
        <w:numPr>
          <w:ilvl w:val="1"/>
          <w:numId w:val="6"/>
        </w:numPr>
        <w:spacing w:line="360" w:before="105" w:after="105" w:lineRule="auto"/>
      </w:pPr>
      <w:r>
        <w:rPr>
          <w:rFonts w:eastAsia="georgia" w:cs="georgia" w:ascii="georgia" w:hAnsi="georgia"/>
          <w:color w:val="000000"/>
          <w:sz w:val="21"/>
        </w:rPr>
        <w:t xml:space="preserve">Pros: Enterprise NAS performance and features; strong for demanding SMB/NFS workloads and profiles.</w:t>
      </w:r>
      <w:bookmarkStart w:id="66" w:name="fnref8_4"/>
      <w:bookmarkEnd w:id="66"/>
      <w:hyperlink w:anchor="fn8">
        <w:r>
          <w:rPr>
            <w:rFonts w:eastAsia="helvetica neue" w:cs="helvetica neue" w:ascii="helvetica neue" w:hAnsi="helvetica neue"/>
            <w:color w:val="#000"/>
            <w:sz w:val="21"/>
            <w:u w:val="single"/>
            <w:vertAlign w:val="superscript"/>
          </w:rPr>
          <w:t xml:space="preserve">[8]</w:t>
        </w:r>
      </w:hyperlink>
      <w:bookmarkStart w:id="67" w:name="fnref2_19"/>
      <w:bookmarkEnd w:id="67"/>
      <w:hyperlink w:anchor="fn2">
        <w:r>
          <w:rPr>
            <w:rFonts w:eastAsia="helvetica neue" w:cs="helvetica neue" w:ascii="helvetica neue" w:hAnsi="helvetica neue"/>
            <w:color w:val="#000"/>
            <w:sz w:val="21"/>
            <w:u w:val="single"/>
            <w:vertAlign w:val="superscript"/>
          </w:rPr>
          <w:t xml:space="preserve">[2]</w:t>
        </w:r>
      </w:hyperlink>
      <w:bookmarkStart w:id="68" w:name="fnref1_36"/>
      <w:bookmarkEnd w:id="68"/>
      <w:hyperlink w:anchor="fn1">
        <w:r>
          <w:rPr>
            <w:rFonts w:eastAsia="helvetica neue" w:cs="helvetica neue" w:ascii="helvetica neue" w:hAnsi="helvetica neue"/>
            <w:color w:val="#000"/>
            <w:sz w:val="21"/>
            <w:u w:val="single"/>
            <w:vertAlign w:val="superscript"/>
          </w:rPr>
          <w:t xml:space="preserve">[1]</w:t>
        </w:r>
      </w:hyperlink>
    </w:p>
    <w:p>
      <w:pPr>
        <w:numPr>
          <w:ilvl w:val="1"/>
          <w:numId w:val="6"/>
        </w:numPr>
        <w:spacing w:line="360" w:before="105" w:after="105" w:lineRule="auto"/>
      </w:pPr>
      <w:r>
        <w:rPr>
          <w:rFonts w:eastAsia="georgia" w:cs="georgia" w:ascii="georgia" w:hAnsi="georgia"/>
          <w:color w:val="000000"/>
          <w:sz w:val="21"/>
        </w:rPr>
        <w:t xml:space="preserve">Pros: Works like traditional NAS, easing application migration; supports dual‑protocol scenarios.</w:t>
      </w:r>
      <w:bookmarkStart w:id="69" w:name="fnref2_20"/>
      <w:bookmarkEnd w:id="69"/>
      <w:hyperlink w:anchor="fn2">
        <w:r>
          <w:rPr>
            <w:rFonts w:eastAsia="helvetica neue" w:cs="helvetica neue" w:ascii="helvetica neue" w:hAnsi="helvetica neue"/>
            <w:color w:val="#000"/>
            <w:sz w:val="21"/>
            <w:u w:val="single"/>
            <w:vertAlign w:val="superscript"/>
          </w:rPr>
          <w:t xml:space="preserve">[2]</w:t>
        </w:r>
      </w:hyperlink>
      <w:bookmarkStart w:id="70" w:name="fnref1_37"/>
      <w:bookmarkEnd w:id="70"/>
      <w:hyperlink w:anchor="fn1">
        <w:r>
          <w:rPr>
            <w:rFonts w:eastAsia="helvetica neue" w:cs="helvetica neue" w:ascii="helvetica neue" w:hAnsi="helvetica neue"/>
            <w:color w:val="#000"/>
            <w:sz w:val="21"/>
            <w:u w:val="single"/>
            <w:vertAlign w:val="superscript"/>
          </w:rPr>
          <w:t xml:space="preserve">[1]</w:t>
        </w:r>
      </w:hyperlink>
    </w:p>
    <w:p>
      <w:pPr>
        <w:numPr>
          <w:ilvl w:val="1"/>
          <w:numId w:val="6"/>
        </w:numPr>
        <w:spacing w:line="360" w:before="105" w:after="105" w:lineRule="auto"/>
      </w:pPr>
      <w:r>
        <w:rPr>
          <w:rFonts w:eastAsia="georgia" w:cs="georgia" w:ascii="georgia" w:hAnsi="georgia"/>
          <w:color w:val="000000"/>
          <w:sz w:val="21"/>
        </w:rPr>
        <w:t xml:space="preserve">Cons: Premium pricing and capacity pool minimums; best justified for high‑value workloads.</w:t>
      </w:r>
      <w:bookmarkStart w:id="71" w:name="fnref9_5"/>
      <w:bookmarkEnd w:id="71"/>
      <w:hyperlink w:anchor="fn9">
        <w:r>
          <w:rPr>
            <w:rFonts w:eastAsia="helvetica neue" w:cs="helvetica neue" w:ascii="helvetica neue" w:hAnsi="helvetica neue"/>
            <w:color w:val="#000"/>
            <w:sz w:val="21"/>
            <w:u w:val="single"/>
            <w:vertAlign w:val="superscript"/>
          </w:rPr>
          <w:t xml:space="preserve">[9]</w:t>
        </w:r>
      </w:hyperlink>
      <w:bookmarkStart w:id="72" w:name="fnref2_21"/>
      <w:bookmarkEnd w:id="72"/>
      <w:hyperlink w:anchor="fn2">
        <w:r>
          <w:rPr>
            <w:rFonts w:eastAsia="helvetica neue" w:cs="helvetica neue" w:ascii="helvetica neue" w:hAnsi="helvetica neue"/>
            <w:color w:val="#000"/>
            <w:sz w:val="21"/>
            <w:u w:val="single"/>
            <w:vertAlign w:val="superscript"/>
          </w:rPr>
          <w:t xml:space="preserve">[2]</w:t>
        </w:r>
      </w:hyperlink>
      <w:bookmarkStart w:id="73" w:name="fnref1_38"/>
      <w:bookmarkEnd w:id="73"/>
      <w:hyperlink w:anchor="fn1">
        <w:r>
          <w:rPr>
            <w:rFonts w:eastAsia="helvetica neue" w:cs="helvetica neue" w:ascii="helvetica neue" w:hAnsi="helvetica neue"/>
            <w:color w:val="#000"/>
            <w:sz w:val="21"/>
            <w:u w:val="single"/>
            <w:vertAlign w:val="superscript"/>
          </w:rPr>
          <w:t xml:space="preserve">[1]</w:t>
        </w:r>
      </w:hyperlink>
    </w:p>
    <w:p>
      <w:pPr>
        <w:numPr>
          <w:ilvl w:val="1"/>
          <w:numId w:val="6"/>
        </w:numPr>
        <w:spacing w:line="360" w:before="105" w:after="105" w:lineRule="auto"/>
      </w:pPr>
      <w:r>
        <w:rPr>
          <w:rFonts w:eastAsia="georgia" w:cs="georgia" w:ascii="georgia" w:hAnsi="georgia"/>
          <w:color w:val="000000"/>
          <w:sz w:val="21"/>
        </w:rPr>
        <w:t xml:space="preserve">Cons: Requires careful AD and network design in multi‑forest environments, typically with trusts or separate deployments.</w:t>
      </w:r>
      <w:bookmarkStart w:id="74" w:name="fnref2_22"/>
      <w:bookmarkEnd w:id="74"/>
      <w:hyperlink w:anchor="fn2">
        <w:r>
          <w:rPr>
            <w:rFonts w:eastAsia="helvetica neue" w:cs="helvetica neue" w:ascii="helvetica neue" w:hAnsi="helvetica neue"/>
            <w:color w:val="#000"/>
            <w:sz w:val="21"/>
            <w:u w:val="single"/>
            <w:vertAlign w:val="superscript"/>
          </w:rPr>
          <w:t xml:space="preserve">[2]</w:t>
        </w:r>
      </w:hyperlink>
      <w:bookmarkStart w:id="75" w:name="fnref1_39"/>
      <w:bookmarkEnd w:id="75"/>
      <w:hyperlink w:anchor="fn1">
        <w:r>
          <w:rPr>
            <w:rFonts w:eastAsia="helvetica neue" w:cs="helvetica neue" w:ascii="helvetica neue" w:hAnsi="helvetica neue"/>
            <w:color w:val="#000"/>
            <w:sz w:val="21"/>
            <w:u w:val="single"/>
            <w:vertAlign w:val="superscript"/>
          </w:rPr>
          <w:t xml:space="preserve">[1]</w:t>
        </w:r>
      </w:hyperlink>
    </w:p>
    <w:p>
      <w:pPr>
        <w:numPr>
          <w:ilvl w:val="0"/>
          <w:numId w:val="6"/>
        </w:numPr>
        <w:spacing w:line="360" w:after="210" w:lineRule="auto"/>
      </w:pPr>
      <w:r>
        <w:rPr>
          <w:rFonts w:eastAsia="georgia" w:cs="georgia" w:ascii="georgia" w:hAnsi="georgia"/>
          <w:b/>
          <w:color w:val="000000"/>
          <w:sz w:val="21"/>
        </w:rPr>
        <w:t xml:space="preserve">SharePoint Online</w:t>
      </w:r>
    </w:p>
    <w:p>
      <w:pPr>
        <w:numPr>
          <w:ilvl w:val="1"/>
          <w:numId w:val="6"/>
        </w:numPr>
        <w:spacing w:line="360" w:before="105" w:after="105" w:lineRule="auto"/>
      </w:pPr>
      <w:r>
        <w:rPr>
          <w:rFonts w:eastAsia="georgia" w:cs="georgia" w:ascii="georgia" w:hAnsi="georgia"/>
          <w:color w:val="000000"/>
          <w:sz w:val="21"/>
        </w:rPr>
        <w:t xml:space="preserve">Pros: Excellent for collaboration, versioning, and compliance; no server/storage management.</w:t>
      </w:r>
      <w:bookmarkStart w:id="76" w:name="fnref6_9"/>
      <w:bookmarkEnd w:id="76"/>
      <w:hyperlink w:anchor="fn6">
        <w:r>
          <w:rPr>
            <w:rFonts w:eastAsia="helvetica neue" w:cs="helvetica neue" w:ascii="helvetica neue" w:hAnsi="helvetica neue"/>
            <w:color w:val="#000"/>
            <w:sz w:val="21"/>
            <w:u w:val="single"/>
            <w:vertAlign w:val="superscript"/>
          </w:rPr>
          <w:t xml:space="preserve">[6]</w:t>
        </w:r>
      </w:hyperlink>
      <w:bookmarkStart w:id="77" w:name="fnref5_18"/>
      <w:bookmarkEnd w:id="77"/>
      <w:hyperlink w:anchor="fn5">
        <w:r>
          <w:rPr>
            <w:rFonts w:eastAsia="helvetica neue" w:cs="helvetica neue" w:ascii="helvetica neue" w:hAnsi="helvetica neue"/>
            <w:color w:val="#000"/>
            <w:sz w:val="21"/>
            <w:u w:val="single"/>
            <w:vertAlign w:val="superscript"/>
          </w:rPr>
          <w:t xml:space="preserve">[5]</w:t>
        </w:r>
      </w:hyperlink>
    </w:p>
    <w:p>
      <w:pPr>
        <w:numPr>
          <w:ilvl w:val="1"/>
          <w:numId w:val="6"/>
        </w:numPr>
        <w:spacing w:line="360" w:before="105" w:after="105" w:lineRule="auto"/>
      </w:pPr>
      <w:r>
        <w:rPr>
          <w:rFonts w:eastAsia="georgia" w:cs="georgia" w:ascii="georgia" w:hAnsi="georgia"/>
          <w:color w:val="000000"/>
          <w:sz w:val="21"/>
        </w:rPr>
        <w:t xml:space="preserve">Pros: Forest topology largely abstracted once users are in Entra ID; good for cross‑forest teams.</w:t>
      </w:r>
      <w:bookmarkStart w:id="78" w:name="fnref5_19"/>
      <w:bookmarkEnd w:id="78"/>
      <w:hyperlink w:anchor="fn5">
        <w:r>
          <w:rPr>
            <w:rFonts w:eastAsia="helvetica neue" w:cs="helvetica neue" w:ascii="helvetica neue" w:hAnsi="helvetica neue"/>
            <w:color w:val="#000"/>
            <w:sz w:val="21"/>
            <w:u w:val="single"/>
            <w:vertAlign w:val="superscript"/>
          </w:rPr>
          <w:t xml:space="preserve">[5]</w:t>
        </w:r>
      </w:hyperlink>
    </w:p>
    <w:p>
      <w:pPr>
        <w:numPr>
          <w:ilvl w:val="1"/>
          <w:numId w:val="6"/>
        </w:numPr>
        <w:spacing w:line="360" w:before="105" w:after="105" w:lineRule="auto"/>
      </w:pPr>
      <w:r>
        <w:rPr>
          <w:rFonts w:eastAsia="georgia" w:cs="georgia" w:ascii="georgia" w:hAnsi="georgia"/>
          <w:color w:val="000000"/>
          <w:sz w:val="21"/>
        </w:rPr>
        <w:t xml:space="preserve">Cons: Poor fit for traditional mapped‑drive semantics and legacy SMB apps; WebDAV mapping is fragile and discouraged.</w:t>
      </w:r>
      <w:bookmarkStart w:id="79" w:name="fnref6_10"/>
      <w:bookmarkEnd w:id="79"/>
      <w:hyperlink w:anchor="fn6">
        <w:r>
          <w:rPr>
            <w:rFonts w:eastAsia="helvetica neue" w:cs="helvetica neue" w:ascii="helvetica neue" w:hAnsi="helvetica neue"/>
            <w:color w:val="#000"/>
            <w:sz w:val="21"/>
            <w:u w:val="single"/>
            <w:vertAlign w:val="superscript"/>
          </w:rPr>
          <w:t xml:space="preserve">[6]</w:t>
        </w:r>
      </w:hyperlink>
      <w:bookmarkStart w:id="80" w:name="fnref5_20"/>
      <w:bookmarkEnd w:id="80"/>
      <w:hyperlink w:anchor="fn5">
        <w:r>
          <w:rPr>
            <w:rFonts w:eastAsia="helvetica neue" w:cs="helvetica neue" w:ascii="helvetica neue" w:hAnsi="helvetica neue"/>
            <w:color w:val="#000"/>
            <w:sz w:val="21"/>
            <w:u w:val="single"/>
            <w:vertAlign w:val="superscript"/>
          </w:rPr>
          <w:t xml:space="preserve">[5]</w:t>
        </w:r>
      </w:hyperlink>
    </w:p>
    <w:p>
      <w:pPr>
        <w:numPr>
          <w:ilvl w:val="1"/>
          <w:numId w:val="6"/>
        </w:numPr>
        <w:spacing w:line="360" w:before="105" w:after="105" w:lineRule="auto"/>
      </w:pPr>
      <w:r>
        <w:rPr>
          <w:rFonts w:eastAsia="georgia" w:cs="georgia" w:ascii="georgia" w:hAnsi="georgia"/>
          <w:color w:val="000000"/>
          <w:sz w:val="21"/>
        </w:rPr>
        <w:t xml:space="preserve">Cons: High migration effort to redesign IA and retrain users coming from classic “G:\ drive” structures.</w:t>
      </w:r>
      <w:bookmarkStart w:id="81" w:name="fnref6_11"/>
      <w:bookmarkEnd w:id="81"/>
      <w:hyperlink w:anchor="fn6">
        <w:r>
          <w:rPr>
            <w:rFonts w:eastAsia="helvetica neue" w:cs="helvetica neue" w:ascii="helvetica neue" w:hAnsi="helvetica neue"/>
            <w:color w:val="#000"/>
            <w:sz w:val="21"/>
            <w:u w:val="single"/>
            <w:vertAlign w:val="superscript"/>
          </w:rPr>
          <w:t xml:space="preserve">[6]</w:t>
        </w:r>
      </w:hyperlink>
      <w:bookmarkStart w:id="82" w:name="fnref5_21"/>
      <w:bookmarkEnd w:id="82"/>
      <w:hyperlink w:anchor="fn5">
        <w:r>
          <w:rPr>
            <w:rFonts w:eastAsia="helvetica neue" w:cs="helvetica neue" w:ascii="helvetica neue" w:hAnsi="helvetica neue"/>
            <w:color w:val="#000"/>
            <w:sz w:val="21"/>
            <w:u w:val="single"/>
            <w:vertAlign w:val="superscript"/>
          </w:rPr>
          <w:t xml:space="preserve">[5]</w:t>
        </w:r>
      </w:hyperlink>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83" w:name="fn1"/>
    <w:bookmarkEnd w:id="83"/>
    <w:p>
      <w:pPr>
        <w:numPr>
          <w:ilvl w:val="0"/>
          <w:numId w:val="8"/>
        </w:numPr>
        <w:spacing w:line="360" w:after="210" w:lineRule="auto"/>
      </w:pPr>
      <w:hyperlink r:id="rId6">
        <w:r>
          <w:rPr>
            <w:rFonts w:eastAsia="helvetica neue" w:cs="helvetica neue" w:ascii="helvetica neue" w:hAnsi="helvetica neue"/>
            <w:color w:val="#000"/>
            <w:sz w:val="18"/>
            <w:u w:val="single"/>
          </w:rPr>
          <w:t xml:space="preserve">https://learn.microsoft.com/en-us/azure/storage/files/storage-files-netapp-comparison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4" w:name="fn2"/>
    <w:bookmarkEnd w:id="84"/>
    <w:p>
      <w:pPr>
        <w:numPr>
          <w:ilvl w:val="0"/>
          <w:numId w:val="8"/>
        </w:numPr>
        <w:spacing w:line="360" w:after="210" w:lineRule="auto"/>
      </w:pPr>
      <w:hyperlink r:id="rId7">
        <w:r>
          <w:rPr>
            <w:rFonts w:eastAsia="helvetica neue" w:cs="helvetica neue" w:ascii="helvetica neue" w:hAnsi="helvetica neue"/>
            <w:color w:val="#000"/>
            <w:sz w:val="18"/>
            <w:u w:val="single"/>
          </w:rPr>
          <w:t xml:space="preserve">https://learn.microsoft.com/ja-jp/azure/storage/files/storage-files-netapp-comparison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5" w:name="fn3"/>
    <w:bookmarkEnd w:id="85"/>
    <w:p>
      <w:pPr>
        <w:numPr>
          <w:ilvl w:val="0"/>
          <w:numId w:val="8"/>
        </w:numPr>
        <w:spacing w:line="360" w:after="210" w:lineRule="auto"/>
      </w:pPr>
      <w:hyperlink r:id="rId8">
        <w:r>
          <w:rPr>
            <w:rFonts w:eastAsia="helvetica neue" w:cs="helvetica neue" w:ascii="helvetica neue" w:hAnsi="helvetica neue"/>
            <w:color w:val="#000"/>
            <w:sz w:val="18"/>
            <w:u w:val="single"/>
          </w:rPr>
          <w:t xml:space="preserve">https://learn.microsoft.com/th-th/azure/storage/files/storage-files-identity-ad-ds-overview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6" w:name="fn4"/>
    <w:bookmarkEnd w:id="86"/>
    <w:p>
      <w:pPr>
        <w:numPr>
          <w:ilvl w:val="0"/>
          <w:numId w:val="8"/>
        </w:numPr>
        <w:spacing w:line="360" w:after="210" w:lineRule="auto"/>
      </w:pPr>
      <w:hyperlink r:id="rId9">
        <w:r>
          <w:rPr>
            <w:rFonts w:eastAsia="helvetica neue" w:cs="helvetica neue" w:ascii="helvetica neue" w:hAnsi="helvetica neue"/>
            <w:color w:val="#000"/>
            <w:sz w:val="18"/>
            <w:u w:val="single"/>
          </w:rPr>
          <w:t xml:space="preserve">https://learn.microsoft.com/en-us/azure/storage/files/storage-files-identity-ad-ds-enable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7" w:name="fn5"/>
    <w:bookmarkEnd w:id="87"/>
    <w:p>
      <w:pPr>
        <w:numPr>
          <w:ilvl w:val="0"/>
          <w:numId w:val="8"/>
        </w:numPr>
        <w:spacing w:line="360" w:after="210" w:lineRule="auto"/>
      </w:pPr>
      <w:hyperlink r:id="rId10">
        <w:r>
          <w:rPr>
            <w:rFonts w:eastAsia="helvetica neue" w:cs="helvetica neue" w:ascii="helvetica neue" w:hAnsi="helvetica neue"/>
            <w:color w:val="#000"/>
            <w:sz w:val="18"/>
            <w:u w:val="single"/>
          </w:rPr>
          <w:t xml:space="preserve">https://support.microsoft.com/en-gb/office/restrictions-and-limitations-in-onedrive-and-sharepoint-64883a5d-228e-48f5-b3d2-eb39e07630fa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8" w:name="fn6"/>
    <w:bookmarkEnd w:id="88"/>
    <w:p>
      <w:pPr>
        <w:numPr>
          <w:ilvl w:val="0"/>
          <w:numId w:val="8"/>
        </w:numPr>
        <w:spacing w:line="360" w:after="210" w:lineRule="auto"/>
      </w:pPr>
      <w:hyperlink r:id="rId11">
        <w:r>
          <w:rPr>
            <w:rFonts w:eastAsia="helvetica neue" w:cs="helvetica neue" w:ascii="helvetica neue" w:hAnsi="helvetica neue"/>
            <w:color w:val="#000"/>
            <w:sz w:val="18"/>
            <w:u w:val="single"/>
          </w:rPr>
          <w:t xml:space="preserve">https://www.myworkdrive.com/blog/map-sharepoint-as-network-drive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9" w:name="fn7"/>
    <w:bookmarkEnd w:id="89"/>
    <w:p>
      <w:pPr>
        <w:numPr>
          <w:ilvl w:val="0"/>
          <w:numId w:val="8"/>
        </w:numPr>
        <w:spacing w:line="360" w:after="210" w:lineRule="auto"/>
      </w:pPr>
      <w:hyperlink r:id="rId12">
        <w:r>
          <w:rPr>
            <w:rFonts w:eastAsia="helvetica neue" w:cs="helvetica neue" w:ascii="helvetica neue" w:hAnsi="helvetica neue"/>
            <w:color w:val="#000"/>
            <w:sz w:val="18"/>
            <w:u w:val="single"/>
          </w:rPr>
          <w:t xml:space="preserve">https://learn.microsoft.com/en-us/azure/storage/files/storage-files-identity-auth-hybrid-identities-enable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90" w:name="fn8"/>
    <w:bookmarkEnd w:id="90"/>
    <w:p>
      <w:pPr>
        <w:numPr>
          <w:ilvl w:val="0"/>
          <w:numId w:val="8"/>
        </w:numPr>
        <w:spacing w:line="360" w:after="210" w:lineRule="auto"/>
      </w:pPr>
      <w:hyperlink r:id="rId13">
        <w:r>
          <w:rPr>
            <w:rFonts w:eastAsia="helvetica neue" w:cs="helvetica neue" w:ascii="helvetica neue" w:hAnsi="helvetica neue"/>
            <w:color w:val="#000"/>
            <w:sz w:val="18"/>
            <w:u w:val="single"/>
          </w:rPr>
          <w:t xml:space="preserve">https://github.com/MicrosoftDocs/azure-docs/blob/main/articles/storage/files/storage-files-netapp-comparison.md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91" w:name="fn9"/>
    <w:bookmarkEnd w:id="91"/>
    <w:p>
      <w:pPr>
        <w:numPr>
          <w:ilvl w:val="0"/>
          <w:numId w:val="8"/>
        </w:numPr>
        <w:spacing w:line="360" w:after="210" w:lineRule="auto"/>
      </w:pPr>
      <w:hyperlink r:id="rId14">
        <w:r>
          <w:rPr>
            <w:rFonts w:eastAsia="helvetica neue" w:cs="helvetica neue" w:ascii="helvetica neue" w:hAnsi="helvetica neue"/>
            <w:color w:val="#000"/>
            <w:sz w:val="18"/>
            <w:u w:val="single"/>
          </w:rPr>
          <w:t xml:space="preserve">https://learn.microsoft.com/lv-lv/azure/storage/files/storage-files-netapp-comparison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92" w:name="fn10"/>
    <w:bookmarkEnd w:id="92"/>
    <w:p>
      <w:pPr>
        <w:numPr>
          <w:ilvl w:val="0"/>
          <w:numId w:val="8"/>
        </w:numPr>
        <w:spacing w:line="360" w:after="210" w:lineRule="auto"/>
      </w:pPr>
      <w:hyperlink r:id="rId15">
        <w:r>
          <w:rPr>
            <w:rFonts w:eastAsia="helvetica neue" w:cs="helvetica neue" w:ascii="helvetica neue" w:hAnsi="helvetica neue"/>
            <w:color w:val="#000"/>
            <w:sz w:val="18"/>
            <w:u w:val="single"/>
          </w:rPr>
          <w:t xml:space="preserve">https://techcommunity.microsoft.com/discussions/sharepoint_general/sharepoint-online---allow-map-network-drive-webdav-but-deny-onedrive/4038841</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abstractNum>
  <w:abstractNum w:abstractNumId="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ee639ac21feaa0116c72b51b09723046c9a5673.png" TargetMode="Internal"/><Relationship Id="rId6" Type="http://schemas.openxmlformats.org/officeDocument/2006/relationships/hyperlink" Target="https://learn.microsoft.com/en-us/azure/storage/files/storage-files-netapp-comparison" TargetMode="External"/><Relationship Id="rId7" Type="http://schemas.openxmlformats.org/officeDocument/2006/relationships/hyperlink" Target="https://learn.microsoft.com/ja-jp/azure/storage/files/storage-files-netapp-comparison" TargetMode="External"/><Relationship Id="rId8" Type="http://schemas.openxmlformats.org/officeDocument/2006/relationships/hyperlink" Target="https://learn.microsoft.com/th-th/azure/storage/files/storage-files-identity-ad-ds-overview" TargetMode="External"/><Relationship Id="rId9" Type="http://schemas.openxmlformats.org/officeDocument/2006/relationships/hyperlink" Target="https://learn.microsoft.com/en-us/azure/storage/files/storage-files-identity-ad-ds-enable" TargetMode="External"/><Relationship Id="rId10" Type="http://schemas.openxmlformats.org/officeDocument/2006/relationships/hyperlink" Target="https://support.microsoft.com/en-gb/office/restrictions-and-limitations-in-onedrive-and-sharepoint-64883a5d-228e-48f5-b3d2-eb39e07630fa" TargetMode="External"/><Relationship Id="rId11" Type="http://schemas.openxmlformats.org/officeDocument/2006/relationships/hyperlink" Target="https://www.myworkdrive.com/blog/map-sharepoint-as-network-drive" TargetMode="External"/><Relationship Id="rId12" Type="http://schemas.openxmlformats.org/officeDocument/2006/relationships/hyperlink" Target="https://learn.microsoft.com/en-us/azure/storage/files/storage-files-identity-auth-hybrid-identities-enable" TargetMode="External"/><Relationship Id="rId13" Type="http://schemas.openxmlformats.org/officeDocument/2006/relationships/hyperlink" Target="https://github.com/MicrosoftDocs/azure-docs/blob/main/articles/storage/files/storage-files-netapp-comparison.md" TargetMode="External"/><Relationship Id="rId14" Type="http://schemas.openxmlformats.org/officeDocument/2006/relationships/hyperlink" Target="https://learn.microsoft.com/lv-lv/azure/storage/files/storage-files-netapp-comparison" TargetMode="External"/><Relationship Id="rId15" Type="http://schemas.openxmlformats.org/officeDocument/2006/relationships/hyperlink" Target="https://techcommunity.microsoft.com/discussions/sharepoint_general/sharepoint-online---allow-map-network-drive-webdav-but-deny-onedrive/403884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2026-03-24T12:47:09.860Z</dcterms:created>
  <dcterms:modified xsi:type="dcterms:W3CDTF">2026-03-24T12:47:09.860Z</dcterms:modified>
</cp:coreProperties>
</file>