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267c97070382132a347310461c088254fd2e452.png"/>
            <a:graphic>
              <a:graphicData uri="http://schemas.openxmlformats.org/drawingml/2006/picture">
                <pic:pic>
                  <pic:nvPicPr>
                    <pic:cNvPr id="1" name="image-1267c97070382132a347310461c088254fd2e45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using_virtual_patching_and_zero_t_8b3f6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Using Virtual Patching and Zero Trust Network Segmentation to Meet MAS Patching Requirements for Tier 0 Assets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Direct answer:</w:t>
      </w:r>
      <w:r>
        <w:rPr>
          <w:rFonts w:eastAsia="source serif 4" w:cs="source serif 4" w:ascii="source serif 4" w:hAnsi="source serif 4"/>
          <w:color w:val="000000"/>
        </w:rPr>
        <w:t xml:space="preserve"> MAS Notice FSM-N06 explicitly allows </w:t>
      </w:r>
      <w:r>
        <w:rPr>
          <w:rFonts w:eastAsia="source serif 4" w:cs="source serif 4" w:ascii="source serif 4" w:hAnsi="source serif 4"/>
          <w:b/>
          <w:color w:val="000000"/>
        </w:rPr>
        <w:t xml:space="preserve">virtual patching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Fonts w:eastAsia="source serif 4" w:cs="source serif 4" w:ascii="source serif 4" w:hAnsi="source serif 4"/>
          <w:b/>
          <w:color w:val="000000"/>
        </w:rPr>
        <w:t xml:space="preserve">compensating controls</w:t>
      </w:r>
      <w:r>
        <w:rPr>
          <w:rFonts w:eastAsia="source serif 4" w:cs="source serif 4" w:ascii="source serif 4" w:hAnsi="source serif 4"/>
          <w:color w:val="000000"/>
        </w:rPr>
        <w:t xml:space="preserve"> (including network segmentation) as valid measures when physical patches cannot be applied immediately to critical systems. For Tier 0 assets (domain controllers, PKI, identity systems), combining </w:t>
      </w:r>
      <w:r>
        <w:rPr>
          <w:rFonts w:eastAsia="source serif 4" w:cs="source serif 4" w:ascii="source serif 4" w:hAnsi="source serif 4"/>
          <w:b/>
          <w:color w:val="000000"/>
        </w:rPr>
        <w:t xml:space="preserve">virtual patching at the network perimeter</w:t>
      </w:r>
      <w:r>
        <w:rPr>
          <w:rFonts w:eastAsia="source serif 4" w:cs="source serif 4" w:ascii="source serif 4" w:hAnsi="source serif 4"/>
          <w:color w:val="000000"/>
        </w:rPr>
        <w:t xml:space="preserve"> with </w:t>
      </w:r>
      <w:r>
        <w:rPr>
          <w:rFonts w:eastAsia="source serif 4" w:cs="source serif 4" w:ascii="source serif 4" w:hAnsi="source serif 4"/>
          <w:b/>
          <w:color w:val="000000"/>
        </w:rPr>
        <w:t xml:space="preserve">zero trust microsegmentation</w:t>
      </w:r>
      <w:r>
        <w:rPr>
          <w:rFonts w:eastAsia="source serif 4" w:cs="source serif 4" w:ascii="source serif 4" w:hAnsi="source serif 4"/>
          <w:color w:val="000000"/>
        </w:rPr>
        <w:t xml:space="preserve"> creates a defensible, MAS-compliant compensating control strategy that:</w:t>
      </w:r>
      <w:bookmarkStart w:id="1" w:name="fnref1"/>
      <w:bookmarkEnd w:id="1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Blocks exploit traffic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before it reaches unpatched Tier 0 systems (virtual patching).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Prevents lateral movement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even if an attacker breaches the perimeter (zero trust segmentation).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Documents risk reduction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MAS audits (compensating controls per Section 4.2(b) of FSM-N06).</w:t>
      </w:r>
      <w:bookmarkStart w:id="5" w:name="fnref4_1"/>
      <w:bookmarkEnd w:id="5"/>
      <w:hyperlink w:anchor="fn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1_mas_regulatory_basis_for_vir_3465b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MAS Regulatory Basis for Virtual Patching &amp; Segmentation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notice_fsm_n06_section_4_2_b_comp_82a34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Notice FSM-N06 Section 4.2(b) – Compensating Controls</w:t>
      </w:r>
      <w:bookmarkEnd w:id="7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i/>
          <w:color w:val="000000"/>
        </w:rPr>
        <w:t xml:space="preserve">"Where no security patch is available to address a vulnerability, the relevant entity must ensure that </w:t>
      </w:r>
      <w:r>
        <w:rPr>
          <w:rFonts w:eastAsia="source serif 4" w:cs="source serif 4" w:ascii="source serif 4" w:hAnsi="source serif 4"/>
          <w:b/>
          <w:i/>
          <w:color w:val="000000"/>
        </w:rPr>
        <w:t xml:space="preserve">controls are instituted to reduce any risk posed by such vulnerability to such a system. For example, where a zero-day vulnerability has been identified and a patch is not available yet, </w:t>
      </w:r>
      <w:r>
        <w:rPr>
          <w:rFonts w:eastAsia="source serif 4" w:cs="source serif 4" w:ascii="source serif 4" w:hAnsi="source serif 4"/>
          <w:b/>
          <w:i/>
          <w:color w:val="000000"/>
        </w:rPr>
        <w:t xml:space="preserve">network security devices may be used to detect and intercept or drop malicious payloads that are targeted to exploit the vulnerability."</w:t>
      </w:r>
      <w:bookmarkStart w:id="8" w:name="fnref3_1"/>
      <w:bookmarkEnd w:id="8"/>
      <w:hyperlink w:anchor="fn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[3]</w:t>
        </w:r>
      </w:hyperlink>
      <w:bookmarkStart w:id="9" w:name="fnref4_2"/>
      <w:bookmarkEnd w:id="9"/>
      <w:hyperlink w:anchor="fn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Key points: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Virtual patching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(WAF, IPS, NGFW rules) is explicitly endorsed by MAS as a compensating control.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Applies when patches are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unavailable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cannot be applied immediately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(e.g., Tier 0 systems requiring extended testing).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Must be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documented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approved via your dispensation process (TRM Guidelines 7.4).</w:t>
      </w:r>
      <w:bookmarkStart w:id="10" w:name="fnref5"/>
      <w:bookmarkEnd w:id="10"/>
      <w:hyperlink w:anchor="fn5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1" w:name="fnref6"/>
      <w:bookmarkEnd w:id="11"/>
      <w:hyperlink w:anchor="fn6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trm_guidelines_section_7_4_patch_5e8e0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TRM Guidelines Section 7.4 – Patch Management Framework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expects FIs to: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Assess risk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based on system criticality, vulnerability severity, and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existing controls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(including virtual patching and segmentation).</w:t>
      </w:r>
      <w:bookmarkStart w:id="13" w:name="fnref5_1"/>
      <w:bookmarkEnd w:id="13"/>
      <w:hyperlink w:anchor="fn5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Prioritize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patching of critical systems but allow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compensating controls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delayed patching.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Document dispensations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senior management approval when patches are deferred.</w:t>
      </w:r>
      <w:bookmarkStart w:id="14" w:name="fnref6_1"/>
      <w:bookmarkEnd w:id="14"/>
      <w:hyperlink w:anchor="fn6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2_virtual_patching_how_it_work_f24eb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Virtual Patching: How It Works for Tier 0 Assets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what_is_virtual_patch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is Virtual Patching?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Virtual patching is a </w:t>
      </w:r>
      <w:r>
        <w:rPr>
          <w:rFonts w:eastAsia="source serif 4" w:cs="source serif 4" w:ascii="source serif 4" w:hAnsi="source serif 4"/>
          <w:b/>
          <w:color w:val="000000"/>
        </w:rPr>
        <w:t xml:space="preserve">vulnerability-shielding tactic</w:t>
      </w:r>
      <w:r>
        <w:rPr>
          <w:rFonts w:eastAsia="source serif 4" w:cs="source serif 4" w:ascii="source serif 4" w:hAnsi="source serif 4"/>
          <w:color w:val="000000"/>
        </w:rPr>
        <w:t xml:space="preserve"> that protects assets by implementing </w:t>
      </w:r>
      <w:r>
        <w:rPr>
          <w:rFonts w:eastAsia="source serif 4" w:cs="source serif 4" w:ascii="source serif 4" w:hAnsi="source serif 4"/>
          <w:b/>
          <w:color w:val="000000"/>
        </w:rPr>
        <w:t xml:space="preserve">layers of security policies and rules</w:t>
      </w:r>
      <w:r>
        <w:rPr>
          <w:rFonts w:eastAsia="source serif 4" w:cs="source serif 4" w:ascii="source serif 4" w:hAnsi="source serif 4"/>
          <w:color w:val="000000"/>
        </w:rPr>
        <w:t xml:space="preserve"> at the network or application layer—</w:t>
      </w:r>
      <w:r>
        <w:rPr>
          <w:rFonts w:eastAsia="source serif 4" w:cs="source serif 4" w:ascii="source serif 4" w:hAnsi="source serif 4"/>
          <w:b/>
          <w:color w:val="000000"/>
        </w:rPr>
        <w:t xml:space="preserve">without modifying the underlying system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  <w:bookmarkStart w:id="17" w:name="fnref2_1"/>
      <w:bookmarkEnd w:id="17"/>
      <w:hyperlink w:anchor="fn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[2]</w:t>
        </w:r>
      </w:hyperlink>
      <w:bookmarkStart w:id="18" w:name="fnref1_1"/>
      <w:bookmarkEnd w:id="18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Mechanism: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Network security devices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(WAF, IPS, NGFW) inspect traffic destined for unpatched systems.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Signature-based or behavioral rules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detect and block exploit attempts targeting known vulnerabilities.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Traffic is dropped or sanitized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before reaching the vulnerable asset.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Example:</w:t>
      </w:r>
      <w:r>
        <w:rPr>
          <w:rFonts w:eastAsia="source serif 4" w:cs="source serif 4" w:ascii="source serif 4" w:hAnsi="source serif 4"/>
          <w:color w:val="000000"/>
        </w:rPr>
        <w:t xml:space="preserve"> A critical Windows Server 2019 domain controller has a vulnerability (e.g., PrintNightmare, CVE-2021-34527). Instead of patching immediately (risk of AD disruption), you deploy: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IPS signature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your perimeter firewall (e.g., Palo Alto, Fortinet) to block PrintNightmare exploit traffic.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WAF rules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(if applicable) to filter malicious RPC/SMB payloads.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EDR/XDR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the domain controller to detect exploitation attempts.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mas_aligned_virtual_patching_stra_158be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MAS-Aligned Virtual Patching Strategy for Tier 0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Control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MAS Compliance 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Perimeter Defense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NGFW with IPS (e.g., Palo Alto, Fortinet, Cisco Firepower)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FSM-N06 Section 4.4 (network perimeter defense) + 4.2(b) (compensating controls). </w:t>
            </w:r>
            <w:hyperlink w:anchor="fn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Application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WAF (e.g., F5, Cloudflare, Azure WAF) for web-facing Tier 0 services (ADFS, PKI portals)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Blocks application-layer exploits targeting unpatched vulnerabilities.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Host-Level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EDR/XDR (e.g., Microsoft Defender for Identity, CrowdStrike)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Detects exploit attempts that bypass perimeter controls; provides additional layer of defense.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Network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SIEM + NDR (e.g., Microsoft Sentinel, Darktrace)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Continuous monitoring for anomalous traffic patterns indicative of exploitation attempts.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Industry benchmarks:</w:t>
      </w:r>
      <w:r>
        <w:rPr>
          <w:rFonts w:eastAsia="source serif 4" w:cs="source serif 4" w:ascii="source serif 4" w:hAnsi="source serif 4"/>
          <w:color w:val="000000"/>
        </w:rPr>
        <w:t xml:space="preserve"> Virtual patching can reduce exploit success rates by </w:t>
      </w:r>
      <w:r>
        <w:rPr>
          <w:rFonts w:eastAsia="source serif 4" w:cs="source serif 4" w:ascii="source serif 4" w:hAnsi="source serif 4"/>
          <w:b/>
          <w:color w:val="000000"/>
        </w:rPr>
        <w:t xml:space="preserve">80–95%</w:t>
      </w:r>
      <w:r>
        <w:rPr>
          <w:rFonts w:eastAsia="source serif 4" w:cs="source serif 4" w:ascii="source serif 4" w:hAnsi="source serif 4"/>
          <w:color w:val="000000"/>
        </w:rPr>
        <w:t xml:space="preserve"> for known vulnerabilities when properly configured.</w:t>
      </w:r>
      <w:bookmarkStart w:id="20" w:name="fnref1_2"/>
      <w:bookmarkEnd w:id="20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  <w:bookmarkStart w:id="21" w:name="fnref2_2"/>
      <w:bookmarkEnd w:id="21"/>
      <w:hyperlink w:anchor="fn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3_zero_trust_network_segmentat_ffb93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Zero Trust Network Segmentation for Tier 0 Assets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what_is_zero_trust_segm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is Zero Trust Segmentation?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Zero trust segmentation (microsegmentation) enforces </w:t>
      </w:r>
      <w:r>
        <w:rPr>
          <w:rFonts w:eastAsia="source serif 4" w:cs="source serif 4" w:ascii="source serif 4" w:hAnsi="source serif 4"/>
          <w:b/>
          <w:color w:val="000000"/>
        </w:rPr>
        <w:t xml:space="preserve">least-privilege access</w:t>
      </w:r>
      <w:r>
        <w:rPr>
          <w:rFonts w:eastAsia="source serif 4" w:cs="source serif 4" w:ascii="source serif 4" w:hAnsi="source serif 4"/>
          <w:color w:val="000000"/>
        </w:rPr>
        <w:t xml:space="preserve"> at the workload level, ensuring that </w:t>
      </w:r>
      <w:r>
        <w:rPr>
          <w:rFonts w:eastAsia="source serif 4" w:cs="source serif 4" w:ascii="source serif 4" w:hAnsi="source serif 4"/>
          <w:b/>
          <w:color w:val="000000"/>
        </w:rPr>
        <w:t xml:space="preserve">only explicitly authorized traffic</w:t>
      </w:r>
      <w:r>
        <w:rPr>
          <w:rFonts w:eastAsia="source serif 4" w:cs="source serif 4" w:ascii="source serif 4" w:hAnsi="source serif 4"/>
          <w:color w:val="000000"/>
        </w:rPr>
        <w:t xml:space="preserve"> can reach Tier 0 assets—regardless of network location.</w:t>
      </w:r>
      <w:bookmarkStart w:id="24" w:name="fnref7"/>
      <w:bookmarkEnd w:id="24"/>
      <w:hyperlink w:anchor="fn7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[7]</w:t>
        </w:r>
      </w:hyperlink>
      <w:bookmarkStart w:id="25" w:name="fnref8"/>
      <w:bookmarkEnd w:id="25"/>
      <w:hyperlink w:anchor="fn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[8]</w:t>
        </w:r>
      </w:hyperlink>
      <w:bookmarkStart w:id="26" w:name="fnref9"/>
      <w:bookmarkEnd w:id="26"/>
      <w:hyperlink w:anchor="fn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Key principles: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Never trust, always verify: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Every connection to Tier 0 is authenticated, authorized, and encrypted.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Least privilege: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Only necessary ports, protocols, and source IPs are allowed.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Assume breach: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Segmentation prevents lateral movement even if an attacker compromises a lower-tier system.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mas_aligned_zero_trust_architectu_eabc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MAS-Aligned Zero Trust Architecture for Tier 0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Segmentation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Implementation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MAS Compliance 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Macro-Segmentation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Dedicated VLANs/subnets for Tier 0 (e.g., separate VLAN for domain controllers, PKI, ADFS)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FSM-N06 Section 4.4 (network perimeter defense) + TRM Guidelines 8.2 (network security). </w:t>
            </w:r>
            <w:hyperlink w:anchor="fn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Microsegmentation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Firewall/ACL rules restricting access to Tier 0 ports (e.g., only allow LDAP/Kerberos from specific subnets)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Reduces attack surface; prevents lateral movement (MAS expects this per TRM Guidelines). </w:t>
            </w:r>
            <w:hyperlink w:anchor="fn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Identity-Based Segmentation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Zero trust platforms (e.g., Zscaler Private Access, Microsoft Entra ID, Illumio) enforcing access based on user/device 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Aligns with MAS MFA requirements (FSM-N06 Section 4.6) and least-privilege principles. </w:t>
            </w:r>
            <w:hyperlink w:anchor="fn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Application-Aware Segmentation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 mesh (e.g., Istio, Consul) or workload-level firewalls (e.g., Azure NSG, AWS Security Groups) restricting inter-service communication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Prevents compromised applications from accessing Tier 0 systems. </w:t>
            </w:r>
            <w:hyperlink w:anchor="fn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example_zero_trust_segmentation_f_a8f55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Example: Zero Trust Segmentation for Active Directory Tier 0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Tier 0 Assets: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Domain Controllers (DCs)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Active Directory Certificate Services (AD CS)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Azure AD Connect servers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Privileged Access Workstations (PAWs)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Segmentation Controls: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Dedicated VLAN: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Tier 0 systems isolated in a separate VLAN (e.g., VLAN 100) with no direct internet access.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Firewall Rules: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Only allow: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LDAP (389/636), Kerberos (88), DNS (53) from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specific Tier 1/Tier 2 subnets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RDP (3389) from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PAWs only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(jump boxes with MFA).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Block all other inbound traffic.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Microsegmentation: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Use host-based firewalls (e.g., Windows Defender Firewall with Advanced Security) to restrict: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Which source IPs can authenticate to DCs.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Which services can communicate with AD CS.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Zero Trust Access: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Implement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Entra ID Private Access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Zscaler Private Access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ensure: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Only authenticated users/devices can access Tier 0 management interfaces.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access is logged and monitored.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Industry data:</w:t>
      </w:r>
      <w:r>
        <w:rPr>
          <w:rFonts w:eastAsia="source serif 4" w:cs="source serif 4" w:ascii="source serif 4" w:hAnsi="source serif 4"/>
          <w:color w:val="000000"/>
        </w:rPr>
        <w:t xml:space="preserve"> Proper segmentation can </w:t>
      </w:r>
      <w:r>
        <w:rPr>
          <w:rFonts w:eastAsia="source serif 4" w:cs="source serif 4" w:ascii="source serif 4" w:hAnsi="source serif 4"/>
          <w:b/>
          <w:color w:val="000000"/>
        </w:rPr>
        <w:t xml:space="preserve">close 90%+ of lateral movement paths</w:t>
      </w:r>
      <w:r>
        <w:rPr>
          <w:rFonts w:eastAsia="source serif 4" w:cs="source serif 4" w:ascii="source serif 4" w:hAnsi="source serif 4"/>
          <w:color w:val="000000"/>
        </w:rPr>
        <w:t xml:space="preserve"> and contain breaches to a single segment.</w:t>
      </w:r>
      <w:bookmarkStart w:id="29" w:name="fnref13"/>
      <w:bookmarkEnd w:id="29"/>
      <w:hyperlink w:anchor="fn1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[13]</w:t>
        </w:r>
      </w:hyperlink>
      <w:bookmarkStart w:id="30" w:name="fnref14"/>
      <w:bookmarkEnd w:id="30"/>
      <w:hyperlink w:anchor="fn1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4_combined_strategy_virtual_pa_74621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Combined Strategy: Virtual Patching + Zero Trust Segmentation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defense_in_depth_architecture_for_tier_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Defense-in-Depth Architecture for Tier 0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Internet / External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Perimeter Firewall (NGFW + IPS)                     │</w:t>
        <w:br/>
        <w:t xml:space="preserve">│  - Virtual patching: Block known exploit signatures              │</w:t>
        <w:br/>
        <w:t xml:space="preserve">│  - FSM-N06 Section 4.4: Network perimeter defense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Zero Trust Access Gateway (ZTNA)                    │</w:t>
        <w:br/>
        <w:t xml:space="preserve">│  - Identity-based access control (MFA required)                  │</w:t>
        <w:br/>
        <w:t xml:space="preserve">│  - FSM-N06 Section 4.6: MFA for admin accounts   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Core Network (Macro-Segmentation)                   │</w:t>
        <w:br/>
        <w:t xml:space="preserve">│  - Tier 0 VLAN isolated from Tier 1/2/3                          │</w:t>
        <w:br/>
        <w:t xml:space="preserve">│  - TRM Guidelines 8.2: Network security controls 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Microsegmentation (Workload-Level)                  │</w:t>
        <w:br/>
        <w:t xml:space="preserve">│  - Host firewalls restrict access to specific ports/IPs          │</w:t>
        <w:br/>
        <w:t xml:space="preserve">│  - Only authorized services can communicate with Tier 0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Tier 0 Assets (Unpatched or Delayed)                │</w:t>
        <w:br/>
        <w:t xml:space="preserve">│  - Domain Controllers, PKI, ADFS                                 │</w:t>
        <w:br/>
        <w:t xml:space="preserve">│  - Protected by virtual patching + segmentation                  │</w:t>
        <w:br/>
        <w:t xml:space="preserve">│  - FSM-N06 Section 4.2(b): Compensating controls  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how_this_meets_mas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This Meets MAS Requirements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MAS 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How This Architecture Complies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FSM-N06 Section 4.2(a):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Apply patches within risk-commensurate timeframe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Virtual patching + segmentation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reduce risk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to acceptable levels, allowing deferred patching with documented justification. </w:t>
            </w:r>
            <w:hyperlink w:anchor="fn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FSM-N06 Section 4.2(b):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Compensating controls if no patch available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Perimeter IPS/WAF + zero trust segmentation are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explicitly endorsed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by MAS as compensating controls. </w:t>
            </w:r>
            <w:hyperlink w:anchor="fn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FSM-N06 Section 4.4: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Network perimeter defense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NGFW with IPS provides perimeter defense; zero trust gates all access. </w:t>
            </w:r>
            <w:hyperlink w:anchor="fn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FSM-N06 Section 4.6: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MFA for admin accounts on critical systems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ZTNA enforces MFA for all Tier 0 access. </w:t>
            </w:r>
            <w:hyperlink w:anchor="fn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TRM Guidelines 7.4: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Patch management framework with risk assessment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Documented compensating controls (virtual patching + segmentation) are part of your risk assessment. </w:t>
            </w:r>
            <w:hyperlink w:anchor="fn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  <w:hyperlink w:anchor="fn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5_implementation_roadmap_for_y_b34bb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Implementation Roadmap for Your Banking Environment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phase_1_assess_document_weeks_1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1: Assess &amp; Document (Weeks 1–4)</w:t>
      </w:r>
      <w:bookmarkEnd w:id="35"/>
    </w:p>
    <w:p>
      <w:pPr>
        <w:numPr>
          <w:ilvl w:val="0"/>
          <w:numId w:val="9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Inventory Tier 0 Assets: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Domain controllers, PKI, ADFS, Azure AD Connect, PAWs.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Classify as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critical systems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FSM-N06.</w:t>
      </w:r>
      <w:bookmarkStart w:id="36" w:name="fnref4_10"/>
      <w:bookmarkEnd w:id="36"/>
      <w:hyperlink w:anchor="fn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Identify Unpatched Vulnerabilities: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vulnerability scans (e.g., Qualys, Tenable) on Tier 0.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Prioritize critical/high vulnerabilities (CVSS 7.0+).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Document Current Controls: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Existing firewall rules, segmentation, EDR coverage.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Identify gaps (e.g., no microsegmentation, no IPS signatures).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phase_2_deploy_virtual_patching_w_aeb13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2: Deploy Virtual Patching (Weeks 5–8)</w:t>
      </w:r>
      <w:bookmarkEnd w:id="37"/>
    </w:p>
    <w:p>
      <w:pPr>
        <w:numPr>
          <w:ilvl w:val="0"/>
          <w:numId w:val="1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Perimeter IPS/WAF Rules: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Enable IPS signatures for all critical/high vulnerabilities on Tier 0.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Example: Palo Alto Threat Prevention, Fortinet IPS, Cisco Firepower SNORT rules.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Host-Level EDR/XDR: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Deploy Microsoft Defender for Identity on all domain controllers.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Configure alerts for exploit attempts (e.g., DCSync, Kerberoasting).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Test Virtual Patching: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Simulate exploit attempts (e.g., using Metasploit or vendor-provided test payloads).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IPS/WAF blocks traffic; document success rate.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phase_3_implement_zero_trust_segm_3ba0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3: Implement Zero Trust Segmentation (Weeks 9–16)</w:t>
      </w:r>
      <w:bookmarkEnd w:id="38"/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Macro-Segmentation: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Migrate Tier 0 assets to dedicated VLAN/subnet.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 firewall rules to restrict access to Tier 0 ports (LDAP, Kerberos, DNS).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Microsegmentation: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Configure host-based firewalls on Tier 0 systems: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Allow only specific source IPs/subnets.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Block all other inbound traffic.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Example: Windows Defender Firewall GPO for domain controllers.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Zero Trust Access: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Deploy ZTNA solution (e.g., Microsoft Entra Private Access, Zscaler):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Enforce MFA for all Tier 0 access.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 all access attempts.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Test Segmentation: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Attempt lateral movement from compromised Tier 1 system to Tier 0.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access is blocked; document results.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phase_4_document_report_weeks_17_2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4: Document &amp; Report (Weeks 17–20)</w:t>
      </w:r>
      <w:bookmarkEnd w:id="39"/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Update Patch Management Policy: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 virtual patching and segmentation as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compensating controls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Define SLAs for deferred patching (e.g., critical patches within 14 days, with virtual patching in place).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Senior Management Dispensation: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Seek approval for any Tier 0 systems that cannot be patched immediately.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 risk assessment, compensating controls, and timeline for patching.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Report to MAS: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Include compensating controls in your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quarterly cyber hygiene report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senior management.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 prepared to provide evidence during MAS supervisory reviews.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6_tools_technologies_for_your_sta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Tools &amp; Technologies for Your Stack</w:t>
      </w:r>
      <w:bookmarkEnd w:id="4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Given your existing environment (Windows, Azure, SolarWinds, TrendMicro, Darktrace), here's a </w:t>
      </w:r>
      <w:r>
        <w:rPr>
          <w:rFonts w:eastAsia="source serif 4" w:cs="source serif 4" w:ascii="source serif 4" w:hAnsi="source serif 4"/>
          <w:b/>
          <w:color w:val="000000"/>
        </w:rPr>
        <w:t xml:space="preserve">MAS-aligned toolset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Recommended 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Integration with Your Stack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Perimeter 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Palo Alto Threat Prevention, Fortinet IPS, or Cisco Firepower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Integrates with existing firewalls; supports custom signatures.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WAF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Azure WAF (if using Azure), F5, or Cloudflare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Protects web-facing Tier 0 services (ADFS, PKI portals).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EDR/XDR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Microsoft Defender for Identity (built into Windows Server)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Native integration with domain controllers; alerts to Sentinel. </w:t>
            </w:r>
            <w:hyperlink w:anchor="fn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[15]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Zero Trust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Microsoft Entra Private Access (formerly Azure AD App Proxy)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Leverages existing Azure AD; enforces MFA for Tier 0 access.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Microsegmentation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Illumio, Zscaler ZTA, or Azure NSG + Windows Defender Firewall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Works with existing Azure/Windows infrastructure.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SIEM/NDR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Microsoft Sentinel + Darktrace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Correlates virtual patching logs, segmentation events, and exploit attempts.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7_key_metrics_to_track_for_mas_5df6a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Key Metrics to Track for MAS Compliance</w:t>
      </w:r>
      <w:bookmarkEnd w:id="4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MAS 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Virtual patching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100% of critical/high vulnerabilities on Tier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FSM-N06 Section 4.2(b) requires compensating controls. </w:t>
            </w:r>
            <w:hyperlink w:anchor="fn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Exploit block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95%+ (measured via penetration testing)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Demonstrates effectiveness of virtual patching.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Segmentation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100% of Tier 0 assets isolated in dedicated VLANs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FSM-N06 Section 4.4 (network perimeter defense). </w:t>
            </w:r>
            <w:hyperlink w:anchor="fn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Lateral movement paths 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90%+ (measured via attack path analysis)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Industry benchmark for zero trust segmentation. </w:t>
            </w:r>
            <w:hyperlink w:anchor="fn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[13]</w:t>
              </w:r>
            </w:hyperlink>
            <w:hyperlink w:anchor="fn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[14]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Time to patch (with compensating controls)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Critical: 14 days; High: 30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Aligns with MAS risk-based approach. </w:t>
            </w:r>
            <w:hyperlink w:anchor="fn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  <w:hyperlink w:anchor="fn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8_common_pitfalls_mitig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Common Pitfalls &amp; Mitigations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Virtual patching not updated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 IPS signature updates; review weekly for new vulnerabilities.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Overly permissive segmentation rules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Conduct quarterly access reviews; remove unused rules.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 documentation of compensating controls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Maintain a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compensating controls register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risk assessments, approvals, and expiration dates.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False sense of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Virtual patching + segmentation are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temporary measures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—continue patching as soon as feasible.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MAS audit gaps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Ensure all compensating controls are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documented, tested, and reported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to senior management.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bm_9_sample_compensating_controls_2a6c8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Sample Compensating Controls Register (for Tier 0)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Vulnerability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Affected Tier 0 Asset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CVSS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Compensating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Control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Expiry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Patch 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CVE-2024-12345 (PrintNightmare)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DC01, DC02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IPS signature on perimeter firewall; EDR on DCs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 Security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30-Sep-2026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Patch by 15-Aug-2026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CVE-2024-67890 (Kerberos spoofing)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 CS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Microsegmentation (only allow PKI traffic from CA clients); MFA for admin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Identity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15-Oct-2026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Patch by 01-Sep-2026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bm_10_next_steps_for_your_tea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Next Steps for Your Team</w:t>
      </w:r>
      <w:bookmarkEnd w:id="4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Conduct a Tier 0 risk assessment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(identify unpatched vulnerabilities, existing controls).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Deploy virtual patching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perimeter firewalls for critical/high vulnerabilities.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Implement zero trust segmentation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(dedicated VLANs, microsegmentation, ZTNA).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Document compensating controls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your patch management policy.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Report to senior management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MAS compliance status (quarterly).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If you need a template compensating controls register, firewall rule examples, or a PowerShell script to audit Tier 0 segmentation, I can draft those for your environment.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5" w:name="fn1"/>
    <w:bookmarkEnd w:id="45"/>
    <w:p>
      <w:pPr>
        <w:numPr>
          <w:ilvl w:val="0"/>
          <w:numId w:val="15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https://www.txone.com/blog/what-is-virtual-patching/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6" w:name="fn2"/>
    <w:bookmarkEnd w:id="46"/>
    <w:p>
      <w:pPr>
        <w:numPr>
          <w:ilvl w:val="0"/>
          <w:numId w:val="15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https://www.fortinet.com/resources/cyberglossary/virtual-patching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7" w:name="fn3"/>
    <w:bookmarkEnd w:id="47"/>
    <w:p>
      <w:pPr>
        <w:numPr>
          <w:ilvl w:val="0"/>
          <w:numId w:val="15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https://www.lexology.com/library/detail.aspx?g=be413d7f-ae76-4eeb-ac21-9e9f03929bb4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8" w:name="fn4"/>
    <w:bookmarkEnd w:id="48"/>
    <w:p>
      <w:pPr>
        <w:numPr>
          <w:ilvl w:val="0"/>
          <w:numId w:val="15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https://www.mas.gov.sg/-/media/MAS/Notices/PDF/MAS-Notice-1118.pdf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9" w:name="fn5"/>
    <w:bookmarkEnd w:id="49"/>
    <w:p>
      <w:pPr>
        <w:numPr>
          <w:ilvl w:val="0"/>
          <w:numId w:val="15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https://www.mas.gov.sg/-/media/MAS/Regulations-and-Financial-Stability/Regulatory-and-Supervisory-Framework/Risk-Management/TRM-Guidelines-18-January-2021.pdf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0" w:name="fn6"/>
    <w:bookmarkEnd w:id="50"/>
    <w:p>
      <w:pPr>
        <w:numPr>
          <w:ilvl w:val="0"/>
          <w:numId w:val="15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https://www.scribd.com/document/893246345/Trm-Guidelines-18-January-2021-Dual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1" w:name="fn7"/>
    <w:bookmarkEnd w:id="51"/>
    <w:p>
      <w:pPr>
        <w:numPr>
          <w:ilvl w:val="0"/>
          <w:numId w:val="15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https://www.cisa.gov/sites/default/files/2025-07/ZT-Microsegmentation-Guidance-Part-One_508c.pdf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2" w:name="fn8"/>
    <w:bookmarkEnd w:id="52"/>
    <w:p>
      <w:pPr>
        <w:numPr>
          <w:ilvl w:val="0"/>
          <w:numId w:val="15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https://www.sentinelone.com/cybersecurity-101/cybersecurity/network-segmentation/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3" w:name="fn9"/>
    <w:bookmarkEnd w:id="53"/>
    <w:p>
      <w:pPr>
        <w:numPr>
          <w:ilvl w:val="0"/>
          <w:numId w:val="15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https://www.algosec.com/solutions/zero-trust-vs-micro-segmentation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4" w:name="fn10"/>
    <w:bookmarkEnd w:id="54"/>
    <w:p>
      <w:pPr>
        <w:numPr>
          <w:ilvl w:val="0"/>
          <w:numId w:val="15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https://wjaets.com/sites/default/files/fulltext_pdf/WJAETS-2025-0411.pdf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5" w:name="fn11"/>
    <w:bookmarkEnd w:id="55"/>
    <w:p>
      <w:pPr>
        <w:numPr>
          <w:ilvl w:val="0"/>
          <w:numId w:val="15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https://www.apexacademiapress.com/journals/IJEMI/articles/volume2-issue3/IJEMI_Y2F3A001.pdf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6" w:name="fn12"/>
    <w:bookmarkEnd w:id="56"/>
    <w:p>
      <w:pPr>
        <w:numPr>
          <w:ilvl w:val="0"/>
          <w:numId w:val="15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https://www.manageengine.com/log-management/cyber-security/zero-trust-banking-security.html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7" w:name="fn13"/>
    <w:bookmarkEnd w:id="57"/>
    <w:p>
      <w:pPr>
        <w:numPr>
          <w:ilvl w:val="0"/>
          <w:numId w:val="15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https://www.youtube.com/watch?v=BjDVBWjEOE8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8" w:name="fn14"/>
    <w:bookmarkEnd w:id="58"/>
    <w:p>
      <w:pPr>
        <w:numPr>
          <w:ilvl w:val="0"/>
          <w:numId w:val="15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https://cdn.prod.website-files.com/63e25fb5e66132e6387676dc/641ae5ca71956614b97f95f8_Zero-Trust-Segmentation-in-Banking-and-Financial-Services.pdf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9" w:name="fn15"/>
    <w:bookmarkEnd w:id="59"/>
    <w:p>
      <w:pPr>
        <w:numPr>
          <w:ilvl w:val="0"/>
          <w:numId w:val="15"/>
        </w:numPr>
        <w:spacing w:line="360" w:after="210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https://techcommunity.microsoft.com/blog/coreinfrastructureandsecurityblog/protecting-tier-0-the-modern-way/4052851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0" w:name="fn16"/>
    <w:bookmarkEnd w:id="60"/>
    <w:p>
      <w:pPr>
        <w:numPr>
          <w:ilvl w:val="0"/>
          <w:numId w:val="15"/>
        </w:numPr>
        <w:spacing w:line="360" w:after="210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https://assets.ctfassets.net/6hqdqj4fjyeg/4cYQbf7dZkxyARBg0iJdwY/f35864e44ba2929eb8eedd3ca20163ea/eqst-insight-july-special-report.pdf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1" w:name="fn17"/>
    <w:bookmarkEnd w:id="61"/>
    <w:p>
      <w:pPr>
        <w:numPr>
          <w:ilvl w:val="0"/>
          <w:numId w:val="15"/>
        </w:numPr>
        <w:spacing w:line="360" w:after="210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https://community.ibm.com/community/user/discussion/zero-trust-networking-implementation-for-mas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2" w:name="fn18"/>
    <w:bookmarkEnd w:id="62"/>
    <w:p>
      <w:pPr>
        <w:numPr>
          <w:ilvl w:val="0"/>
          <w:numId w:val="15"/>
        </w:numPr>
        <w:spacing w:line="360" w:after="210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https://media.defense.gov/2024/Mar/05/2003405462/-1/-1/0/CSI-ZERO-TRUST-NETWORK-ENVIRONMENT-PILLAR.PDF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3" w:name="fn19"/>
    <w:bookmarkEnd w:id="63"/>
    <w:p>
      <w:pPr>
        <w:numPr>
          <w:ilvl w:val="0"/>
          <w:numId w:val="15"/>
        </w:numPr>
        <w:spacing w:line="360" w:after="210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https://www.acejournal.org/2025/04/11/zero-trust-network-implementation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4" w:name="fn20"/>
    <w:bookmarkEnd w:id="64"/>
    <w:p>
      <w:pPr>
        <w:numPr>
          <w:ilvl w:val="0"/>
          <w:numId w:val="15"/>
        </w:numPr>
        <w:spacing w:line="360" w:after="210" w:lineRule="auto"/>
      </w:pPr>
      <w:hyperlink r:id="rId2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https://www.pcisecuritystandards.org/wp-content/uploads/2024/09/Day-1_Track-2_8_KSteele_FINAL.pdf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5" w:name="fn21"/>
    <w:bookmarkEnd w:id="65"/>
    <w:p>
      <w:pPr>
        <w:numPr>
          <w:ilvl w:val="0"/>
          <w:numId w:val="15"/>
        </w:numPr>
        <w:spacing w:line="360" w:after="210" w:lineRule="auto"/>
      </w:pPr>
      <w:hyperlink r:id="rId2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https://inventivehq.com/blog/vulnerability-management-patch-prioritization-workflow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6" w:name="fn22"/>
    <w:bookmarkEnd w:id="66"/>
    <w:p>
      <w:pPr>
        <w:numPr>
          <w:ilvl w:val="0"/>
          <w:numId w:val="15"/>
        </w:numPr>
        <w:spacing w:line="360" w:after="210" w:lineRule="auto"/>
      </w:pPr>
      <w:hyperlink r:id="rId2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https://www.titania.com/nipper-omnisight/zero-trust-segmentation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7" w:name="fn23"/>
    <w:bookmarkEnd w:id="67"/>
    <w:p>
      <w:pPr>
        <w:numPr>
          <w:ilvl w:val="0"/>
          <w:numId w:val="15"/>
        </w:numPr>
        <w:spacing w:line="360" w:after="210" w:lineRule="auto"/>
      </w:pPr>
      <w:hyperlink r:id="rId2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https://zeronetworks.com/files/white-papers/ViB-Report-Network-Segmentation-ZT-Architecture.pdf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8" w:name="fn24"/>
    <w:bookmarkEnd w:id="68"/>
    <w:p>
      <w:pPr>
        <w:numPr>
          <w:ilvl w:val="0"/>
          <w:numId w:val="15"/>
        </w:numPr>
        <w:spacing w:line="360" w:after="210" w:lineRule="auto"/>
      </w:pPr>
      <w:hyperlink r:id="rId2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https://www.mas.gov.sg/regulation/notices/notice-fsm-n06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9" w:name="fn25"/>
    <w:bookmarkEnd w:id="69"/>
    <w:p>
      <w:pPr>
        <w:numPr>
          <w:ilvl w:val="0"/>
          <w:numId w:val="15"/>
        </w:numPr>
        <w:spacing w:line="360" w:after="210" w:lineRule="auto"/>
      </w:pPr>
      <w:hyperlink r:id="rId3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https://www.mas.gov.sg/-/media/mas-media-library/regulation/notices/trpd/notice-fsm-n06/mas-notice-fsm-n06.pdf?hash=9742F95798F24787ED44A854C06561B8&amp;sc_lang=en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70" w:name="fn26"/>
    <w:bookmarkEnd w:id="70"/>
    <w:p>
      <w:pPr>
        <w:numPr>
          <w:ilvl w:val="0"/>
          <w:numId w:val="15"/>
        </w:numPr>
        <w:spacing w:line="360" w:after="210" w:lineRule="auto"/>
      </w:pPr>
      <w:hyperlink r:id="rId3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https://www.mas.gov.sg/-/media/mas-media-library/regulation/notices/trpd/notice-fsm-n06/mas-notice-fsm-n06.pdf?sc_lang=en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71" w:name="fn27"/>
    <w:bookmarkEnd w:id="71"/>
    <w:p>
      <w:pPr>
        <w:numPr>
          <w:ilvl w:val="0"/>
          <w:numId w:val="15"/>
        </w:numPr>
        <w:spacing w:line="360" w:after="210" w:lineRule="auto"/>
      </w:pPr>
      <w:hyperlink r:id="rId3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https://www.advisori.de/services/regulatory-compliance-management/dora-digital-operational-resilience-act/dora-network-segmentation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72" w:name="fn28"/>
    <w:bookmarkEnd w:id="72"/>
    <w:p>
      <w:pPr>
        <w:numPr>
          <w:ilvl w:val="0"/>
          <w:numId w:val="15"/>
        </w:numPr>
        <w:spacing w:line="360" w:after="210" w:lineRule="auto"/>
      </w:pPr>
      <w:hyperlink r:id="rId3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https://instasafe.com/docs/Securing Financial Institutions with Zero Trust Security.pdf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73" w:name="fn29"/>
    <w:bookmarkEnd w:id="73"/>
    <w:p>
      <w:pPr>
        <w:numPr>
          <w:ilvl w:val="0"/>
          <w:numId w:val="15"/>
        </w:numPr>
        <w:spacing w:line="360" w:after="210" w:lineRule="auto"/>
      </w:pPr>
      <w:hyperlink r:id="rId3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https://bugni.io/insights/guides/zero-trust-architecture-for-financial-services-guide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74" w:name="fn30"/>
    <w:bookmarkEnd w:id="74"/>
    <w:p>
      <w:pPr>
        <w:numPr>
          <w:ilvl w:val="0"/>
          <w:numId w:val="15"/>
        </w:numPr>
        <w:spacing w:line="360" w:after="210" w:lineRule="auto"/>
      </w:pPr>
      <w:hyperlink r:id="rId3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https://www.mas.gov.sg/regulation/guidelines/technology-risk-management-guidelines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267c97070382132a347310461c088254fd2e452.png" TargetMode="Internal"/><Relationship Id="rId6" Type="http://schemas.openxmlformats.org/officeDocument/2006/relationships/hyperlink" Target="https://www.txone.com/blog/what-is-virtual-patching/" TargetMode="External"/><Relationship Id="rId7" Type="http://schemas.openxmlformats.org/officeDocument/2006/relationships/hyperlink" Target="https://www.fortinet.com/resources/cyberglossary/virtual-patching" TargetMode="External"/><Relationship Id="rId8" Type="http://schemas.openxmlformats.org/officeDocument/2006/relationships/hyperlink" Target="https://www.lexology.com/library/detail.aspx?g=be413d7f-ae76-4eeb-ac21-9e9f03929bb4" TargetMode="External"/><Relationship Id="rId9" Type="http://schemas.openxmlformats.org/officeDocument/2006/relationships/hyperlink" Target="https://www.mas.gov.sg/-/media/MAS/Notices/PDF/MAS-Notice-1118.pdf" TargetMode="External"/><Relationship Id="rId10" Type="http://schemas.openxmlformats.org/officeDocument/2006/relationships/hyperlink" Target="https://www.mas.gov.sg/-/media/MAS/Regulations-and-Financial-Stability/Regulatory-and-Supervisory-Framework/Risk-Management/TRM-Guidelines-18-January-2021.pdf" TargetMode="External"/><Relationship Id="rId11" Type="http://schemas.openxmlformats.org/officeDocument/2006/relationships/hyperlink" Target="https://www.scribd.com/document/893246345/Trm-Guidelines-18-January-2021-Dual" TargetMode="External"/><Relationship Id="rId12" Type="http://schemas.openxmlformats.org/officeDocument/2006/relationships/hyperlink" Target="https://www.cisa.gov/sites/default/files/2025-07/ZT-Microsegmentation-Guidance-Part-One_508c.pdf" TargetMode="External"/><Relationship Id="rId13" Type="http://schemas.openxmlformats.org/officeDocument/2006/relationships/hyperlink" Target="https://www.sentinelone.com/cybersecurity-101/cybersecurity/network-segmentation/" TargetMode="External"/><Relationship Id="rId14" Type="http://schemas.openxmlformats.org/officeDocument/2006/relationships/hyperlink" Target="https://www.algosec.com/solutions/zero-trust-vs-micro-segmentation" TargetMode="External"/><Relationship Id="rId15" Type="http://schemas.openxmlformats.org/officeDocument/2006/relationships/hyperlink" Target="https://wjaets.com/sites/default/files/fulltext_pdf/WJAETS-2025-0411.pdf" TargetMode="External"/><Relationship Id="rId16" Type="http://schemas.openxmlformats.org/officeDocument/2006/relationships/hyperlink" Target="https://www.apexacademiapress.com/journals/IJEMI/articles/volume2-issue3/IJEMI_Y2F3A001.pdf" TargetMode="External"/><Relationship Id="rId17" Type="http://schemas.openxmlformats.org/officeDocument/2006/relationships/hyperlink" Target="https://www.manageengine.com/log-management/cyber-security/zero-trust-banking-security.html" TargetMode="External"/><Relationship Id="rId18" Type="http://schemas.openxmlformats.org/officeDocument/2006/relationships/hyperlink" Target="https://www.youtube.com/watch?v=BjDVBWjEOE8" TargetMode="External"/><Relationship Id="rId19" Type="http://schemas.openxmlformats.org/officeDocument/2006/relationships/hyperlink" Target="https://cdn.prod.website-files.com/63e25fb5e66132e6387676dc/641ae5ca71956614b97f95f8_Zero-Trust-Segmentation-in-Banking-and-Financial-Services.pdf" TargetMode="External"/><Relationship Id="rId20" Type="http://schemas.openxmlformats.org/officeDocument/2006/relationships/hyperlink" Target="https://techcommunity.microsoft.com/blog/coreinfrastructureandsecurityblog/protecting-tier-0-the-modern-way/4052851" TargetMode="External"/><Relationship Id="rId21" Type="http://schemas.openxmlformats.org/officeDocument/2006/relationships/hyperlink" Target="https://assets.ctfassets.net/6hqdqj4fjyeg/4cYQbf7dZkxyARBg0iJdwY/f35864e44ba2929eb8eedd3ca20163ea/eqst-insight-july-special-report.pdf" TargetMode="External"/><Relationship Id="rId22" Type="http://schemas.openxmlformats.org/officeDocument/2006/relationships/hyperlink" Target="https://community.ibm.com/community/user/discussion/zero-trust-networking-implementation-for-mas" TargetMode="External"/><Relationship Id="rId23" Type="http://schemas.openxmlformats.org/officeDocument/2006/relationships/hyperlink" Target="https://media.defense.gov/2024/Mar/05/2003405462/-1/-1/0/CSI-ZERO-TRUST-NETWORK-ENVIRONMENT-PILLAR.PDF" TargetMode="External"/><Relationship Id="rId24" Type="http://schemas.openxmlformats.org/officeDocument/2006/relationships/hyperlink" Target="https://www.acejournal.org/2025/04/11/zero-trust-network-implementation" TargetMode="External"/><Relationship Id="rId25" Type="http://schemas.openxmlformats.org/officeDocument/2006/relationships/hyperlink" Target="https://www.pcisecuritystandards.org/wp-content/uploads/2024/09/Day-1_Track-2_8_KSteele_FINAL.pdf" TargetMode="External"/><Relationship Id="rId26" Type="http://schemas.openxmlformats.org/officeDocument/2006/relationships/hyperlink" Target="https://inventivehq.com/blog/vulnerability-management-patch-prioritization-workflow" TargetMode="External"/><Relationship Id="rId27" Type="http://schemas.openxmlformats.org/officeDocument/2006/relationships/hyperlink" Target="https://www.titania.com/nipper-omnisight/zero-trust-segmentation" TargetMode="External"/><Relationship Id="rId28" Type="http://schemas.openxmlformats.org/officeDocument/2006/relationships/hyperlink" Target="https://zeronetworks.com/files/white-papers/ViB-Report-Network-Segmentation-ZT-Architecture.pdf" TargetMode="External"/><Relationship Id="rId29" Type="http://schemas.openxmlformats.org/officeDocument/2006/relationships/hyperlink" Target="https://www.mas.gov.sg/regulation/notices/notice-fsm-n06" TargetMode="External"/><Relationship Id="rId30" Type="http://schemas.openxmlformats.org/officeDocument/2006/relationships/hyperlink" Target="https://www.mas.gov.sg/-/media/mas-media-library/regulation/notices/trpd/notice-fsm-n06/mas-notice-fsm-n06.pdf?hash=9742F95798F24787ED44A854C06561B8&amp;sc_lang=en" TargetMode="External"/><Relationship Id="rId31" Type="http://schemas.openxmlformats.org/officeDocument/2006/relationships/hyperlink" Target="https://www.mas.gov.sg/-/media/mas-media-library/regulation/notices/trpd/notice-fsm-n06/mas-notice-fsm-n06.pdf?sc_lang=en" TargetMode="External"/><Relationship Id="rId32" Type="http://schemas.openxmlformats.org/officeDocument/2006/relationships/hyperlink" Target="https://www.advisori.de/services/regulatory-compliance-management/dora-digital-operational-resilience-act/dora-network-segmentation" TargetMode="External"/><Relationship Id="rId33" Type="http://schemas.openxmlformats.org/officeDocument/2006/relationships/hyperlink" Target="https://instasafe.com/docs/Securing%20Financial%20Institutions%20with%20Zero%20Trust%20Security.pdf" TargetMode="External"/><Relationship Id="rId34" Type="http://schemas.openxmlformats.org/officeDocument/2006/relationships/hyperlink" Target="https://bugni.io/insights/guides/zero-trust-architecture-for-financial-services-guide" TargetMode="External"/><Relationship Id="rId35" Type="http://schemas.openxmlformats.org/officeDocument/2006/relationships/hyperlink" Target="https://www.mas.gov.sg/regulation/guidelines/technology-risk-management-guideline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2026-07-11T10:02:31.729Z</dcterms:created>
  <dcterms:modified xsi:type="dcterms:W3CDTF">2026-07-11T10:02:31.729Z</dcterms:modified>
</cp:coreProperties>
</file>