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source serif 4" w:cs="source serif 4" w:ascii="source serif 4" w:hAnsi="source serif 4"/>
          <w:color w:val="000000"/>
        </w:rPr>
        <w:drawing>
          <wp:inline distB="0" distL="0" distR="0" distT="0">
            <wp:extent cx="2420112" cy="609600"/>
            <wp:effectExtent b="0" l="0" r="0" t="0"/>
            <wp:docPr id="1" name="image-6e51c46475c98d0344893ee0de01dfe573b5660a.png"/>
            <a:graphic>
              <a:graphicData uri="http://schemas.openxmlformats.org/drawingml/2006/picture">
                <pic:pic>
                  <pic:nvPicPr>
                    <pic:cNvPr id="1" name="image-6e51c46475c98d0344893ee0de01dfe573b5660a.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please_generate_the_full_12_15_sl_12f25c"/>
      <w:r>
        <w:rPr>
          <w:rFonts w:eastAsia="source serif 4" w:cs="source serif 4" w:ascii="source serif 4" w:hAnsi="source serif 4"/>
          <w:b/>
          <w:color w:val="000000"/>
          <w:sz w:val="39"/>
        </w:rPr>
        <w:t xml:space="preserve">Please generate the full 12-15 slide deck content for me now</w:t>
      </w:r>
      <w:bookmarkEnd w:id="0"/>
    </w:p>
    <w:p>
      <w:pPr>
        <w:spacing w:line="360" w:after="210" w:lineRule="auto"/>
      </w:pPr>
      <w:r>
        <w:rPr>
          <w:rFonts w:eastAsia="source serif 4" w:cs="source serif 4" w:ascii="source serif 4" w:hAnsi="source serif 4"/>
          <w:color w:val="000000"/>
        </w:rPr>
        <w:t xml:space="preserve">Absolutely — here is the full </w:t>
      </w:r>
      <w:r>
        <w:rPr>
          <w:rFonts w:eastAsia="source serif 4" w:cs="source serif 4" w:ascii="source serif 4" w:hAnsi="source serif 4"/>
          <w:b/>
          <w:color w:val="000000"/>
        </w:rPr>
        <w:t xml:space="preserve">15-slide deck content</w:t>
      </w:r>
      <w:r>
        <w:rPr>
          <w:rFonts w:eastAsia="source serif 4" w:cs="source serif 4" w:ascii="source serif 4" w:hAnsi="source serif 4"/>
          <w:color w:val="000000"/>
        </w:rPr>
        <w:t xml:space="preserve"> written in presentation-ready format. I’ve structured it for an executive and architecture audience, with enough depth for a banking or enterprise infrastructure review. Datadog list pricing is published by product and unit, while Azure Monitor’s Observability Agent is consumption-based in Azure Copilot Units and began billing on July 1, 2026.</w:t>
      </w:r>
      <w:bookmarkStart w:id="1" w:name="fnref1"/>
      <w:bookmarkEnd w:id="1"/>
      <w:hyperlink w:anchor="fn1">
        <w:r>
          <w:rPr>
            <w:rFonts w:eastAsia="source sans 3" w:cs="source sans 3" w:ascii="source sans 3" w:hAnsi="source sans 3"/>
            <w:color w:val="#000"/>
            <w:u w:val="single"/>
            <w:vertAlign w:val="superscript"/>
          </w:rPr>
          <w:t xml:space="preserve">[1]</w:t>
        </w:r>
      </w:hyperlink>
      <w:bookmarkStart w:id="2" w:name="fnref2"/>
      <w:bookmarkEnd w:id="2"/>
      <w:hyperlink w:anchor="fn2">
        <w:r>
          <w:rPr>
            <w:rFonts w:eastAsia="source sans 3" w:cs="source sans 3" w:ascii="source sans 3" w:hAnsi="source sans 3"/>
            <w:color w:val="#000"/>
            <w:u w:val="single"/>
            <w:vertAlign w:val="superscript"/>
          </w:rPr>
          <w:t xml:space="preserve">[2]</w:t>
        </w:r>
      </w:hyperlink>
    </w:p>
    <w:p>
      <w:pPr>
        <w:spacing w:line="360" w:before="315" w:after="105" w:lineRule="auto"/>
        <w:ind w:left="-30"/>
        <w:jc w:val="left"/>
      </w:pPr>
      <w:bookmarkStart w:id="3" w:name="slide_1_title"/>
      <w:r>
        <w:rPr>
          <w:rFonts w:eastAsia="source serif 4" w:cs="source serif 4" w:ascii="source serif 4" w:hAnsi="source serif 4"/>
          <w:b/>
          <w:color w:val="000000"/>
          <w:sz w:val="24"/>
        </w:rPr>
        <w:t xml:space="preserve">Slide 1 — Title</w:t>
      </w:r>
      <w:bookmarkEnd w:id="3"/>
    </w:p>
    <w:p>
      <w:pPr>
        <w:spacing w:line="360" w:after="210" w:lineRule="auto"/>
      </w:pPr>
      <w:r>
        <w:rPr>
          <w:rFonts w:eastAsia="source serif 4" w:cs="source serif 4" w:ascii="source serif 4" w:hAnsi="source serif 4"/>
          <w:b/>
          <w:color w:val="000000"/>
        </w:rPr>
        <w:t xml:space="preserve">AIOps Integration Strategy for Existing Monitoring and Logging Tools</w:t>
      </w:r>
    </w:p>
    <w:p>
      <w:pPr>
        <w:spacing w:line="360" w:after="210" w:lineRule="auto"/>
      </w:pPr>
      <w:r>
        <w:rPr>
          <w:rFonts w:eastAsia="source serif 4" w:cs="source serif 4" w:ascii="source serif 4" w:hAnsi="source serif 4"/>
          <w:b/>
          <w:color w:val="000000"/>
        </w:rPr>
        <w:t xml:space="preserve">Subtitle: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Unifying enterprise observability across on-prem, cloud, and hybrid operations</w:t>
      </w:r>
    </w:p>
    <w:p>
      <w:pPr>
        <w:spacing w:line="360" w:after="210" w:lineRule="auto"/>
      </w:pPr>
      <w:r>
        <w:rPr>
          <w:rFonts w:eastAsia="source serif 4" w:cs="source serif 4" w:ascii="source serif 4" w:hAnsi="source serif 4"/>
          <w:b/>
          <w:color w:val="000000"/>
        </w:rPr>
        <w:t xml:space="preserve">Presenter line: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Enterprise AIOps assessment for monitoring, logging, correlation, and AI-assisted operations</w:t>
      </w:r>
    </w:p>
    <w:p>
      <w:pPr>
        <w:spacing w:line="360" w:after="210" w:lineRule="auto"/>
      </w:pPr>
      <w:r>
        <w:rPr>
          <w:rFonts w:eastAsia="source serif 4" w:cs="source serif 4" w:ascii="source serif 4" w:hAnsi="source serif 4"/>
          <w:b/>
          <w:color w:val="000000"/>
        </w:rPr>
        <w:t xml:space="preserve">Key message: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goal is not to replace every existing tool immediately, but to introduce an AIOps layer that can ingest alerts, logs, metrics, and events from the current estate and improve triage, root-cause analysis, and operational efficiency.</w:t>
      </w:r>
      <w:bookmarkStart w:id="4" w:name="fnref2_1"/>
      <w:bookmarkEnd w:id="4"/>
      <w:hyperlink w:anchor="fn2">
        <w:r>
          <w:rPr>
            <w:rFonts w:eastAsia="source sans 3" w:cs="source sans 3" w:ascii="source sans 3" w:hAnsi="source sans 3"/>
            <w:color w:val="#000"/>
            <w:u w:val="single"/>
            <w:vertAlign w:val="superscript"/>
          </w:rPr>
          <w:t xml:space="preserve">[2]</w:t>
        </w:r>
      </w:hyperlink>
      <w:bookmarkStart w:id="5" w:name="fnref1_1"/>
      <w:bookmarkEnd w:id="5"/>
      <w:hyperlink w:anchor="fn1">
        <w:r>
          <w:rPr>
            <w:rFonts w:eastAsia="source sans 3" w:cs="source sans 3" w:ascii="source sans 3" w:hAnsi="source sans 3"/>
            <w:color w:val="#000"/>
            <w:u w:val="single"/>
            <w:vertAlign w:val="superscript"/>
          </w:rPr>
          <w:t xml:space="preserve">[1]</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 w:name="slide_2_executive_summary"/>
      <w:r>
        <w:rPr>
          <w:rFonts w:eastAsia="source serif 4" w:cs="source serif 4" w:ascii="source serif 4" w:hAnsi="source serif 4"/>
          <w:b/>
          <w:color w:val="000000"/>
          <w:sz w:val="24"/>
        </w:rPr>
        <w:t xml:space="preserve">Slide 2 — Executive Summary</w:t>
      </w:r>
      <w:bookmarkEnd w:id="6"/>
    </w:p>
    <w:p>
      <w:pPr>
        <w:spacing w:line="360" w:after="210" w:lineRule="auto"/>
      </w:pPr>
      <w:r>
        <w:rPr>
          <w:rFonts w:eastAsia="source serif 4" w:cs="source serif 4" w:ascii="source serif 4" w:hAnsi="source serif 4"/>
          <w:b/>
          <w:color w:val="000000"/>
        </w:rPr>
        <w:t xml:space="preserve">Headline: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AIOps should sit above the existing monitoring stack, not beside it</w:t>
      </w:r>
    </w:p>
    <w:p>
      <w:pPr>
        <w:spacing w:line="360" w:after="210" w:lineRule="auto"/>
      </w:pPr>
      <w:r>
        <w:rPr>
          <w:rFonts w:eastAsia="source serif 4" w:cs="source serif 4" w:ascii="source serif 4" w:hAnsi="source serif 4"/>
          <w:b/>
          <w:color w:val="000000"/>
        </w:rPr>
        <w:t xml:space="preserve">Content:</w:t>
      </w:r>
    </w:p>
    <w:p>
      <w:pPr>
        <w:numPr>
          <w:ilvl w:val="0"/>
          <w:numId w:val="1"/>
        </w:numPr>
        <w:spacing w:line="360" w:before="105" w:after="105" w:lineRule="auto"/>
      </w:pPr>
      <w:r>
        <w:rPr>
          <w:rFonts w:eastAsia="source serif 4" w:cs="source serif 4" w:ascii="source serif 4" w:hAnsi="source serif 4"/>
          <w:color w:val="000000"/>
          <w:sz w:val="21"/>
        </w:rPr>
        <w:t xml:space="preserve">The current observability estate already covers infrastructure, applications, cloud resources, and log collection, but the data is fragmented across multiple consoles and operational workflows.</w:t>
      </w:r>
    </w:p>
    <w:p>
      <w:pPr>
        <w:numPr>
          <w:ilvl w:val="0"/>
          <w:numId w:val="1"/>
        </w:numPr>
        <w:spacing w:line="360" w:before="105" w:after="105" w:lineRule="auto"/>
      </w:pPr>
      <w:r>
        <w:rPr>
          <w:rFonts w:eastAsia="source serif 4" w:cs="source serif 4" w:ascii="source serif 4" w:hAnsi="source serif 4"/>
          <w:color w:val="000000"/>
          <w:sz w:val="21"/>
        </w:rPr>
        <w:t xml:space="preserve">An AIOps platform can reduce noise by correlating events, linking telemetry across sources, and generating faster diagnostics for operations teams.</w:t>
      </w:r>
    </w:p>
    <w:p>
      <w:pPr>
        <w:numPr>
          <w:ilvl w:val="0"/>
          <w:numId w:val="1"/>
        </w:numPr>
        <w:spacing w:line="360" w:before="105" w:after="105" w:lineRule="auto"/>
      </w:pPr>
      <w:r>
        <w:rPr>
          <w:rFonts w:eastAsia="source serif 4" w:cs="source serif 4" w:ascii="source serif 4" w:hAnsi="source serif 4"/>
          <w:color w:val="000000"/>
          <w:sz w:val="21"/>
        </w:rPr>
        <w:t xml:space="preserve">The best-fit platform depends heavily on deployment model: Azure-native environments benefit most from Azure Monitor plus the Observability Agent, while broader hybrid estates may benefit from Datadog or an enterprise AIOps overlay such as IBM watsonx AIOps.</w:t>
      </w:r>
      <w:bookmarkStart w:id="7" w:name="fnref1_2"/>
      <w:bookmarkEnd w:id="7"/>
      <w:hyperlink w:anchor="fn1">
        <w:r>
          <w:rPr>
            <w:rFonts w:eastAsia="source sans 3" w:cs="source sans 3" w:ascii="source sans 3" w:hAnsi="source sans 3"/>
            <w:color w:val="#000"/>
            <w:sz w:val="21"/>
            <w:u w:val="single"/>
            <w:vertAlign w:val="superscript"/>
          </w:rPr>
          <w:t xml:space="preserve">[1]</w:t>
        </w:r>
      </w:hyperlink>
      <w:bookmarkStart w:id="8" w:name="fnref2_2"/>
      <w:bookmarkEnd w:id="8"/>
      <w:hyperlink w:anchor="fn2">
        <w:r>
          <w:rPr>
            <w:rFonts w:eastAsia="source sans 3" w:cs="source sans 3" w:ascii="source sans 3" w:hAnsi="source sans 3"/>
            <w:color w:val="#000"/>
            <w:sz w:val="21"/>
            <w:u w:val="single"/>
            <w:vertAlign w:val="superscript"/>
          </w:rPr>
          <w:t xml:space="preserve">[2]</w:t>
        </w:r>
      </w:hyperlink>
    </w:p>
    <w:p>
      <w:pPr>
        <w:numPr>
          <w:ilvl w:val="0"/>
          <w:numId w:val="1"/>
        </w:numPr>
        <w:spacing w:line="360" w:before="105" w:after="105" w:lineRule="auto"/>
      </w:pPr>
      <w:r>
        <w:rPr>
          <w:rFonts w:eastAsia="source serif 4" w:cs="source serif 4" w:ascii="source serif 4" w:hAnsi="source serif 4"/>
          <w:color w:val="000000"/>
          <w:sz w:val="21"/>
        </w:rPr>
        <w:t xml:space="preserve">Cost must be evaluated across several dimensions: platform licensing, telemetry ingestion, retention, AI analysis usage, and implementation effort. Datadog pricing is modular and multi-line-item, while Azure’s Observability Agent is billed by AI consumption in ACUs.</w:t>
      </w:r>
      <w:bookmarkStart w:id="9" w:name="fnref2_3"/>
      <w:bookmarkEnd w:id="9"/>
      <w:hyperlink w:anchor="fn2">
        <w:r>
          <w:rPr>
            <w:rFonts w:eastAsia="source sans 3" w:cs="source sans 3" w:ascii="source sans 3" w:hAnsi="source sans 3"/>
            <w:color w:val="#000"/>
            <w:sz w:val="21"/>
            <w:u w:val="single"/>
            <w:vertAlign w:val="superscript"/>
          </w:rPr>
          <w:t xml:space="preserve">[2]</w:t>
        </w:r>
      </w:hyperlink>
      <w:bookmarkStart w:id="10" w:name="fnref1_3"/>
      <w:bookmarkEnd w:id="10"/>
      <w:hyperlink w:anchor="fn1">
        <w:r>
          <w:rPr>
            <w:rFonts w:eastAsia="source sans 3" w:cs="source sans 3" w:ascii="source sans 3" w:hAnsi="source sans 3"/>
            <w:color w:val="#000"/>
            <w:sz w:val="21"/>
            <w:u w:val="single"/>
            <w:vertAlign w:val="superscript"/>
          </w:rPr>
          <w:t xml:space="preserve">[1]</w:t>
        </w:r>
      </w:hyperlink>
    </w:p>
    <w:p>
      <w:pPr>
        <w:spacing w:line="360" w:after="210" w:lineRule="auto"/>
      </w:pPr>
      <w:r>
        <w:rPr>
          <w:rFonts w:eastAsia="source serif 4" w:cs="source serif 4" w:ascii="source serif 4" w:hAnsi="source serif 4"/>
          <w:b/>
          <w:color w:val="000000"/>
        </w:rPr>
        <w:t xml:space="preserve">Speaker note: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Position AIOps as a control and intelligence layer over the existing tooling landscape.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 w:name="slide_3_current_monitoring_and_lo_7caf50"/>
      <w:r>
        <w:rPr>
          <w:rFonts w:eastAsia="source serif 4" w:cs="source serif 4" w:ascii="source serif 4" w:hAnsi="source serif 4"/>
          <w:b/>
          <w:color w:val="000000"/>
          <w:sz w:val="24"/>
        </w:rPr>
        <w:t xml:space="preserve">Slide 3 — Current Monitoring and Logging Landscape</w:t>
      </w:r>
      <w:bookmarkEnd w:id="11"/>
    </w:p>
    <w:p>
      <w:pPr>
        <w:spacing w:line="360" w:after="210" w:lineRule="auto"/>
      </w:pPr>
      <w:r>
        <w:rPr>
          <w:rFonts w:eastAsia="source serif 4" w:cs="source serif 4" w:ascii="source serif 4" w:hAnsi="source serif 4"/>
          <w:b/>
          <w:color w:val="000000"/>
        </w:rPr>
        <w:t xml:space="preserve">Headline: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current environment is functionally rich but operationally fragmented</w:t>
      </w:r>
    </w:p>
    <w:p>
      <w:pPr>
        <w:spacing w:line="360" w:after="210" w:lineRule="auto"/>
      </w:pPr>
      <w:r>
        <w:rPr>
          <w:rFonts w:eastAsia="source serif 4" w:cs="source serif 4" w:ascii="source serif 4" w:hAnsi="source serif 4"/>
          <w:b/>
          <w:color w:val="000000"/>
        </w:rPr>
        <w:t xml:space="preserve">Content:</w:t>
      </w:r>
    </w:p>
    <w:p>
      <w:pPr>
        <w:spacing w:line="360" w:after="210" w:lineRule="auto"/>
      </w:pPr>
      <w:r>
        <w:rPr>
          <w:rFonts w:eastAsia="source serif 4" w:cs="source serif 4" w:ascii="source serif 4" w:hAnsi="source serif 4"/>
          <w:b/>
          <w:color w:val="000000"/>
        </w:rPr>
        <w:t xml:space="preserve">Existing monitoring tools</w:t>
      </w:r>
    </w:p>
    <w:p>
      <w:pPr>
        <w:numPr>
          <w:ilvl w:val="0"/>
          <w:numId w:val="2"/>
        </w:numPr>
        <w:spacing w:line="360" w:before="105" w:after="105" w:lineRule="auto"/>
      </w:pPr>
      <w:r>
        <w:rPr>
          <w:rFonts w:eastAsia="source serif 4" w:cs="source serif 4" w:ascii="source serif 4" w:hAnsi="source serif 4"/>
          <w:color w:val="000000"/>
          <w:sz w:val="21"/>
        </w:rPr>
        <w:t xml:space="preserve">SolarWinds</w:t>
      </w:r>
    </w:p>
    <w:p>
      <w:pPr>
        <w:numPr>
          <w:ilvl w:val="0"/>
          <w:numId w:val="2"/>
        </w:numPr>
        <w:spacing w:line="360" w:before="105" w:after="105" w:lineRule="auto"/>
      </w:pPr>
      <w:r>
        <w:rPr>
          <w:rFonts w:eastAsia="source serif 4" w:cs="source serif 4" w:ascii="source serif 4" w:hAnsi="source serif 4"/>
          <w:color w:val="000000"/>
          <w:sz w:val="21"/>
        </w:rPr>
        <w:t xml:space="preserve">Oracle Enterprise Manager</w:t>
      </w:r>
    </w:p>
    <w:p>
      <w:pPr>
        <w:numPr>
          <w:ilvl w:val="0"/>
          <w:numId w:val="2"/>
        </w:numPr>
        <w:spacing w:line="360" w:before="105" w:after="105" w:lineRule="auto"/>
      </w:pPr>
      <w:r>
        <w:rPr>
          <w:rFonts w:eastAsia="source serif 4" w:cs="source serif 4" w:ascii="source serif 4" w:hAnsi="source serif 4"/>
          <w:color w:val="000000"/>
          <w:sz w:val="21"/>
        </w:rPr>
        <w:t xml:space="preserve">Prometheus</w:t>
      </w:r>
    </w:p>
    <w:p>
      <w:pPr>
        <w:numPr>
          <w:ilvl w:val="0"/>
          <w:numId w:val="2"/>
        </w:numPr>
        <w:spacing w:line="360" w:before="105" w:after="105" w:lineRule="auto"/>
      </w:pPr>
      <w:r>
        <w:rPr>
          <w:rFonts w:eastAsia="source serif 4" w:cs="source serif 4" w:ascii="source serif 4" w:hAnsi="source serif 4"/>
          <w:color w:val="000000"/>
          <w:sz w:val="21"/>
        </w:rPr>
        <w:t xml:space="preserve">Grafana</w:t>
      </w:r>
    </w:p>
    <w:p>
      <w:pPr>
        <w:numPr>
          <w:ilvl w:val="0"/>
          <w:numId w:val="2"/>
        </w:numPr>
        <w:spacing w:line="360" w:before="105" w:after="105" w:lineRule="auto"/>
      </w:pPr>
      <w:r>
        <w:rPr>
          <w:rFonts w:eastAsia="source serif 4" w:cs="source serif 4" w:ascii="source serif 4" w:hAnsi="source serif 4"/>
          <w:color w:val="000000"/>
          <w:sz w:val="21"/>
        </w:rPr>
        <w:t xml:space="preserve">Azure Monitor</w:t>
      </w:r>
    </w:p>
    <w:p>
      <w:pPr>
        <w:numPr>
          <w:ilvl w:val="0"/>
          <w:numId w:val="2"/>
        </w:numPr>
        <w:spacing w:line="360" w:before="105" w:after="105" w:lineRule="auto"/>
      </w:pPr>
      <w:r>
        <w:rPr>
          <w:rFonts w:eastAsia="source serif 4" w:cs="source serif 4" w:ascii="source serif 4" w:hAnsi="source serif 4"/>
          <w:color w:val="000000"/>
          <w:sz w:val="21"/>
        </w:rPr>
        <w:t xml:space="preserve">IBM Instana</w:t>
      </w:r>
    </w:p>
    <w:p>
      <w:pPr>
        <w:spacing w:line="360" w:after="210" w:lineRule="auto"/>
      </w:pPr>
      <w:r>
        <w:rPr>
          <w:rFonts w:eastAsia="source serif 4" w:cs="source serif 4" w:ascii="source serif 4" w:hAnsi="source serif 4"/>
          <w:b/>
          <w:color w:val="000000"/>
        </w:rPr>
        <w:t xml:space="preserve">Existing log systems</w:t>
      </w:r>
    </w:p>
    <w:p>
      <w:pPr>
        <w:numPr>
          <w:ilvl w:val="0"/>
          <w:numId w:val="3"/>
        </w:numPr>
        <w:spacing w:line="360" w:before="105" w:after="105" w:lineRule="auto"/>
      </w:pPr>
      <w:r>
        <w:rPr>
          <w:rFonts w:eastAsia="source serif 4" w:cs="source serif 4" w:ascii="source serif 4" w:hAnsi="source serif 4"/>
          <w:color w:val="000000"/>
          <w:sz w:val="21"/>
        </w:rPr>
        <w:t xml:space="preserve">Splunk</w:t>
      </w:r>
    </w:p>
    <w:p>
      <w:pPr>
        <w:numPr>
          <w:ilvl w:val="0"/>
          <w:numId w:val="3"/>
        </w:numPr>
        <w:spacing w:line="360" w:before="105" w:after="105" w:lineRule="auto"/>
      </w:pPr>
      <w:r>
        <w:rPr>
          <w:rFonts w:eastAsia="source serif 4" w:cs="source serif 4" w:ascii="source serif 4" w:hAnsi="source serif 4"/>
          <w:color w:val="000000"/>
          <w:sz w:val="21"/>
        </w:rPr>
        <w:t xml:space="preserve">Log Analytics Workspace</w:t>
      </w:r>
    </w:p>
    <w:p>
      <w:pPr>
        <w:numPr>
          <w:ilvl w:val="0"/>
          <w:numId w:val="3"/>
        </w:numPr>
        <w:spacing w:line="360" w:before="105" w:after="105" w:lineRule="auto"/>
      </w:pPr>
      <w:r>
        <w:rPr>
          <w:rFonts w:eastAsia="source serif 4" w:cs="source serif 4" w:ascii="source serif 4" w:hAnsi="source serif 4"/>
          <w:color w:val="000000"/>
          <w:sz w:val="21"/>
        </w:rPr>
        <w:t xml:space="preserve">Syslog</w:t>
      </w:r>
    </w:p>
    <w:p>
      <w:pPr>
        <w:spacing w:line="360" w:after="210" w:lineRule="auto"/>
      </w:pPr>
      <w:r>
        <w:rPr>
          <w:rFonts w:eastAsia="source serif 4" w:cs="source serif 4" w:ascii="source serif 4" w:hAnsi="source serif 4"/>
          <w:b/>
          <w:color w:val="000000"/>
        </w:rPr>
        <w:t xml:space="preserve">Implications:</w:t>
      </w:r>
    </w:p>
    <w:p>
      <w:pPr>
        <w:numPr>
          <w:ilvl w:val="0"/>
          <w:numId w:val="4"/>
        </w:numPr>
        <w:spacing w:line="360" w:before="105" w:after="105" w:lineRule="auto"/>
      </w:pPr>
      <w:r>
        <w:rPr>
          <w:rFonts w:eastAsia="source serif 4" w:cs="source serif 4" w:ascii="source serif 4" w:hAnsi="source serif 4"/>
          <w:color w:val="000000"/>
          <w:sz w:val="21"/>
        </w:rPr>
        <w:t xml:space="preserve">Different tools specialize in different telemetry domains: infrastructure, databases, applications, cloud-native workloads, and logs.</w:t>
      </w:r>
    </w:p>
    <w:p>
      <w:pPr>
        <w:numPr>
          <w:ilvl w:val="0"/>
          <w:numId w:val="4"/>
        </w:numPr>
        <w:spacing w:line="360" w:before="105" w:after="105" w:lineRule="auto"/>
      </w:pPr>
      <w:r>
        <w:rPr>
          <w:rFonts w:eastAsia="source serif 4" w:cs="source serif 4" w:ascii="source serif 4" w:hAnsi="source serif 4"/>
          <w:color w:val="000000"/>
          <w:sz w:val="21"/>
        </w:rPr>
        <w:t xml:space="preserve">Operators must switch consoles to correlate a single incident across server health, application performance, and log evidence.</w:t>
      </w:r>
    </w:p>
    <w:p>
      <w:pPr>
        <w:numPr>
          <w:ilvl w:val="0"/>
          <w:numId w:val="4"/>
        </w:numPr>
        <w:spacing w:line="360" w:before="105" w:after="105" w:lineRule="auto"/>
      </w:pPr>
      <w:r>
        <w:rPr>
          <w:rFonts w:eastAsia="source serif 4" w:cs="source serif 4" w:ascii="source serif 4" w:hAnsi="source serif 4"/>
          <w:color w:val="000000"/>
          <w:sz w:val="21"/>
        </w:rPr>
        <w:t xml:space="preserve">This creates slower triage, inconsistent escalation, and alert duplication across teams.</w:t>
      </w:r>
    </w:p>
    <w:p>
      <w:pPr>
        <w:spacing w:line="360" w:after="210" w:lineRule="auto"/>
      </w:pPr>
      <w:r>
        <w:rPr>
          <w:rFonts w:eastAsia="source serif 4" w:cs="source serif 4" w:ascii="source serif 4" w:hAnsi="source serif 4"/>
          <w:b/>
          <w:color w:val="000000"/>
        </w:rPr>
        <w:t xml:space="preserve">Speaker note: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This slide should visually show multiple signal sources flowing into a future AIOps correlation layer.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 w:name="slide_4_business_and_technical_pa_cb0635"/>
      <w:r>
        <w:rPr>
          <w:rFonts w:eastAsia="source serif 4" w:cs="source serif 4" w:ascii="source serif 4" w:hAnsi="source serif 4"/>
          <w:b/>
          <w:color w:val="000000"/>
          <w:sz w:val="24"/>
        </w:rPr>
        <w:t xml:space="preserve">Slide 4 — Business and Technical Pain Points</w:t>
      </w:r>
      <w:bookmarkEnd w:id="12"/>
    </w:p>
    <w:p>
      <w:pPr>
        <w:spacing w:line="360" w:after="210" w:lineRule="auto"/>
      </w:pPr>
      <w:r>
        <w:rPr>
          <w:rFonts w:eastAsia="source serif 4" w:cs="source serif 4" w:ascii="source serif 4" w:hAnsi="source serif 4"/>
          <w:b/>
          <w:color w:val="000000"/>
        </w:rPr>
        <w:t xml:space="preserve">Headline: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key challenge is not data collection; it is cross-tool intelligence</w:t>
      </w:r>
    </w:p>
    <w:p>
      <w:pPr>
        <w:spacing w:line="360" w:after="210" w:lineRule="auto"/>
      </w:pPr>
      <w:r>
        <w:rPr>
          <w:rFonts w:eastAsia="source serif 4" w:cs="source serif 4" w:ascii="source serif 4" w:hAnsi="source serif 4"/>
          <w:b/>
          <w:color w:val="000000"/>
        </w:rPr>
        <w:t xml:space="preserve">Content:</w:t>
      </w:r>
    </w:p>
    <w:p>
      <w:pPr>
        <w:numPr>
          <w:ilvl w:val="0"/>
          <w:numId w:val="5"/>
        </w:numPr>
        <w:spacing w:line="360" w:before="105" w:after="105" w:lineRule="auto"/>
      </w:pPr>
      <w:r>
        <w:rPr>
          <w:rFonts w:eastAsia="source serif 4" w:cs="source serif 4" w:ascii="source serif 4" w:hAnsi="source serif 4"/>
          <w:color w:val="000000"/>
          <w:sz w:val="21"/>
        </w:rPr>
        <w:t xml:space="preserve">Alerts are generated in separate systems without a common incident context.</w:t>
      </w:r>
    </w:p>
    <w:p>
      <w:pPr>
        <w:numPr>
          <w:ilvl w:val="0"/>
          <w:numId w:val="5"/>
        </w:numPr>
        <w:spacing w:line="360" w:before="105" w:after="105" w:lineRule="auto"/>
      </w:pPr>
      <w:r>
        <w:rPr>
          <w:rFonts w:eastAsia="source serif 4" w:cs="source serif 4" w:ascii="source serif 4" w:hAnsi="source serif 4"/>
          <w:color w:val="000000"/>
          <w:sz w:val="21"/>
        </w:rPr>
        <w:t xml:space="preserve">Logs, metrics, traces, and infrastructure events are reviewed in different places, often manually.</w:t>
      </w:r>
    </w:p>
    <w:p>
      <w:pPr>
        <w:numPr>
          <w:ilvl w:val="0"/>
          <w:numId w:val="5"/>
        </w:numPr>
        <w:spacing w:line="360" w:before="105" w:after="105" w:lineRule="auto"/>
      </w:pPr>
      <w:r>
        <w:rPr>
          <w:rFonts w:eastAsia="source serif 4" w:cs="source serif 4" w:ascii="source serif 4" w:hAnsi="source serif 4"/>
          <w:color w:val="000000"/>
          <w:sz w:val="21"/>
        </w:rPr>
        <w:t xml:space="preserve">Root-cause analysis is slowed by siloed dashboards and incompatible data models.</w:t>
      </w:r>
    </w:p>
    <w:p>
      <w:pPr>
        <w:numPr>
          <w:ilvl w:val="0"/>
          <w:numId w:val="5"/>
        </w:numPr>
        <w:spacing w:line="360" w:before="105" w:after="105" w:lineRule="auto"/>
      </w:pPr>
      <w:r>
        <w:rPr>
          <w:rFonts w:eastAsia="source serif 4" w:cs="source serif 4" w:ascii="source serif 4" w:hAnsi="source serif 4"/>
          <w:color w:val="000000"/>
          <w:sz w:val="21"/>
        </w:rPr>
        <w:t xml:space="preserve">On-prem and cloud telemetry often follow different standards and retention patterns.</w:t>
      </w:r>
    </w:p>
    <w:p>
      <w:pPr>
        <w:numPr>
          <w:ilvl w:val="0"/>
          <w:numId w:val="5"/>
        </w:numPr>
        <w:spacing w:line="360" w:before="105" w:after="105" w:lineRule="auto"/>
      </w:pPr>
      <w:r>
        <w:rPr>
          <w:rFonts w:eastAsia="source serif 4" w:cs="source serif 4" w:ascii="source serif 4" w:hAnsi="source serif 4"/>
          <w:color w:val="000000"/>
          <w:sz w:val="21"/>
        </w:rPr>
        <w:t xml:space="preserve">Alert fatigue increases because the same fault can trigger several independent notifications.</w:t>
      </w:r>
    </w:p>
    <w:p>
      <w:pPr>
        <w:numPr>
          <w:ilvl w:val="0"/>
          <w:numId w:val="5"/>
        </w:numPr>
        <w:spacing w:line="360" w:before="105" w:after="105" w:lineRule="auto"/>
      </w:pPr>
      <w:r>
        <w:rPr>
          <w:rFonts w:eastAsia="source serif 4" w:cs="source serif 4" w:ascii="source serif 4" w:hAnsi="source serif 4"/>
          <w:color w:val="000000"/>
          <w:sz w:val="21"/>
        </w:rPr>
        <w:t xml:space="preserve">Existing teams spend too much time assembling evidence and not enough time resolving incidents.</w:t>
      </w:r>
    </w:p>
    <w:p>
      <w:pPr>
        <w:spacing w:line="360" w:after="210" w:lineRule="auto"/>
      </w:pPr>
      <w:r>
        <w:rPr>
          <w:rFonts w:eastAsia="source serif 4" w:cs="source serif 4" w:ascii="source serif 4" w:hAnsi="source serif 4"/>
          <w:b/>
          <w:color w:val="000000"/>
        </w:rPr>
        <w:t xml:space="preserve">Operational impact:</w:t>
      </w:r>
    </w:p>
    <w:p>
      <w:pPr>
        <w:numPr>
          <w:ilvl w:val="0"/>
          <w:numId w:val="6"/>
        </w:numPr>
        <w:spacing w:line="360" w:before="105" w:after="105" w:lineRule="auto"/>
      </w:pPr>
      <w:r>
        <w:rPr>
          <w:rFonts w:eastAsia="source serif 4" w:cs="source serif 4" w:ascii="source serif 4" w:hAnsi="source serif 4"/>
          <w:color w:val="000000"/>
          <w:sz w:val="21"/>
        </w:rPr>
        <w:t xml:space="preserve">Higher MTTR.</w:t>
      </w:r>
    </w:p>
    <w:p>
      <w:pPr>
        <w:numPr>
          <w:ilvl w:val="0"/>
          <w:numId w:val="6"/>
        </w:numPr>
        <w:spacing w:line="360" w:before="105" w:after="105" w:lineRule="auto"/>
      </w:pPr>
      <w:r>
        <w:rPr>
          <w:rFonts w:eastAsia="source serif 4" w:cs="source serif 4" w:ascii="source serif 4" w:hAnsi="source serif 4"/>
          <w:color w:val="000000"/>
          <w:sz w:val="21"/>
        </w:rPr>
        <w:t xml:space="preserve">Lower confidence in alert fidelity.</w:t>
      </w:r>
    </w:p>
    <w:p>
      <w:pPr>
        <w:numPr>
          <w:ilvl w:val="0"/>
          <w:numId w:val="6"/>
        </w:numPr>
        <w:spacing w:line="360" w:before="105" w:after="105" w:lineRule="auto"/>
      </w:pPr>
      <w:r>
        <w:rPr>
          <w:rFonts w:eastAsia="source serif 4" w:cs="source serif 4" w:ascii="source serif 4" w:hAnsi="source serif 4"/>
          <w:color w:val="000000"/>
          <w:sz w:val="21"/>
        </w:rPr>
        <w:t xml:space="preserve">Increased escalation to senior engineers.</w:t>
      </w:r>
    </w:p>
    <w:p>
      <w:pPr>
        <w:numPr>
          <w:ilvl w:val="0"/>
          <w:numId w:val="6"/>
        </w:numPr>
        <w:spacing w:line="360" w:before="105" w:after="105" w:lineRule="auto"/>
      </w:pPr>
      <w:r>
        <w:rPr>
          <w:rFonts w:eastAsia="source serif 4" w:cs="source serif 4" w:ascii="source serif 4" w:hAnsi="source serif 4"/>
          <w:color w:val="000000"/>
          <w:sz w:val="21"/>
        </w:rPr>
        <w:t xml:space="preserve">Reduced ability to automate remediation.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 w:name="slide_5_target_state_aiops_operat_ab6817"/>
      <w:r>
        <w:rPr>
          <w:rFonts w:eastAsia="source serif 4" w:cs="source serif 4" w:ascii="source serif 4" w:hAnsi="source serif 4"/>
          <w:b/>
          <w:color w:val="000000"/>
          <w:sz w:val="24"/>
        </w:rPr>
        <w:t xml:space="preserve">Slide 5 — Target-State AIOps Operating Model</w:t>
      </w:r>
      <w:bookmarkEnd w:id="13"/>
    </w:p>
    <w:p>
      <w:pPr>
        <w:spacing w:line="360" w:after="210" w:lineRule="auto"/>
      </w:pPr>
      <w:r>
        <w:rPr>
          <w:rFonts w:eastAsia="source serif 4" w:cs="source serif 4" w:ascii="source serif 4" w:hAnsi="source serif 4"/>
          <w:b/>
          <w:color w:val="000000"/>
        </w:rPr>
        <w:t xml:space="preserve">Headline: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Keep the existing tools, add an intelligent correlation and action layer</w:t>
      </w:r>
    </w:p>
    <w:p>
      <w:pPr>
        <w:spacing w:line="360" w:after="210" w:lineRule="auto"/>
      </w:pPr>
      <w:r>
        <w:rPr>
          <w:rFonts w:eastAsia="source serif 4" w:cs="source serif 4" w:ascii="source serif 4" w:hAnsi="source serif 4"/>
          <w:b/>
          <w:color w:val="000000"/>
        </w:rPr>
        <w:t xml:space="preserve">Content:</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Target model components</w:t>
      </w:r>
    </w:p>
    <w:p>
      <w:pPr>
        <w:numPr>
          <w:ilvl w:val="0"/>
          <w:numId w:val="7"/>
        </w:numPr>
        <w:spacing w:line="360" w:before="105" w:after="105" w:lineRule="auto"/>
      </w:pPr>
      <w:r>
        <w:rPr>
          <w:rFonts w:eastAsia="source serif 4" w:cs="source serif 4" w:ascii="source serif 4" w:hAnsi="source serif 4"/>
          <w:color w:val="000000"/>
          <w:sz w:val="21"/>
        </w:rPr>
        <w:t xml:space="preserve">Existing monitoring and log tools remain the primary telemetry producers.</w:t>
      </w:r>
    </w:p>
    <w:p>
      <w:pPr>
        <w:numPr>
          <w:ilvl w:val="0"/>
          <w:numId w:val="7"/>
        </w:numPr>
        <w:spacing w:line="360" w:before="105" w:after="105" w:lineRule="auto"/>
      </w:pPr>
      <w:r>
        <w:rPr>
          <w:rFonts w:eastAsia="source serif 4" w:cs="source serif 4" w:ascii="source serif 4" w:hAnsi="source serif 4"/>
          <w:color w:val="000000"/>
          <w:sz w:val="21"/>
        </w:rPr>
        <w:t xml:space="preserve">Standard connectors, APIs, exporters, agents, and log forwarders feed telemetry into an AIOps platform.</w:t>
      </w:r>
    </w:p>
    <w:p>
      <w:pPr>
        <w:numPr>
          <w:ilvl w:val="0"/>
          <w:numId w:val="7"/>
        </w:numPr>
        <w:spacing w:line="360" w:before="105" w:after="105" w:lineRule="auto"/>
      </w:pPr>
      <w:r>
        <w:rPr>
          <w:rFonts w:eastAsia="source serif 4" w:cs="source serif 4" w:ascii="source serif 4" w:hAnsi="source serif 4"/>
          <w:color w:val="000000"/>
          <w:sz w:val="21"/>
        </w:rPr>
        <w:t xml:space="preserve">The AIOps layer performs event correlation, anomaly detection, probable cause analysis, summarization, and recommended actions.</w:t>
      </w:r>
    </w:p>
    <w:p>
      <w:pPr>
        <w:numPr>
          <w:ilvl w:val="0"/>
          <w:numId w:val="7"/>
        </w:numPr>
        <w:spacing w:line="360" w:before="105" w:after="105" w:lineRule="auto"/>
      </w:pPr>
      <w:r>
        <w:rPr>
          <w:rFonts w:eastAsia="source serif 4" w:cs="source serif 4" w:ascii="source serif 4" w:hAnsi="source serif 4"/>
          <w:color w:val="000000"/>
          <w:sz w:val="21"/>
        </w:rPr>
        <w:t xml:space="preserve">Incident platforms and service management workflows consume the prioritized outcomes.</w:t>
      </w:r>
    </w:p>
    <w:p>
      <w:pPr>
        <w:spacing w:line="360" w:after="210" w:lineRule="auto"/>
      </w:pPr>
      <w:r>
        <w:rPr>
          <w:rFonts w:eastAsia="source serif 4" w:cs="source serif 4" w:ascii="source serif 4" w:hAnsi="source serif 4"/>
          <w:b/>
          <w:color w:val="000000"/>
        </w:rPr>
        <w:t xml:space="preserve">Benefits:</w:t>
      </w:r>
    </w:p>
    <w:p>
      <w:pPr>
        <w:numPr>
          <w:ilvl w:val="0"/>
          <w:numId w:val="8"/>
        </w:numPr>
        <w:spacing w:line="360" w:before="105" w:after="105" w:lineRule="auto"/>
      </w:pPr>
      <w:r>
        <w:rPr>
          <w:rFonts w:eastAsia="source serif 4" w:cs="source serif 4" w:ascii="source serif 4" w:hAnsi="source serif 4"/>
          <w:color w:val="000000"/>
          <w:sz w:val="21"/>
        </w:rPr>
        <w:t xml:space="preserve">Less disruption than rip-and-replace.</w:t>
      </w:r>
    </w:p>
    <w:p>
      <w:pPr>
        <w:numPr>
          <w:ilvl w:val="0"/>
          <w:numId w:val="8"/>
        </w:numPr>
        <w:spacing w:line="360" w:before="105" w:after="105" w:lineRule="auto"/>
      </w:pPr>
      <w:r>
        <w:rPr>
          <w:rFonts w:eastAsia="source serif 4" w:cs="source serif 4" w:ascii="source serif 4" w:hAnsi="source serif 4"/>
          <w:color w:val="000000"/>
          <w:sz w:val="21"/>
        </w:rPr>
        <w:t xml:space="preserve">Better reuse of existing investments.</w:t>
      </w:r>
    </w:p>
    <w:p>
      <w:pPr>
        <w:numPr>
          <w:ilvl w:val="0"/>
          <w:numId w:val="8"/>
        </w:numPr>
        <w:spacing w:line="360" w:before="105" w:after="105" w:lineRule="auto"/>
      </w:pPr>
      <w:r>
        <w:rPr>
          <w:rFonts w:eastAsia="source serif 4" w:cs="source serif 4" w:ascii="source serif 4" w:hAnsi="source serif 4"/>
          <w:color w:val="000000"/>
          <w:sz w:val="21"/>
        </w:rPr>
        <w:t xml:space="preserve">Faster path to cross-domain visibility.</w:t>
      </w:r>
    </w:p>
    <w:p>
      <w:pPr>
        <w:numPr>
          <w:ilvl w:val="0"/>
          <w:numId w:val="8"/>
        </w:numPr>
        <w:spacing w:line="360" w:before="105" w:after="105" w:lineRule="auto"/>
      </w:pPr>
      <w:r>
        <w:rPr>
          <w:rFonts w:eastAsia="source serif 4" w:cs="source serif 4" w:ascii="source serif 4" w:hAnsi="source serif 4"/>
          <w:color w:val="000000"/>
          <w:sz w:val="21"/>
        </w:rPr>
        <w:t xml:space="preserve">More practical for regulated or hybrid estates.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 w:name="slide_6_integration_architecture"/>
      <w:r>
        <w:rPr>
          <w:rFonts w:eastAsia="source serif 4" w:cs="source serif 4" w:ascii="source serif 4" w:hAnsi="source serif 4"/>
          <w:b/>
          <w:color w:val="000000"/>
          <w:sz w:val="24"/>
        </w:rPr>
        <w:t xml:space="preserve">Slide 6 — Integration Architecture</w:t>
      </w:r>
      <w:bookmarkEnd w:id="14"/>
    </w:p>
    <w:p>
      <w:pPr>
        <w:spacing w:line="360" w:after="210" w:lineRule="auto"/>
      </w:pPr>
      <w:r>
        <w:rPr>
          <w:rFonts w:eastAsia="source serif 4" w:cs="source serif 4" w:ascii="source serif 4" w:hAnsi="source serif 4"/>
          <w:b/>
          <w:color w:val="000000"/>
        </w:rPr>
        <w:t xml:space="preserve">Headline: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AIOps should aggregate signals from monitoring, logging, and event systems</w:t>
      </w:r>
    </w:p>
    <w:p>
      <w:pPr>
        <w:spacing w:line="360" w:after="210" w:lineRule="auto"/>
      </w:pPr>
      <w:r>
        <w:rPr>
          <w:rFonts w:eastAsia="source serif 4" w:cs="source serif 4" w:ascii="source serif 4" w:hAnsi="source serif 4"/>
          <w:b/>
          <w:color w:val="000000"/>
        </w:rPr>
        <w:t xml:space="preserve">Content:</w:t>
      </w:r>
    </w:p>
    <w:p>
      <w:pPr>
        <w:spacing w:line="360" w:after="210" w:lineRule="auto"/>
      </w:pPr>
      <w:r>
        <w:rPr>
          <w:rFonts w:eastAsia="source serif 4" w:cs="source serif 4" w:ascii="source serif 4" w:hAnsi="source serif 4"/>
          <w:b/>
          <w:color w:val="000000"/>
        </w:rPr>
        <w:t xml:space="preserve">Layer 1: Source systems</w:t>
      </w:r>
    </w:p>
    <w:p>
      <w:pPr>
        <w:numPr>
          <w:ilvl w:val="0"/>
          <w:numId w:val="9"/>
        </w:numPr>
        <w:spacing w:line="360" w:before="105" w:after="105" w:lineRule="auto"/>
      </w:pPr>
      <w:r>
        <w:rPr>
          <w:rFonts w:eastAsia="source serif 4" w:cs="source serif 4" w:ascii="source serif 4" w:hAnsi="source serif 4"/>
          <w:color w:val="000000"/>
          <w:sz w:val="21"/>
        </w:rPr>
        <w:t xml:space="preserve">SolarWinds, Oracle OEM, Prometheus, Grafana, Azure Monitor, IBM Instana</w:t>
      </w:r>
    </w:p>
    <w:p>
      <w:pPr>
        <w:numPr>
          <w:ilvl w:val="0"/>
          <w:numId w:val="9"/>
        </w:numPr>
        <w:spacing w:line="360" w:before="105" w:after="105" w:lineRule="auto"/>
      </w:pPr>
      <w:r>
        <w:rPr>
          <w:rFonts w:eastAsia="source serif 4" w:cs="source serif 4" w:ascii="source serif 4" w:hAnsi="source serif 4"/>
          <w:color w:val="000000"/>
          <w:sz w:val="21"/>
        </w:rPr>
        <w:t xml:space="preserve">Splunk, Log Analytics Workspace, Syslog</w:t>
      </w:r>
    </w:p>
    <w:p>
      <w:pPr>
        <w:spacing w:line="360" w:after="210" w:lineRule="auto"/>
      </w:pPr>
      <w:r>
        <w:rPr>
          <w:rFonts w:eastAsia="source serif 4" w:cs="source serif 4" w:ascii="source serif 4" w:hAnsi="source serif 4"/>
          <w:b/>
          <w:color w:val="000000"/>
        </w:rPr>
        <w:t xml:space="preserve">Layer 2: Integration and normalization</w:t>
      </w:r>
    </w:p>
    <w:p>
      <w:pPr>
        <w:numPr>
          <w:ilvl w:val="0"/>
          <w:numId w:val="10"/>
        </w:numPr>
        <w:spacing w:line="360" w:before="105" w:after="105" w:lineRule="auto"/>
      </w:pPr>
      <w:r>
        <w:rPr>
          <w:rFonts w:eastAsia="source serif 4" w:cs="source serif 4" w:ascii="source serif 4" w:hAnsi="source serif 4"/>
          <w:color w:val="000000"/>
          <w:sz w:val="21"/>
        </w:rPr>
        <w:t xml:space="preserve">API connectors</w:t>
      </w:r>
    </w:p>
    <w:p>
      <w:pPr>
        <w:numPr>
          <w:ilvl w:val="0"/>
          <w:numId w:val="10"/>
        </w:numPr>
        <w:spacing w:line="360" w:before="105" w:after="105" w:lineRule="auto"/>
      </w:pPr>
      <w:r>
        <w:rPr>
          <w:rFonts w:eastAsia="source serif 4" w:cs="source serif 4" w:ascii="source serif 4" w:hAnsi="source serif 4"/>
          <w:color w:val="000000"/>
          <w:sz w:val="21"/>
        </w:rPr>
        <w:t xml:space="preserve">Log forwarding</w:t>
      </w:r>
    </w:p>
    <w:p>
      <w:pPr>
        <w:numPr>
          <w:ilvl w:val="0"/>
          <w:numId w:val="10"/>
        </w:numPr>
        <w:spacing w:line="360" w:before="105" w:after="105" w:lineRule="auto"/>
      </w:pPr>
      <w:r>
        <w:rPr>
          <w:rFonts w:eastAsia="source serif 4" w:cs="source serif 4" w:ascii="source serif 4" w:hAnsi="source serif 4"/>
          <w:color w:val="000000"/>
          <w:sz w:val="21"/>
        </w:rPr>
        <w:t xml:space="preserve">Webhooks</w:t>
      </w:r>
    </w:p>
    <w:p>
      <w:pPr>
        <w:numPr>
          <w:ilvl w:val="0"/>
          <w:numId w:val="10"/>
        </w:numPr>
        <w:spacing w:line="360" w:before="105" w:after="105" w:lineRule="auto"/>
      </w:pPr>
      <w:r>
        <w:rPr>
          <w:rFonts w:eastAsia="source serif 4" w:cs="source serif 4" w:ascii="source serif 4" w:hAnsi="source serif 4"/>
          <w:color w:val="000000"/>
          <w:sz w:val="21"/>
        </w:rPr>
        <w:t xml:space="preserve">Exporters and agents</w:t>
      </w:r>
    </w:p>
    <w:p>
      <w:pPr>
        <w:numPr>
          <w:ilvl w:val="0"/>
          <w:numId w:val="10"/>
        </w:numPr>
        <w:spacing w:line="360" w:before="105" w:after="105" w:lineRule="auto"/>
      </w:pPr>
      <w:r>
        <w:rPr>
          <w:rFonts w:eastAsia="source serif 4" w:cs="source serif 4" w:ascii="source serif 4" w:hAnsi="source serif 4"/>
          <w:color w:val="000000"/>
          <w:sz w:val="21"/>
        </w:rPr>
        <w:t xml:space="preserve">OpenTelemetry where supported</w:t>
      </w:r>
    </w:p>
    <w:p>
      <w:pPr>
        <w:numPr>
          <w:ilvl w:val="0"/>
          <w:numId w:val="10"/>
        </w:numPr>
        <w:spacing w:line="360" w:before="105" w:after="105" w:lineRule="auto"/>
      </w:pPr>
      <w:r>
        <w:rPr>
          <w:rFonts w:eastAsia="source serif 4" w:cs="source serif 4" w:ascii="source serif 4" w:hAnsi="source serif 4"/>
          <w:color w:val="000000"/>
          <w:sz w:val="21"/>
        </w:rPr>
        <w:t xml:space="preserve">Event bus or workflow layer</w:t>
      </w:r>
    </w:p>
    <w:p>
      <w:pPr>
        <w:spacing w:line="360" w:after="210" w:lineRule="auto"/>
      </w:pPr>
      <w:r>
        <w:rPr>
          <w:rFonts w:eastAsia="source serif 4" w:cs="source serif 4" w:ascii="source serif 4" w:hAnsi="source serif 4"/>
          <w:b/>
          <w:color w:val="000000"/>
        </w:rPr>
        <w:t xml:space="preserve">Layer 3: AIOps and automation</w:t>
      </w:r>
    </w:p>
    <w:p>
      <w:pPr>
        <w:numPr>
          <w:ilvl w:val="0"/>
          <w:numId w:val="11"/>
        </w:numPr>
        <w:spacing w:line="360" w:before="105" w:after="105" w:lineRule="auto"/>
      </w:pPr>
      <w:r>
        <w:rPr>
          <w:rFonts w:eastAsia="source serif 4" w:cs="source serif 4" w:ascii="source serif 4" w:hAnsi="source serif 4"/>
          <w:color w:val="000000"/>
          <w:sz w:val="21"/>
        </w:rPr>
        <w:t xml:space="preserve">Event correlation</w:t>
      </w:r>
    </w:p>
    <w:p>
      <w:pPr>
        <w:numPr>
          <w:ilvl w:val="0"/>
          <w:numId w:val="11"/>
        </w:numPr>
        <w:spacing w:line="360" w:before="105" w:after="105" w:lineRule="auto"/>
      </w:pPr>
      <w:r>
        <w:rPr>
          <w:rFonts w:eastAsia="source serif 4" w:cs="source serif 4" w:ascii="source serif 4" w:hAnsi="source serif 4"/>
          <w:color w:val="000000"/>
          <w:sz w:val="21"/>
        </w:rPr>
        <w:t xml:space="preserve">Noise reduction</w:t>
      </w:r>
    </w:p>
    <w:p>
      <w:pPr>
        <w:numPr>
          <w:ilvl w:val="0"/>
          <w:numId w:val="11"/>
        </w:numPr>
        <w:spacing w:line="360" w:before="105" w:after="105" w:lineRule="auto"/>
      </w:pPr>
      <w:r>
        <w:rPr>
          <w:rFonts w:eastAsia="source serif 4" w:cs="source serif 4" w:ascii="source serif 4" w:hAnsi="source serif 4"/>
          <w:color w:val="000000"/>
          <w:sz w:val="21"/>
        </w:rPr>
        <w:t xml:space="preserve">Anomaly detection</w:t>
      </w:r>
    </w:p>
    <w:p>
      <w:pPr>
        <w:numPr>
          <w:ilvl w:val="0"/>
          <w:numId w:val="11"/>
        </w:numPr>
        <w:spacing w:line="360" w:before="105" w:after="105" w:lineRule="auto"/>
      </w:pPr>
      <w:r>
        <w:rPr>
          <w:rFonts w:eastAsia="source serif 4" w:cs="source serif 4" w:ascii="source serif 4" w:hAnsi="source serif 4"/>
          <w:color w:val="000000"/>
          <w:sz w:val="21"/>
        </w:rPr>
        <w:t xml:space="preserve">AI-assisted investigation</w:t>
      </w:r>
    </w:p>
    <w:p>
      <w:pPr>
        <w:numPr>
          <w:ilvl w:val="0"/>
          <w:numId w:val="11"/>
        </w:numPr>
        <w:spacing w:line="360" w:before="105" w:after="105" w:lineRule="auto"/>
      </w:pPr>
      <w:r>
        <w:rPr>
          <w:rFonts w:eastAsia="source serif 4" w:cs="source serif 4" w:ascii="source serif 4" w:hAnsi="source serif 4"/>
          <w:color w:val="000000"/>
          <w:sz w:val="21"/>
        </w:rPr>
        <w:t xml:space="preserve">Root-cause suggestions</w:t>
      </w:r>
    </w:p>
    <w:p>
      <w:pPr>
        <w:numPr>
          <w:ilvl w:val="0"/>
          <w:numId w:val="11"/>
        </w:numPr>
        <w:spacing w:line="360" w:before="105" w:after="105" w:lineRule="auto"/>
      </w:pPr>
      <w:r>
        <w:rPr>
          <w:rFonts w:eastAsia="source serif 4" w:cs="source serif 4" w:ascii="source serif 4" w:hAnsi="source serif 4"/>
          <w:color w:val="000000"/>
          <w:sz w:val="21"/>
        </w:rPr>
        <w:t xml:space="preserve">Runbook or ticketing integration</w:t>
      </w:r>
    </w:p>
    <w:p>
      <w:pPr>
        <w:spacing w:line="360" w:after="210" w:lineRule="auto"/>
      </w:pPr>
      <w:r>
        <w:rPr>
          <w:rFonts w:eastAsia="source serif 4" w:cs="source serif 4" w:ascii="source serif 4" w:hAnsi="source serif 4"/>
          <w:b/>
          <w:color w:val="000000"/>
        </w:rPr>
        <w:t xml:space="preserve">Design principle: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AIOps platform should normalize signals without forcing all data producers to be replaced.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 w:name="slide_7_evaluation_criteria"/>
      <w:r>
        <w:rPr>
          <w:rFonts w:eastAsia="source serif 4" w:cs="source serif 4" w:ascii="source serif 4" w:hAnsi="source serif 4"/>
          <w:b/>
          <w:color w:val="000000"/>
          <w:sz w:val="24"/>
        </w:rPr>
        <w:t xml:space="preserve">Slide 7 — Evaluation Criteria</w:t>
      </w:r>
      <w:bookmarkEnd w:id="15"/>
    </w:p>
    <w:p>
      <w:pPr>
        <w:spacing w:line="360" w:after="210" w:lineRule="auto"/>
      </w:pPr>
      <w:r>
        <w:rPr>
          <w:rFonts w:eastAsia="source serif 4" w:cs="source serif 4" w:ascii="source serif 4" w:hAnsi="source serif 4"/>
          <w:b/>
          <w:color w:val="000000"/>
        </w:rPr>
        <w:t xml:space="preserve">Headline: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Selection should be driven by hybrid fit, AI quality, and cost control</w:t>
      </w:r>
    </w:p>
    <w:p>
      <w:pPr>
        <w:spacing w:line="360" w:after="210" w:lineRule="auto"/>
      </w:pPr>
      <w:r>
        <w:rPr>
          <w:rFonts w:eastAsia="source serif 4" w:cs="source serif 4" w:ascii="source serif 4" w:hAnsi="source serif 4"/>
          <w:b/>
          <w:color w:val="000000"/>
        </w:rPr>
        <w:t xml:space="preserve">Content:</w:t>
      </w:r>
    </w:p>
    <w:p>
      <w:pPr>
        <w:spacing w:line="360" w:after="210" w:lineRule="auto"/>
      </w:pPr>
      <w:r>
        <w:rPr>
          <w:rFonts w:eastAsia="source serif 4" w:cs="source serif 4" w:ascii="source serif 4" w:hAnsi="source serif 4"/>
          <w:b/>
          <w:color w:val="000000"/>
        </w:rPr>
        <w:t xml:space="preserve">Assessment dimensions</w:t>
      </w:r>
    </w:p>
    <w:p>
      <w:pPr>
        <w:numPr>
          <w:ilvl w:val="0"/>
          <w:numId w:val="12"/>
        </w:numPr>
        <w:spacing w:line="360" w:before="105" w:after="105" w:lineRule="auto"/>
      </w:pPr>
      <w:r>
        <w:rPr>
          <w:rFonts w:eastAsia="source serif 4" w:cs="source serif 4" w:ascii="source serif 4" w:hAnsi="source serif 4"/>
          <w:color w:val="000000"/>
          <w:sz w:val="21"/>
        </w:rPr>
        <w:t xml:space="preserve">Integration depth with existing monitoring and logging tools</w:t>
      </w:r>
    </w:p>
    <w:p>
      <w:pPr>
        <w:numPr>
          <w:ilvl w:val="0"/>
          <w:numId w:val="12"/>
        </w:numPr>
        <w:spacing w:line="360" w:before="105" w:after="105" w:lineRule="auto"/>
      </w:pPr>
      <w:r>
        <w:rPr>
          <w:rFonts w:eastAsia="source serif 4" w:cs="source serif 4" w:ascii="source serif 4" w:hAnsi="source serif 4"/>
          <w:color w:val="000000"/>
          <w:sz w:val="21"/>
        </w:rPr>
        <w:t xml:space="preserve">Support for on-prem, cloud, and hybrid telemetry</w:t>
      </w:r>
    </w:p>
    <w:p>
      <w:pPr>
        <w:numPr>
          <w:ilvl w:val="0"/>
          <w:numId w:val="12"/>
        </w:numPr>
        <w:spacing w:line="360" w:before="105" w:after="105" w:lineRule="auto"/>
      </w:pPr>
      <w:r>
        <w:rPr>
          <w:rFonts w:eastAsia="source serif 4" w:cs="source serif 4" w:ascii="source serif 4" w:hAnsi="source serif 4"/>
          <w:color w:val="000000"/>
          <w:sz w:val="21"/>
        </w:rPr>
        <w:t xml:space="preserve">Event correlation and root-cause quality</w:t>
      </w:r>
    </w:p>
    <w:p>
      <w:pPr>
        <w:numPr>
          <w:ilvl w:val="0"/>
          <w:numId w:val="12"/>
        </w:numPr>
        <w:spacing w:line="360" w:before="105" w:after="105" w:lineRule="auto"/>
      </w:pPr>
      <w:r>
        <w:rPr>
          <w:rFonts w:eastAsia="source serif 4" w:cs="source serif 4" w:ascii="source serif 4" w:hAnsi="source serif 4"/>
          <w:color w:val="000000"/>
          <w:sz w:val="21"/>
        </w:rPr>
        <w:t xml:space="preserve">AI-assisted investigation and summarization</w:t>
      </w:r>
    </w:p>
    <w:p>
      <w:pPr>
        <w:numPr>
          <w:ilvl w:val="0"/>
          <w:numId w:val="12"/>
        </w:numPr>
        <w:spacing w:line="360" w:before="105" w:after="105" w:lineRule="auto"/>
      </w:pPr>
      <w:r>
        <w:rPr>
          <w:rFonts w:eastAsia="source serif 4" w:cs="source serif 4" w:ascii="source serif 4" w:hAnsi="source serif 4"/>
          <w:color w:val="000000"/>
          <w:sz w:val="21"/>
        </w:rPr>
        <w:t xml:space="preserve">Workflow automation and incident integration</w:t>
      </w:r>
    </w:p>
    <w:p>
      <w:pPr>
        <w:numPr>
          <w:ilvl w:val="0"/>
          <w:numId w:val="12"/>
        </w:numPr>
        <w:spacing w:line="360" w:before="105" w:after="105" w:lineRule="auto"/>
      </w:pPr>
      <w:r>
        <w:rPr>
          <w:rFonts w:eastAsia="source serif 4" w:cs="source serif 4" w:ascii="source serif 4" w:hAnsi="source serif 4"/>
          <w:color w:val="000000"/>
          <w:sz w:val="21"/>
        </w:rPr>
        <w:t xml:space="preserve">Security, governance, and auditability</w:t>
      </w:r>
    </w:p>
    <w:p>
      <w:pPr>
        <w:numPr>
          <w:ilvl w:val="0"/>
          <w:numId w:val="12"/>
        </w:numPr>
        <w:spacing w:line="360" w:before="105" w:after="105" w:lineRule="auto"/>
      </w:pPr>
      <w:r>
        <w:rPr>
          <w:rFonts w:eastAsia="source serif 4" w:cs="source serif 4" w:ascii="source serif 4" w:hAnsi="source serif 4"/>
          <w:color w:val="000000"/>
          <w:sz w:val="21"/>
        </w:rPr>
        <w:t xml:space="preserve">Ease of rollout across regulated enterprise environments</w:t>
      </w:r>
    </w:p>
    <w:p>
      <w:pPr>
        <w:numPr>
          <w:ilvl w:val="0"/>
          <w:numId w:val="12"/>
        </w:numPr>
        <w:spacing w:line="360" w:before="105" w:after="105" w:lineRule="auto"/>
      </w:pPr>
      <w:r>
        <w:rPr>
          <w:rFonts w:eastAsia="source serif 4" w:cs="source serif 4" w:ascii="source serif 4" w:hAnsi="source serif 4"/>
          <w:color w:val="000000"/>
          <w:sz w:val="21"/>
        </w:rPr>
        <w:t xml:space="preserve">Pricing transparency and cost predictability</w:t>
      </w:r>
    </w:p>
    <w:p>
      <w:pPr>
        <w:numPr>
          <w:ilvl w:val="0"/>
          <w:numId w:val="12"/>
        </w:numPr>
        <w:spacing w:line="360" w:before="105" w:after="105" w:lineRule="auto"/>
      </w:pPr>
      <w:r>
        <w:rPr>
          <w:rFonts w:eastAsia="source serif 4" w:cs="source serif 4" w:ascii="source serif 4" w:hAnsi="source serif 4"/>
          <w:color w:val="000000"/>
          <w:sz w:val="21"/>
        </w:rPr>
        <w:t xml:space="preserve">Vendor lock-in risk</w:t>
      </w:r>
    </w:p>
    <w:p>
      <w:pPr>
        <w:numPr>
          <w:ilvl w:val="0"/>
          <w:numId w:val="12"/>
        </w:numPr>
        <w:spacing w:line="360" w:before="105" w:after="105" w:lineRule="auto"/>
      </w:pPr>
      <w:r>
        <w:rPr>
          <w:rFonts w:eastAsia="source serif 4" w:cs="source serif 4" w:ascii="source serif 4" w:hAnsi="source serif 4"/>
          <w:color w:val="000000"/>
          <w:sz w:val="21"/>
        </w:rPr>
        <w:t xml:space="preserve">Ability to scale across infrastructure, applications, and logs</w:t>
      </w:r>
    </w:p>
    <w:p>
      <w:pPr>
        <w:spacing w:line="360" w:after="210" w:lineRule="auto"/>
      </w:pPr>
      <w:r>
        <w:rPr>
          <w:rFonts w:eastAsia="source serif 4" w:cs="source serif 4" w:ascii="source serif 4" w:hAnsi="source serif 4"/>
          <w:b/>
          <w:color w:val="000000"/>
        </w:rPr>
        <w:t xml:space="preserve">Scoring guidance: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For this use case, hybrid support and connector maturity should carry more weight than pure cloud-native simplicity.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 w:name="slide_8_platform_overview_matrix"/>
      <w:r>
        <w:rPr>
          <w:rFonts w:eastAsia="source serif 4" w:cs="source serif 4" w:ascii="source serif 4" w:hAnsi="source serif 4"/>
          <w:b/>
          <w:color w:val="000000"/>
          <w:sz w:val="24"/>
        </w:rPr>
        <w:t xml:space="preserve">Slide 8 — Platform Overview Matrix</w:t>
      </w:r>
      <w:bookmarkEnd w:id="16"/>
    </w:p>
    <w:p>
      <w:pPr>
        <w:spacing w:line="360" w:after="210" w:lineRule="auto"/>
      </w:pPr>
      <w:r>
        <w:rPr>
          <w:rFonts w:eastAsia="source serif 4" w:cs="source serif 4" w:ascii="source serif 4" w:hAnsi="source serif 4"/>
          <w:b/>
          <w:color w:val="000000"/>
        </w:rPr>
        <w:t xml:space="preserve">Headline: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candidate platforms differ most in deployment fit, cost model, and ecosystem alignment</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Platform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Primary fit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Strengths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Main concerns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Pricing approach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Edwin AI</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Enterprise AIOps overlay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Potentially useful for event correlation and enterprise operations workflows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Must validate integration depth, deployment model, and pricing transparency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Likely enterprise/custom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Datadog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Unified observability + AIOps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Broad observability stack, strong SaaS model, clear published list pricing by unit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Can become expensive as hosts, logs, spans, and add-ons increase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Per host, per GB, per span, per seat, per feature </w:t>
            </w:r>
            <w:hyperlink w:anchor="fn2">
              <w:r>
                <w:rPr>
                  <w:rFonts w:eastAsia="source sans 3" w:cs="source sans 3" w:ascii="source sans 3" w:hAnsi="source sans 3"/>
                  <w:color w:val="#000"/>
                  <w:sz w:val="17"/>
                  <w:u w:val="single"/>
                  <w:vertAlign w:val="superscript"/>
                </w:rPr>
                <w:t xml:space="preserve">[2]</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IBM watsonx AIOps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Large enterprise / hybrid ops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Enterprise process alignment, strong fit for complex heterogeneous estates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Licensing and implementation can be complex; validate non-IBM integrations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Typically enterprise/custom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Azure Copilot / Observability Agent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Azure-centric operations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Native to Azure Monitor, AI investigation built into Azure operations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Best value inside Azure; less ideal as single pane for highly mixed estates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Consumption-based in ACUs, billed by Azure subscription </w:t>
            </w:r>
            <w:hyperlink w:anchor="fn1">
              <w:r>
                <w:rPr>
                  <w:rFonts w:eastAsia="source sans 3" w:cs="source sans 3" w:ascii="source sans 3" w:hAnsi="source sans 3"/>
                  <w:color w:val="#000"/>
                  <w:sz w:val="17"/>
                  <w:u w:val="single"/>
                  <w:vertAlign w:val="superscript"/>
                </w:rPr>
                <w:t xml:space="preserve">[1]</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Azure Observability Suite / Azure Monitor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Azure-native observability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Strong integration with Azure Monitor and Log Analytics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Less comprehensive as a full enterprise-wide overlay outside Azure-first estates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Azure service consumption and retention-based </w:t>
            </w:r>
            <w:hyperlink w:anchor="fn1">
              <w:r>
                <w:rPr>
                  <w:rFonts w:eastAsia="source sans 3" w:cs="source sans 3" w:ascii="source sans 3" w:hAnsi="source sans 3"/>
                  <w:color w:val="#000"/>
                  <w:sz w:val="17"/>
                  <w:u w:val="single"/>
                  <w:vertAlign w:val="superscript"/>
                </w:rPr>
                <w:t xml:space="preserve">[1]</w:t>
              </w:r>
            </w:hyperlink>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 w:name="slide_9_detailed_assessment_edwin_ai"/>
      <w:r>
        <w:rPr>
          <w:rFonts w:eastAsia="source serif 4" w:cs="source serif 4" w:ascii="source serif 4" w:hAnsi="source serif 4"/>
          <w:b/>
          <w:color w:val="000000"/>
          <w:sz w:val="24"/>
        </w:rPr>
        <w:t xml:space="preserve">Slide 9 — Detailed Assessment: Edwin AI</w:t>
      </w:r>
      <w:bookmarkEnd w:id="17"/>
    </w:p>
    <w:p>
      <w:pPr>
        <w:spacing w:line="360" w:after="210" w:lineRule="auto"/>
      </w:pPr>
      <w:r>
        <w:rPr>
          <w:rFonts w:eastAsia="source serif 4" w:cs="source serif 4" w:ascii="source serif 4" w:hAnsi="source serif 4"/>
          <w:b/>
          <w:color w:val="000000"/>
        </w:rPr>
        <w:t xml:space="preserve">Headline: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Edwin AI may be attractive as an AIOps overlay, but due diligence is essential</w:t>
      </w:r>
    </w:p>
    <w:p>
      <w:pPr>
        <w:spacing w:line="360" w:after="210" w:lineRule="auto"/>
      </w:pPr>
      <w:r>
        <w:rPr>
          <w:rFonts w:eastAsia="source serif 4" w:cs="source serif 4" w:ascii="source serif 4" w:hAnsi="source serif 4"/>
          <w:b/>
          <w:color w:val="000000"/>
        </w:rPr>
        <w:t xml:space="preserve">Content:</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Potential advantages</w:t>
      </w:r>
    </w:p>
    <w:p>
      <w:pPr>
        <w:numPr>
          <w:ilvl w:val="0"/>
          <w:numId w:val="13"/>
        </w:numPr>
        <w:spacing w:line="360" w:before="105" w:after="105" w:lineRule="auto"/>
      </w:pPr>
      <w:r>
        <w:rPr>
          <w:rFonts w:eastAsia="source serif 4" w:cs="source serif 4" w:ascii="source serif 4" w:hAnsi="source serif 4"/>
          <w:color w:val="000000"/>
          <w:sz w:val="21"/>
        </w:rPr>
        <w:t xml:space="preserve">Could act as a top-layer correlation and intelligence platform without replacing the existing monitoring tools.</w:t>
      </w:r>
    </w:p>
    <w:p>
      <w:pPr>
        <w:numPr>
          <w:ilvl w:val="0"/>
          <w:numId w:val="13"/>
        </w:numPr>
        <w:spacing w:line="360" w:before="105" w:after="105" w:lineRule="auto"/>
      </w:pPr>
      <w:r>
        <w:rPr>
          <w:rFonts w:eastAsia="source serif 4" w:cs="source serif 4" w:ascii="source serif 4" w:hAnsi="source serif 4"/>
          <w:color w:val="000000"/>
          <w:sz w:val="21"/>
        </w:rPr>
        <w:t xml:space="preserve">May be suitable where the organization wants AI-assisted operations but prefers to preserve the current toolchain.</w:t>
      </w:r>
    </w:p>
    <w:p>
      <w:pPr>
        <w:numPr>
          <w:ilvl w:val="0"/>
          <w:numId w:val="13"/>
        </w:numPr>
        <w:spacing w:line="360" w:before="105" w:after="105" w:lineRule="auto"/>
      </w:pPr>
      <w:r>
        <w:rPr>
          <w:rFonts w:eastAsia="source serif 4" w:cs="source serif 4" w:ascii="source serif 4" w:hAnsi="source serif 4"/>
          <w:color w:val="000000"/>
          <w:sz w:val="21"/>
        </w:rPr>
        <w:t xml:space="preserve">Could be relevant for hybrid enterprises that want incident reduction and operations orchestration.</w:t>
      </w:r>
    </w:p>
    <w:p>
      <w:pPr>
        <w:spacing w:line="360" w:after="210" w:lineRule="auto"/>
      </w:pPr>
      <w:r>
        <w:rPr>
          <w:rFonts w:eastAsia="source serif 4" w:cs="source serif 4" w:ascii="source serif 4" w:hAnsi="source serif 4"/>
          <w:b/>
          <w:color w:val="000000"/>
        </w:rPr>
        <w:t xml:space="preserve">Risks and validation points</w:t>
      </w:r>
    </w:p>
    <w:p>
      <w:pPr>
        <w:numPr>
          <w:ilvl w:val="0"/>
          <w:numId w:val="14"/>
        </w:numPr>
        <w:spacing w:line="360" w:before="105" w:after="105" w:lineRule="auto"/>
      </w:pPr>
      <w:r>
        <w:rPr>
          <w:rFonts w:eastAsia="source serif 4" w:cs="source serif 4" w:ascii="source serif 4" w:hAnsi="source serif 4"/>
          <w:color w:val="000000"/>
          <w:sz w:val="21"/>
        </w:rPr>
        <w:t xml:space="preserve">Confirm connector support for SolarWinds, Oracle OEM, Splunk, Azure Monitor, Prometheus, and Syslog.</w:t>
      </w:r>
    </w:p>
    <w:p>
      <w:pPr>
        <w:numPr>
          <w:ilvl w:val="0"/>
          <w:numId w:val="14"/>
        </w:numPr>
        <w:spacing w:line="360" w:before="105" w:after="105" w:lineRule="auto"/>
      </w:pPr>
      <w:r>
        <w:rPr>
          <w:rFonts w:eastAsia="source serif 4" w:cs="source serif 4" w:ascii="source serif 4" w:hAnsi="source serif 4"/>
          <w:color w:val="000000"/>
          <w:sz w:val="21"/>
        </w:rPr>
        <w:t xml:space="preserve">Validate whether deployment options support on-prem, sovereign, or restricted enterprise environments.</w:t>
      </w:r>
    </w:p>
    <w:p>
      <w:pPr>
        <w:numPr>
          <w:ilvl w:val="0"/>
          <w:numId w:val="14"/>
        </w:numPr>
        <w:spacing w:line="360" w:before="105" w:after="105" w:lineRule="auto"/>
      </w:pPr>
      <w:r>
        <w:rPr>
          <w:rFonts w:eastAsia="source serif 4" w:cs="source serif 4" w:ascii="source serif 4" w:hAnsi="source serif 4"/>
          <w:color w:val="000000"/>
          <w:sz w:val="21"/>
        </w:rPr>
        <w:t xml:space="preserve">Request licensing structure, implementation model, and proof of RCA quality on real incidents.</w:t>
      </w:r>
    </w:p>
    <w:p>
      <w:pPr>
        <w:numPr>
          <w:ilvl w:val="0"/>
          <w:numId w:val="14"/>
        </w:numPr>
        <w:spacing w:line="360" w:before="105" w:after="105" w:lineRule="auto"/>
      </w:pPr>
      <w:r>
        <w:rPr>
          <w:rFonts w:eastAsia="source serif 4" w:cs="source serif 4" w:ascii="source serif 4" w:hAnsi="source serif 4"/>
          <w:color w:val="000000"/>
          <w:sz w:val="21"/>
        </w:rPr>
        <w:t xml:space="preserve">Assess auditability, explainability, and regulatory fit for financial services operations.</w:t>
      </w:r>
    </w:p>
    <w:p>
      <w:pPr>
        <w:spacing w:line="360" w:after="210" w:lineRule="auto"/>
      </w:pPr>
      <w:r>
        <w:rPr>
          <w:rFonts w:eastAsia="source serif 4" w:cs="source serif 4" w:ascii="source serif 4" w:hAnsi="source serif 4"/>
          <w:b/>
          <w:color w:val="000000"/>
        </w:rPr>
        <w:t xml:space="preserve">Positioning statement: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Edwin AI should be treated as a candidate for pilot validation rather than assumed as a default winner.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 w:name="slide_10_detailed_assessment_datadog"/>
      <w:r>
        <w:rPr>
          <w:rFonts w:eastAsia="source serif 4" w:cs="source serif 4" w:ascii="source serif 4" w:hAnsi="source serif 4"/>
          <w:b/>
          <w:color w:val="000000"/>
          <w:sz w:val="24"/>
        </w:rPr>
        <w:t xml:space="preserve">Slide 10 — Detailed Assessment: Datadog</w:t>
      </w:r>
      <w:bookmarkEnd w:id="18"/>
    </w:p>
    <w:p>
      <w:pPr>
        <w:spacing w:line="360" w:after="210" w:lineRule="auto"/>
      </w:pPr>
      <w:r>
        <w:rPr>
          <w:rFonts w:eastAsia="source serif 4" w:cs="source serif 4" w:ascii="source serif 4" w:hAnsi="source serif 4"/>
          <w:b/>
          <w:color w:val="000000"/>
        </w:rPr>
        <w:t xml:space="preserve">Headline: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Datadog is the strongest unified platform for broad observability, but cost expands quickly with scale</w:t>
      </w:r>
    </w:p>
    <w:p>
      <w:pPr>
        <w:spacing w:line="360" w:after="210" w:lineRule="auto"/>
      </w:pPr>
      <w:r>
        <w:rPr>
          <w:rFonts w:eastAsia="source serif 4" w:cs="source serif 4" w:ascii="source serif 4" w:hAnsi="source serif 4"/>
          <w:b/>
          <w:color w:val="000000"/>
        </w:rPr>
        <w:t xml:space="preserve">Content:</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Strengths</w:t>
      </w:r>
    </w:p>
    <w:p>
      <w:pPr>
        <w:numPr>
          <w:ilvl w:val="0"/>
          <w:numId w:val="15"/>
        </w:numPr>
        <w:spacing w:line="360" w:before="105" w:after="105" w:lineRule="auto"/>
      </w:pPr>
      <w:r>
        <w:rPr>
          <w:rFonts w:eastAsia="source serif 4" w:cs="source serif 4" w:ascii="source serif 4" w:hAnsi="source serif 4"/>
          <w:color w:val="000000"/>
          <w:sz w:val="21"/>
        </w:rPr>
        <w:t xml:space="preserve">Strong unified platform for infrastructure, APM, logs, and cloud telemetry.</w:t>
      </w:r>
    </w:p>
    <w:p>
      <w:pPr>
        <w:numPr>
          <w:ilvl w:val="0"/>
          <w:numId w:val="15"/>
        </w:numPr>
        <w:spacing w:line="360" w:before="105" w:after="105" w:lineRule="auto"/>
      </w:pPr>
      <w:r>
        <w:rPr>
          <w:rFonts w:eastAsia="source serif 4" w:cs="source serif 4" w:ascii="source serif 4" w:hAnsi="source serif 4"/>
          <w:color w:val="000000"/>
          <w:sz w:val="21"/>
        </w:rPr>
        <w:t xml:space="preserve">Good fit for organizations seeking one SaaS platform rather than many separate products.</w:t>
      </w:r>
    </w:p>
    <w:p>
      <w:pPr>
        <w:numPr>
          <w:ilvl w:val="0"/>
          <w:numId w:val="15"/>
        </w:numPr>
        <w:spacing w:line="360" w:before="105" w:after="105" w:lineRule="auto"/>
      </w:pPr>
      <w:r>
        <w:rPr>
          <w:rFonts w:eastAsia="source serif 4" w:cs="source serif 4" w:ascii="source serif 4" w:hAnsi="source serif 4"/>
          <w:color w:val="000000"/>
          <w:sz w:val="21"/>
        </w:rPr>
        <w:t xml:space="preserve">Transparent list pricing is published publicly across major product areas. Infrastructure Pro is listed at $15 per host per month annually, APM at $31 per APM host per month annually, and log ingestion at $0.10 per GB.</w:t>
      </w:r>
      <w:bookmarkStart w:id="19" w:name="fnref2_5"/>
      <w:bookmarkEnd w:id="19"/>
      <w:hyperlink w:anchor="fn2">
        <w:r>
          <w:rPr>
            <w:rFonts w:eastAsia="source sans 3" w:cs="source sans 3" w:ascii="source sans 3" w:hAnsi="source sans 3"/>
            <w:color w:val="#000"/>
            <w:sz w:val="21"/>
            <w:u w:val="single"/>
            <w:vertAlign w:val="superscript"/>
          </w:rPr>
          <w:t xml:space="preserve">[2]</w:t>
        </w:r>
      </w:hyperlink>
    </w:p>
    <w:p>
      <w:pPr>
        <w:numPr>
          <w:ilvl w:val="0"/>
          <w:numId w:val="15"/>
        </w:numPr>
        <w:spacing w:line="360" w:before="105" w:after="105" w:lineRule="auto"/>
      </w:pPr>
      <w:r>
        <w:rPr>
          <w:rFonts w:eastAsia="source serif 4" w:cs="source serif 4" w:ascii="source serif 4" w:hAnsi="source serif 4"/>
          <w:color w:val="000000"/>
          <w:sz w:val="21"/>
        </w:rPr>
        <w:t xml:space="preserve">Datadog also lists Agent Observability pricing at $160 annually for the first 100,000 LLM spans per month, with additional 10,000-span increments priced separately.</w:t>
      </w:r>
      <w:bookmarkStart w:id="20" w:name="fnref2_6"/>
      <w:bookmarkEnd w:id="20"/>
      <w:hyperlink w:anchor="fn2">
        <w:r>
          <w:rPr>
            <w:rFonts w:eastAsia="source sans 3" w:cs="source sans 3" w:ascii="source sans 3" w:hAnsi="source sans 3"/>
            <w:color w:val="#000"/>
            <w:sz w:val="21"/>
            <w:u w:val="single"/>
            <w:vertAlign w:val="superscript"/>
          </w:rPr>
          <w:t xml:space="preserve">[2]</w:t>
        </w:r>
      </w:hyperlink>
    </w:p>
    <w:p>
      <w:pPr>
        <w:spacing w:line="360" w:after="210" w:lineRule="auto"/>
      </w:pPr>
      <w:r>
        <w:rPr>
          <w:rFonts w:eastAsia="source serif 4" w:cs="source serif 4" w:ascii="source serif 4" w:hAnsi="source serif 4"/>
          <w:b/>
          <w:color w:val="000000"/>
        </w:rPr>
        <w:t xml:space="preserve">Weaknesses</w:t>
      </w:r>
    </w:p>
    <w:p>
      <w:pPr>
        <w:numPr>
          <w:ilvl w:val="0"/>
          <w:numId w:val="16"/>
        </w:numPr>
        <w:spacing w:line="360" w:before="105" w:after="105" w:lineRule="auto"/>
      </w:pPr>
      <w:r>
        <w:rPr>
          <w:rFonts w:eastAsia="source serif 4" w:cs="source serif 4" w:ascii="source serif 4" w:hAnsi="source serif 4"/>
          <w:color w:val="000000"/>
          <w:sz w:val="21"/>
        </w:rPr>
        <w:t xml:space="preserve">Pricing is modular, so total cost rises across hosts, APM, logs, indexing, seats, and optional capabilities.</w:t>
      </w:r>
      <w:bookmarkStart w:id="21" w:name="fnref2_7"/>
      <w:bookmarkEnd w:id="21"/>
      <w:hyperlink w:anchor="fn2">
        <w:r>
          <w:rPr>
            <w:rFonts w:eastAsia="source sans 3" w:cs="source sans 3" w:ascii="source sans 3" w:hAnsi="source sans 3"/>
            <w:color w:val="#000"/>
            <w:sz w:val="21"/>
            <w:u w:val="single"/>
            <w:vertAlign w:val="superscript"/>
          </w:rPr>
          <w:t xml:space="preserve">[2]</w:t>
        </w:r>
      </w:hyperlink>
    </w:p>
    <w:p>
      <w:pPr>
        <w:numPr>
          <w:ilvl w:val="0"/>
          <w:numId w:val="16"/>
        </w:numPr>
        <w:spacing w:line="360" w:before="105" w:after="105" w:lineRule="auto"/>
      </w:pPr>
      <w:r>
        <w:rPr>
          <w:rFonts w:eastAsia="source serif 4" w:cs="source serif 4" w:ascii="source serif 4" w:hAnsi="source serif 4"/>
          <w:color w:val="000000"/>
          <w:sz w:val="21"/>
        </w:rPr>
        <w:t xml:space="preserve">Large environments with high log volume, many hosts, or heavy tracing can see rapid spend growth.</w:t>
      </w:r>
    </w:p>
    <w:p>
      <w:pPr>
        <w:numPr>
          <w:ilvl w:val="0"/>
          <w:numId w:val="16"/>
        </w:numPr>
        <w:spacing w:line="360" w:before="105" w:after="105" w:lineRule="auto"/>
      </w:pPr>
      <w:r>
        <w:rPr>
          <w:rFonts w:eastAsia="source serif 4" w:cs="source serif 4" w:ascii="source serif 4" w:hAnsi="source serif 4"/>
          <w:color w:val="000000"/>
          <w:sz w:val="21"/>
        </w:rPr>
        <w:t xml:space="preserve">For heavily on-prem or highly regulated environments, SaaS adoption and data locality need validation.</w:t>
      </w:r>
    </w:p>
    <w:p>
      <w:pPr>
        <w:spacing w:line="360" w:after="210" w:lineRule="auto"/>
      </w:pPr>
      <w:r>
        <w:rPr>
          <w:rFonts w:eastAsia="source serif 4" w:cs="source serif 4" w:ascii="source serif 4" w:hAnsi="source serif 4"/>
          <w:b/>
          <w:color w:val="000000"/>
        </w:rPr>
        <w:t xml:space="preserve">Best fit</w:t>
      </w:r>
    </w:p>
    <w:p>
      <w:pPr>
        <w:numPr>
          <w:ilvl w:val="0"/>
          <w:numId w:val="17"/>
        </w:numPr>
        <w:spacing w:line="360" w:before="105" w:after="105" w:lineRule="auto"/>
      </w:pPr>
      <w:r>
        <w:rPr>
          <w:rFonts w:eastAsia="source serif 4" w:cs="source serif 4" w:ascii="source serif 4" w:hAnsi="source serif 4"/>
          <w:color w:val="000000"/>
          <w:sz w:val="21"/>
        </w:rPr>
        <w:t xml:space="preserve">Hybrid or multi-cloud organizations that want a unified observability platform and can actively manage ingestion and retention costs.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2" w:name="slide_11_detailed_assessment_ibm_dacad1"/>
      <w:r>
        <w:rPr>
          <w:rFonts w:eastAsia="source serif 4" w:cs="source serif 4" w:ascii="source serif 4" w:hAnsi="source serif 4"/>
          <w:b/>
          <w:color w:val="000000"/>
          <w:sz w:val="24"/>
        </w:rPr>
        <w:t xml:space="preserve">Slide 11 — Detailed Assessment: IBM watsonx AIOps</w:t>
      </w:r>
      <w:bookmarkEnd w:id="22"/>
    </w:p>
    <w:p>
      <w:pPr>
        <w:spacing w:line="360" w:after="210" w:lineRule="auto"/>
      </w:pPr>
      <w:r>
        <w:rPr>
          <w:rFonts w:eastAsia="source serif 4" w:cs="source serif 4" w:ascii="source serif 4" w:hAnsi="source serif 4"/>
          <w:b/>
          <w:color w:val="000000"/>
        </w:rPr>
        <w:t xml:space="preserve">Headline: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IBM watsonx AIOps is better suited to large, process-driven enterprise operations environments</w:t>
      </w:r>
    </w:p>
    <w:p>
      <w:pPr>
        <w:spacing w:line="360" w:after="210" w:lineRule="auto"/>
      </w:pPr>
      <w:r>
        <w:rPr>
          <w:rFonts w:eastAsia="source serif 4" w:cs="source serif 4" w:ascii="source serif 4" w:hAnsi="source serif 4"/>
          <w:b/>
          <w:color w:val="000000"/>
        </w:rPr>
        <w:t xml:space="preserve">Content:</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Strengths</w:t>
      </w:r>
    </w:p>
    <w:p>
      <w:pPr>
        <w:numPr>
          <w:ilvl w:val="0"/>
          <w:numId w:val="18"/>
        </w:numPr>
        <w:spacing w:line="360" w:before="105" w:after="105" w:lineRule="auto"/>
      </w:pPr>
      <w:r>
        <w:rPr>
          <w:rFonts w:eastAsia="source serif 4" w:cs="source serif 4" w:ascii="source serif 4" w:hAnsi="source serif 4"/>
          <w:color w:val="000000"/>
          <w:sz w:val="21"/>
        </w:rPr>
        <w:t xml:space="preserve">Strong enterprise positioning for IT operations, event correlation, and workflow-oriented incident handling.</w:t>
      </w:r>
    </w:p>
    <w:p>
      <w:pPr>
        <w:numPr>
          <w:ilvl w:val="0"/>
          <w:numId w:val="18"/>
        </w:numPr>
        <w:spacing w:line="360" w:before="105" w:after="105" w:lineRule="auto"/>
      </w:pPr>
      <w:r>
        <w:rPr>
          <w:rFonts w:eastAsia="source serif 4" w:cs="source serif 4" w:ascii="source serif 4" w:hAnsi="source serif 4"/>
          <w:color w:val="000000"/>
          <w:sz w:val="21"/>
        </w:rPr>
        <w:t xml:space="preserve">Likely a strong fit for organizations with heterogeneous infrastructure and mature service-management processes.</w:t>
      </w:r>
    </w:p>
    <w:p>
      <w:pPr>
        <w:numPr>
          <w:ilvl w:val="0"/>
          <w:numId w:val="18"/>
        </w:numPr>
        <w:spacing w:line="360" w:before="105" w:after="105" w:lineRule="auto"/>
      </w:pPr>
      <w:r>
        <w:rPr>
          <w:rFonts w:eastAsia="source serif 4" w:cs="source serif 4" w:ascii="source serif 4" w:hAnsi="source serif 4"/>
          <w:color w:val="000000"/>
          <w:sz w:val="21"/>
        </w:rPr>
        <w:t xml:space="preserve">Better aligned than cloud-native-only tools for complex enterprise operations models.</w:t>
      </w:r>
    </w:p>
    <w:p>
      <w:pPr>
        <w:spacing w:line="360" w:after="210" w:lineRule="auto"/>
      </w:pPr>
      <w:r>
        <w:rPr>
          <w:rFonts w:eastAsia="source serif 4" w:cs="source serif 4" w:ascii="source serif 4" w:hAnsi="source serif 4"/>
          <w:b/>
          <w:color w:val="000000"/>
        </w:rPr>
        <w:t xml:space="preserve">Weaknesses</w:t>
      </w:r>
    </w:p>
    <w:p>
      <w:pPr>
        <w:numPr>
          <w:ilvl w:val="0"/>
          <w:numId w:val="19"/>
        </w:numPr>
        <w:spacing w:line="360" w:before="105" w:after="105" w:lineRule="auto"/>
      </w:pPr>
      <w:r>
        <w:rPr>
          <w:rFonts w:eastAsia="source serif 4" w:cs="source serif 4" w:ascii="source serif 4" w:hAnsi="source serif 4"/>
          <w:color w:val="000000"/>
          <w:sz w:val="21"/>
        </w:rPr>
        <w:t xml:space="preserve">Commercial structure is usually less transparent than public SaaS list pricing.</w:t>
      </w:r>
    </w:p>
    <w:p>
      <w:pPr>
        <w:numPr>
          <w:ilvl w:val="0"/>
          <w:numId w:val="19"/>
        </w:numPr>
        <w:spacing w:line="360" w:before="105" w:after="105" w:lineRule="auto"/>
      </w:pPr>
      <w:r>
        <w:rPr>
          <w:rFonts w:eastAsia="source serif 4" w:cs="source serif 4" w:ascii="source serif 4" w:hAnsi="source serif 4"/>
          <w:color w:val="000000"/>
          <w:sz w:val="21"/>
        </w:rPr>
        <w:t xml:space="preserve">Integration depth with Prometheus, Grafana, SolarWinds, Splunk, and Azure-native services must be validated in detail.</w:t>
      </w:r>
    </w:p>
    <w:p>
      <w:pPr>
        <w:numPr>
          <w:ilvl w:val="0"/>
          <w:numId w:val="19"/>
        </w:numPr>
        <w:spacing w:line="360" w:before="105" w:after="105" w:lineRule="auto"/>
      </w:pPr>
      <w:r>
        <w:rPr>
          <w:rFonts w:eastAsia="source serif 4" w:cs="source serif 4" w:ascii="source serif 4" w:hAnsi="source serif 4"/>
          <w:color w:val="000000"/>
          <w:sz w:val="21"/>
        </w:rPr>
        <w:t xml:space="preserve">Implementation may require more design effort, governance, and onboarding than a lighter SaaS platform.</w:t>
      </w:r>
    </w:p>
    <w:p>
      <w:pPr>
        <w:spacing w:line="360" w:after="210" w:lineRule="auto"/>
      </w:pPr>
      <w:r>
        <w:rPr>
          <w:rFonts w:eastAsia="source serif 4" w:cs="source serif 4" w:ascii="source serif 4" w:hAnsi="source serif 4"/>
          <w:b/>
          <w:color w:val="000000"/>
        </w:rPr>
        <w:t xml:space="preserve">Best fit</w:t>
      </w:r>
    </w:p>
    <w:p>
      <w:pPr>
        <w:numPr>
          <w:ilvl w:val="0"/>
          <w:numId w:val="20"/>
        </w:numPr>
        <w:spacing w:line="360" w:before="105" w:after="105" w:lineRule="auto"/>
      </w:pPr>
      <w:r>
        <w:rPr>
          <w:rFonts w:eastAsia="source serif 4" w:cs="source serif 4" w:ascii="source serif 4" w:hAnsi="source serif 4"/>
          <w:color w:val="000000"/>
          <w:sz w:val="21"/>
        </w:rPr>
        <w:t xml:space="preserve">On-prem-heavy or hybrid organizations that want enterprise AIOps governance more than a cloud-first observability suite.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3" w:name="slide_12_detailed_assessment_azur_edf741"/>
      <w:r>
        <w:rPr>
          <w:rFonts w:eastAsia="source serif 4" w:cs="source serif 4" w:ascii="source serif 4" w:hAnsi="source serif 4"/>
          <w:b/>
          <w:color w:val="000000"/>
          <w:sz w:val="24"/>
        </w:rPr>
        <w:t xml:space="preserve">Slide 12 — Detailed Assessment: Azure Copilot and Azure Observability</w:t>
      </w:r>
      <w:bookmarkEnd w:id="23"/>
    </w:p>
    <w:p>
      <w:pPr>
        <w:spacing w:line="360" w:after="210" w:lineRule="auto"/>
      </w:pPr>
      <w:r>
        <w:rPr>
          <w:rFonts w:eastAsia="source serif 4" w:cs="source serif 4" w:ascii="source serif 4" w:hAnsi="source serif 4"/>
          <w:b/>
          <w:color w:val="000000"/>
        </w:rPr>
        <w:t xml:space="preserve">Headline: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Azure is the most natural choice for Azure-first estates and operational governance inside Microsoft</w:t>
      </w:r>
    </w:p>
    <w:p>
      <w:pPr>
        <w:spacing w:line="360" w:after="210" w:lineRule="auto"/>
      </w:pPr>
      <w:r>
        <w:rPr>
          <w:rFonts w:eastAsia="source serif 4" w:cs="source serif 4" w:ascii="source serif 4" w:hAnsi="source serif 4"/>
          <w:b/>
          <w:color w:val="000000"/>
        </w:rPr>
        <w:t xml:space="preserve">Content:</w:t>
      </w:r>
    </w:p>
    <w:p>
      <w:pPr>
        <w:numPr>
          <w:ilvl w:val="0"/>
          <w:numId w:val="21"/>
        </w:numPr>
        <w:spacing w:line="360" w:before="105" w:after="105" w:lineRule="auto"/>
      </w:pPr>
      <w:r>
        <w:rPr>
          <w:rFonts w:eastAsia="source serif 4" w:cs="source serif 4" w:ascii="source serif 4" w:hAnsi="source serif 4"/>
          <w:color w:val="000000"/>
          <w:sz w:val="21"/>
        </w:rPr>
        <w:t xml:space="preserve">The Observability Agent in Azure Monitor uses generative AI to investigate, diagnose, and explain issues across monitored resources.</w:t>
      </w:r>
      <w:bookmarkStart w:id="24" w:name="fnref1_6"/>
      <w:bookmarkEnd w:id="24"/>
      <w:hyperlink w:anchor="fn1">
        <w:r>
          <w:rPr>
            <w:rFonts w:eastAsia="source sans 3" w:cs="source sans 3" w:ascii="source sans 3" w:hAnsi="source sans 3"/>
            <w:color w:val="#000"/>
            <w:sz w:val="21"/>
            <w:u w:val="single"/>
            <w:vertAlign w:val="superscript"/>
          </w:rPr>
          <w:t xml:space="preserve">[1]</w:t>
        </w:r>
      </w:hyperlink>
    </w:p>
    <w:p>
      <w:pPr>
        <w:numPr>
          <w:ilvl w:val="0"/>
          <w:numId w:val="21"/>
        </w:numPr>
        <w:spacing w:line="360" w:before="105" w:after="105" w:lineRule="auto"/>
      </w:pPr>
      <w:r>
        <w:rPr>
          <w:rFonts w:eastAsia="source serif 4" w:cs="source serif 4" w:ascii="source serif 4" w:hAnsi="source serif 4"/>
          <w:color w:val="000000"/>
          <w:sz w:val="21"/>
        </w:rPr>
        <w:t xml:space="preserve">It is billed using a consumption-based pricing model measured in Azure Copilot Units, and charges are scoped to the Azure subscription of the monitored resource.</w:t>
      </w:r>
      <w:bookmarkStart w:id="25" w:name="fnref1_7"/>
      <w:bookmarkEnd w:id="25"/>
      <w:hyperlink w:anchor="fn1">
        <w:r>
          <w:rPr>
            <w:rFonts w:eastAsia="source sans 3" w:cs="source sans 3" w:ascii="source sans 3" w:hAnsi="source sans 3"/>
            <w:color w:val="#000"/>
            <w:sz w:val="21"/>
            <w:u w:val="single"/>
            <w:vertAlign w:val="superscript"/>
          </w:rPr>
          <w:t xml:space="preserve">[1]</w:t>
        </w:r>
      </w:hyperlink>
    </w:p>
    <w:p>
      <w:pPr>
        <w:numPr>
          <w:ilvl w:val="0"/>
          <w:numId w:val="21"/>
        </w:numPr>
        <w:spacing w:line="360" w:before="105" w:after="105" w:lineRule="auto"/>
      </w:pPr>
      <w:r>
        <w:rPr>
          <w:rFonts w:eastAsia="source serif 4" w:cs="source serif 4" w:ascii="source serif 4" w:hAnsi="source serif 4"/>
          <w:color w:val="000000"/>
          <w:sz w:val="21"/>
        </w:rPr>
        <w:t xml:space="preserve">Billing for the Observability Agent started on July 1, 2026.</w:t>
      </w:r>
      <w:bookmarkStart w:id="26" w:name="fnref1_8"/>
      <w:bookmarkEnd w:id="26"/>
      <w:hyperlink w:anchor="fn1">
        <w:r>
          <w:rPr>
            <w:rFonts w:eastAsia="source sans 3" w:cs="source sans 3" w:ascii="source sans 3" w:hAnsi="source sans 3"/>
            <w:color w:val="#000"/>
            <w:sz w:val="21"/>
            <w:u w:val="single"/>
            <w:vertAlign w:val="superscript"/>
          </w:rPr>
          <w:t xml:space="preserve">[1]</w:t>
        </w:r>
      </w:hyperlink>
    </w:p>
    <w:p>
      <w:pPr>
        <w:numPr>
          <w:ilvl w:val="0"/>
          <w:numId w:val="21"/>
        </w:numPr>
        <w:spacing w:line="360" w:before="105" w:after="105" w:lineRule="auto"/>
      </w:pPr>
      <w:r>
        <w:rPr>
          <w:rFonts w:eastAsia="source serif 4" w:cs="source serif 4" w:ascii="source serif 4" w:hAnsi="source serif 4"/>
          <w:color w:val="000000"/>
          <w:sz w:val="21"/>
        </w:rPr>
        <w:t xml:space="preserve">Azure cost visibility is integrated with Microsoft Cost Management, which is a practical advantage for enterprises already standardizing on Azure governance.</w:t>
      </w:r>
      <w:bookmarkStart w:id="27" w:name="fnref1_9"/>
      <w:bookmarkEnd w:id="27"/>
      <w:hyperlink w:anchor="fn1">
        <w:r>
          <w:rPr>
            <w:rFonts w:eastAsia="source sans 3" w:cs="source sans 3" w:ascii="source sans 3" w:hAnsi="source sans 3"/>
            <w:color w:val="#000"/>
            <w:sz w:val="21"/>
            <w:u w:val="single"/>
            <w:vertAlign w:val="superscript"/>
          </w:rPr>
          <w:t xml:space="preserve">[1]</w:t>
        </w:r>
      </w:hyperlink>
    </w:p>
    <w:p>
      <w:pPr>
        <w:spacing w:line="360" w:after="210" w:lineRule="auto"/>
      </w:pPr>
      <w:r>
        <w:rPr>
          <w:rFonts w:eastAsia="source serif 4" w:cs="source serif 4" w:ascii="source serif 4" w:hAnsi="source serif 4"/>
          <w:b/>
          <w:color w:val="000000"/>
        </w:rPr>
        <w:t xml:space="preserve">Strengths</w:t>
      </w:r>
    </w:p>
    <w:p>
      <w:pPr>
        <w:numPr>
          <w:ilvl w:val="0"/>
          <w:numId w:val="22"/>
        </w:numPr>
        <w:spacing w:line="360" w:before="105" w:after="105" w:lineRule="auto"/>
      </w:pPr>
      <w:r>
        <w:rPr>
          <w:rFonts w:eastAsia="source serif 4" w:cs="source serif 4" w:ascii="source serif 4" w:hAnsi="source serif 4"/>
          <w:color w:val="000000"/>
          <w:sz w:val="21"/>
        </w:rPr>
        <w:t xml:space="preserve">Native alignment with Azure Monitor and Log Analytics Workspace.</w:t>
      </w:r>
    </w:p>
    <w:p>
      <w:pPr>
        <w:numPr>
          <w:ilvl w:val="0"/>
          <w:numId w:val="22"/>
        </w:numPr>
        <w:spacing w:line="360" w:before="105" w:after="105" w:lineRule="auto"/>
      </w:pPr>
      <w:r>
        <w:rPr>
          <w:rFonts w:eastAsia="source serif 4" w:cs="source serif 4" w:ascii="source serif 4" w:hAnsi="source serif 4"/>
          <w:color w:val="000000"/>
          <w:sz w:val="21"/>
        </w:rPr>
        <w:t xml:space="preserve">Strong governance and subscription-based billing visibility.</w:t>
      </w:r>
    </w:p>
    <w:p>
      <w:pPr>
        <w:numPr>
          <w:ilvl w:val="0"/>
          <w:numId w:val="22"/>
        </w:numPr>
        <w:spacing w:line="360" w:before="105" w:after="105" w:lineRule="auto"/>
      </w:pPr>
      <w:r>
        <w:rPr>
          <w:rFonts w:eastAsia="source serif 4" w:cs="source serif 4" w:ascii="source serif 4" w:hAnsi="source serif 4"/>
          <w:color w:val="000000"/>
          <w:sz w:val="21"/>
        </w:rPr>
        <w:t xml:space="preserve">Good for Azure operations teams wanting AI-assisted diagnostics without introducing another major platform.</w:t>
      </w:r>
    </w:p>
    <w:p>
      <w:pPr>
        <w:spacing w:line="360" w:after="210" w:lineRule="auto"/>
      </w:pPr>
      <w:r>
        <w:rPr>
          <w:rFonts w:eastAsia="source serif 4" w:cs="source serif 4" w:ascii="source serif 4" w:hAnsi="source serif 4"/>
          <w:b/>
          <w:color w:val="000000"/>
        </w:rPr>
        <w:t xml:space="preserve">Weaknesses</w:t>
      </w:r>
    </w:p>
    <w:p>
      <w:pPr>
        <w:numPr>
          <w:ilvl w:val="0"/>
          <w:numId w:val="23"/>
        </w:numPr>
        <w:spacing w:line="360" w:before="105" w:after="105" w:lineRule="auto"/>
      </w:pPr>
      <w:r>
        <w:rPr>
          <w:rFonts w:eastAsia="source serif 4" w:cs="source serif 4" w:ascii="source serif 4" w:hAnsi="source serif 4"/>
          <w:color w:val="000000"/>
          <w:sz w:val="21"/>
        </w:rPr>
        <w:t xml:space="preserve">Less ideal as the single AIOps command layer for a heavily mixed environment spanning many non-Azure tools.</w:t>
      </w:r>
    </w:p>
    <w:p>
      <w:pPr>
        <w:numPr>
          <w:ilvl w:val="0"/>
          <w:numId w:val="23"/>
        </w:numPr>
        <w:spacing w:line="360" w:before="105" w:after="105" w:lineRule="auto"/>
      </w:pPr>
      <w:r>
        <w:rPr>
          <w:rFonts w:eastAsia="source serif 4" w:cs="source serif 4" w:ascii="source serif 4" w:hAnsi="source serif 4"/>
          <w:color w:val="000000"/>
          <w:sz w:val="21"/>
        </w:rPr>
        <w:t xml:space="preserve">Best value is realized when Azure Monitor is already central to the monitoring strategy.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8" w:name="slide_13_cost_assessment_framework"/>
      <w:r>
        <w:rPr>
          <w:rFonts w:eastAsia="source serif 4" w:cs="source serif 4" w:ascii="source serif 4" w:hAnsi="source serif 4"/>
          <w:b/>
          <w:color w:val="000000"/>
          <w:sz w:val="24"/>
        </w:rPr>
        <w:t xml:space="preserve">Slide 13 — Cost Assessment Framework</w:t>
      </w:r>
      <w:bookmarkEnd w:id="28"/>
    </w:p>
    <w:p>
      <w:pPr>
        <w:spacing w:line="360" w:after="210" w:lineRule="auto"/>
      </w:pPr>
      <w:r>
        <w:rPr>
          <w:rFonts w:eastAsia="source serif 4" w:cs="source serif 4" w:ascii="source serif 4" w:hAnsi="source serif 4"/>
          <w:b/>
          <w:color w:val="000000"/>
        </w:rPr>
        <w:t xml:space="preserve">Headline: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Cost should be evaluated across five layers, not just license price</w:t>
      </w:r>
    </w:p>
    <w:p>
      <w:pPr>
        <w:spacing w:line="360" w:after="210" w:lineRule="auto"/>
      </w:pPr>
      <w:r>
        <w:rPr>
          <w:rFonts w:eastAsia="source serif 4" w:cs="source serif 4" w:ascii="source serif 4" w:hAnsi="source serif 4"/>
          <w:b/>
          <w:color w:val="000000"/>
        </w:rPr>
        <w:t xml:space="preserve">Content:</w:t>
      </w:r>
    </w:p>
    <w:p>
      <w:pPr>
        <w:spacing w:line="360" w:after="210" w:lineRule="auto"/>
      </w:pPr>
      <w:r>
        <w:rPr>
          <w:rFonts w:eastAsia="source serif 4" w:cs="source serif 4" w:ascii="source serif 4" w:hAnsi="source serif 4"/>
          <w:b/>
          <w:color w:val="000000"/>
        </w:rPr>
        <w:t xml:space="preserve">Five cost dimensions</w:t>
      </w:r>
    </w:p>
    <w:p>
      <w:pPr>
        <w:numPr>
          <w:ilvl w:val="0"/>
          <w:numId w:val="24"/>
        </w:numPr>
        <w:spacing w:line="360" w:before="105" w:after="105" w:lineRule="auto"/>
      </w:pPr>
      <w:r>
        <w:rPr>
          <w:rFonts w:eastAsia="source serif 4" w:cs="source serif 4" w:ascii="source serif 4" w:hAnsi="source serif 4"/>
          <w:color w:val="000000"/>
          <w:sz w:val="21"/>
        </w:rPr>
        <w:t xml:space="preserve">Platform subscription or license.</w:t>
      </w:r>
    </w:p>
    <w:p>
      <w:pPr>
        <w:numPr>
          <w:ilvl w:val="0"/>
          <w:numId w:val="24"/>
        </w:numPr>
        <w:spacing w:line="360" w:before="105" w:after="105" w:lineRule="auto"/>
      </w:pPr>
      <w:r>
        <w:rPr>
          <w:rFonts w:eastAsia="source serif 4" w:cs="source serif 4" w:ascii="source serif 4" w:hAnsi="source serif 4"/>
          <w:color w:val="000000"/>
          <w:sz w:val="21"/>
        </w:rPr>
        <w:t xml:space="preserve">Telemetry ingestion cost, such as logs, spans, events, or hosts.</w:t>
      </w:r>
    </w:p>
    <w:p>
      <w:pPr>
        <w:numPr>
          <w:ilvl w:val="0"/>
          <w:numId w:val="24"/>
        </w:numPr>
        <w:spacing w:line="360" w:before="105" w:after="105" w:lineRule="auto"/>
      </w:pPr>
      <w:r>
        <w:rPr>
          <w:rFonts w:eastAsia="source serif 4" w:cs="source serif 4" w:ascii="source serif 4" w:hAnsi="source serif 4"/>
          <w:color w:val="000000"/>
          <w:sz w:val="21"/>
        </w:rPr>
        <w:t xml:space="preserve">Retention and indexing cost.</w:t>
      </w:r>
    </w:p>
    <w:p>
      <w:pPr>
        <w:numPr>
          <w:ilvl w:val="0"/>
          <w:numId w:val="24"/>
        </w:numPr>
        <w:spacing w:line="360" w:before="105" w:after="105" w:lineRule="auto"/>
      </w:pPr>
      <w:r>
        <w:rPr>
          <w:rFonts w:eastAsia="source serif 4" w:cs="source serif 4" w:ascii="source serif 4" w:hAnsi="source serif 4"/>
          <w:color w:val="000000"/>
          <w:sz w:val="21"/>
        </w:rPr>
        <w:t xml:space="preserve">AI analysis or investigation usage cost.</w:t>
      </w:r>
    </w:p>
    <w:p>
      <w:pPr>
        <w:numPr>
          <w:ilvl w:val="0"/>
          <w:numId w:val="24"/>
        </w:numPr>
        <w:spacing w:line="360" w:before="105" w:after="105" w:lineRule="auto"/>
      </w:pPr>
      <w:r>
        <w:rPr>
          <w:rFonts w:eastAsia="source serif 4" w:cs="source serif 4" w:ascii="source serif 4" w:hAnsi="source serif 4"/>
          <w:color w:val="000000"/>
          <w:sz w:val="21"/>
        </w:rPr>
        <w:t xml:space="preserve">Integration and operational rollout effort.</w:t>
      </w:r>
    </w:p>
    <w:p>
      <w:pPr>
        <w:spacing w:line="360" w:after="210" w:lineRule="auto"/>
      </w:pPr>
      <w:r>
        <w:rPr>
          <w:rFonts w:eastAsia="source serif 4" w:cs="source serif 4" w:ascii="source serif 4" w:hAnsi="source serif 4"/>
          <w:b/>
          <w:color w:val="000000"/>
        </w:rPr>
        <w:t xml:space="preserve">Examples from current market data</w:t>
      </w:r>
    </w:p>
    <w:p>
      <w:pPr>
        <w:numPr>
          <w:ilvl w:val="0"/>
          <w:numId w:val="25"/>
        </w:numPr>
        <w:spacing w:line="360" w:before="105" w:after="105" w:lineRule="auto"/>
      </w:pPr>
      <w:r>
        <w:rPr>
          <w:rFonts w:eastAsia="source serif 4" w:cs="source serif 4" w:ascii="source serif 4" w:hAnsi="source serif 4"/>
          <w:color w:val="000000"/>
          <w:sz w:val="21"/>
        </w:rPr>
        <w:t xml:space="preserve">Datadog uses multiple billing units including infra hosts, APM hosts, ingested logs, indexed log events, seats, and additional observability features.</w:t>
      </w:r>
      <w:bookmarkStart w:id="29" w:name="fnref2_8"/>
      <w:bookmarkEnd w:id="29"/>
      <w:hyperlink w:anchor="fn2">
        <w:r>
          <w:rPr>
            <w:rFonts w:eastAsia="source sans 3" w:cs="source sans 3" w:ascii="source sans 3" w:hAnsi="source sans 3"/>
            <w:color w:val="#000"/>
            <w:sz w:val="21"/>
            <w:u w:val="single"/>
            <w:vertAlign w:val="superscript"/>
          </w:rPr>
          <w:t xml:space="preserve">[2]</w:t>
        </w:r>
      </w:hyperlink>
    </w:p>
    <w:p>
      <w:pPr>
        <w:numPr>
          <w:ilvl w:val="0"/>
          <w:numId w:val="25"/>
        </w:numPr>
        <w:spacing w:line="360" w:before="105" w:after="105" w:lineRule="auto"/>
      </w:pPr>
      <w:r>
        <w:rPr>
          <w:rFonts w:eastAsia="source serif 4" w:cs="source serif 4" w:ascii="source serif 4" w:hAnsi="source serif 4"/>
          <w:color w:val="000000"/>
          <w:sz w:val="21"/>
        </w:rPr>
        <w:t xml:space="preserve">Azure Observability Agent charges are based on AI work performed and measured in ACUs rather than host or seat pricing.</w:t>
      </w:r>
      <w:bookmarkStart w:id="30" w:name="fnref1_10"/>
      <w:bookmarkEnd w:id="30"/>
      <w:hyperlink w:anchor="fn1">
        <w:r>
          <w:rPr>
            <w:rFonts w:eastAsia="source sans 3" w:cs="source sans 3" w:ascii="source sans 3" w:hAnsi="source sans 3"/>
            <w:color w:val="#000"/>
            <w:sz w:val="21"/>
            <w:u w:val="single"/>
            <w:vertAlign w:val="superscript"/>
          </w:rPr>
          <w:t xml:space="preserve">[1]</w:t>
        </w:r>
      </w:hyperlink>
    </w:p>
    <w:p>
      <w:pPr>
        <w:numPr>
          <w:ilvl w:val="0"/>
          <w:numId w:val="25"/>
        </w:numPr>
        <w:spacing w:line="360" w:before="105" w:after="105" w:lineRule="auto"/>
      </w:pPr>
      <w:r>
        <w:rPr>
          <w:rFonts w:eastAsia="source serif 4" w:cs="source serif 4" w:ascii="source serif 4" w:hAnsi="source serif 4"/>
          <w:color w:val="000000"/>
          <w:sz w:val="21"/>
        </w:rPr>
        <w:t xml:space="preserve">A single deep investigation in Azure is capped at 300 ACUs, which helps define an upper bound for one AI-led investigation cycle.</w:t>
      </w:r>
      <w:bookmarkStart w:id="31" w:name="fnref1_11"/>
      <w:bookmarkEnd w:id="31"/>
      <w:hyperlink w:anchor="fn1">
        <w:r>
          <w:rPr>
            <w:rFonts w:eastAsia="source sans 3" w:cs="source sans 3" w:ascii="source sans 3" w:hAnsi="source sans 3"/>
            <w:color w:val="#000"/>
            <w:sz w:val="21"/>
            <w:u w:val="single"/>
            <w:vertAlign w:val="superscript"/>
          </w:rPr>
          <w:t xml:space="preserve">[1]</w:t>
        </w:r>
      </w:hyperlink>
    </w:p>
    <w:p>
      <w:pPr>
        <w:spacing w:line="360" w:after="210" w:lineRule="auto"/>
      </w:pPr>
      <w:r>
        <w:rPr>
          <w:rFonts w:eastAsia="source serif 4" w:cs="source serif 4" w:ascii="source serif 4" w:hAnsi="source serif 4"/>
          <w:b/>
          <w:color w:val="000000"/>
        </w:rPr>
        <w:t xml:space="preserve">Interpretation: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cheapest unit price does not guarantee the lowest total cost of ownership.</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2" w:name="slide_14_cost_and_suitability_comparison"/>
      <w:r>
        <w:rPr>
          <w:rFonts w:eastAsia="source serif 4" w:cs="source serif 4" w:ascii="source serif 4" w:hAnsi="source serif 4"/>
          <w:b/>
          <w:color w:val="000000"/>
          <w:sz w:val="24"/>
        </w:rPr>
        <w:t xml:space="preserve">Slide 14 — Cost and Suitability Comparison</w:t>
      </w:r>
      <w:bookmarkEnd w:id="32"/>
    </w:p>
    <w:p>
      <w:pPr>
        <w:spacing w:line="360" w:after="210" w:lineRule="auto"/>
      </w:pPr>
      <w:r>
        <w:rPr>
          <w:rFonts w:eastAsia="source serif 4" w:cs="source serif 4" w:ascii="source serif 4" w:hAnsi="source serif 4"/>
          <w:b/>
          <w:color w:val="000000"/>
        </w:rPr>
        <w:t xml:space="preserve">Headline: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 practical view of platform economics and deployment fit</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585"/>
        <w:gridCol w:w="1585"/>
        <w:gridCol w:w="1585"/>
        <w:gridCol w:w="1585"/>
        <w:gridCol w:w="1585"/>
        <w:gridCol w:w="158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Platform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Cost profile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On-prem fit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Cloud fit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Hybrid fit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Notes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Edwin AI</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Medium to high, likely custom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High, if deployable on-prem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Medium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High</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Must validate commercial model and integrations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Datadog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Medium to high; scales with multiple usage dimensions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Medium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High</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High</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Strong technically, but spend control is critical </w:t>
            </w:r>
            <w:hyperlink w:anchor="fn2">
              <w:r>
                <w:rPr>
                  <w:rFonts w:eastAsia="source sans 3" w:cs="source sans 3" w:ascii="source sans 3" w:hAnsi="source sans 3"/>
                  <w:color w:val="#000"/>
                  <w:sz w:val="17"/>
                  <w:u w:val="single"/>
                  <w:vertAlign w:val="superscript"/>
                </w:rPr>
                <w:t xml:space="preserve">[2]</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IBM watsonx AIOps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High, enterprise/custom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High</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Medium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High</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Better for structured enterprise operations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Azure Copilot / Observability Agent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Low to medium inside Azure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Low to medium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High</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Medium</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Best where Azure Monitor is already central </w:t>
            </w:r>
            <w:hyperlink w:anchor="fn1">
              <w:r>
                <w:rPr>
                  <w:rFonts w:eastAsia="source sans 3" w:cs="source sans 3" w:ascii="source sans 3" w:hAnsi="source sans 3"/>
                  <w:color w:val="#000"/>
                  <w:sz w:val="17"/>
                  <w:u w:val="single"/>
                  <w:vertAlign w:val="superscript"/>
                </w:rPr>
                <w:t xml:space="preserve">[1]</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Azure Monitor / Observability Suite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Low to medium for Azure-first teams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Medium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High</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Medium</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Strongest in Azure-centric architectures </w:t>
            </w:r>
            <w:hyperlink w:anchor="fn1">
              <w:r>
                <w:rPr>
                  <w:rFonts w:eastAsia="source sans 3" w:cs="source sans 3" w:ascii="source sans 3" w:hAnsi="source sans 3"/>
                  <w:color w:val="#000"/>
                  <w:sz w:val="17"/>
                  <w:u w:val="single"/>
                  <w:vertAlign w:val="superscript"/>
                </w:rPr>
                <w:t xml:space="preserve">[1]</w:t>
              </w:r>
            </w:hyperlink>
          </w:p>
        </w:tc>
      </w:tr>
    </w:tbl>
    <w:p>
      <w:pPr>
        <w:spacing w:lineRule="auto"/>
      </w:pPr>
    </w:p>
    <w:p>
      <w:pPr>
        <w:spacing w:line="360" w:after="210" w:lineRule="auto"/>
      </w:pPr>
      <w:r>
        <w:rPr>
          <w:rFonts w:eastAsia="source serif 4" w:cs="source serif 4" w:ascii="source serif 4" w:hAnsi="source serif 4"/>
          <w:b/>
          <w:color w:val="000000"/>
        </w:rPr>
        <w:t xml:space="preserve">Talking point: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Hybrid fit and pricing predictability should be weighted together, not separately.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3" w:name="slide_15_recommendation_and_decis_464772"/>
      <w:r>
        <w:rPr>
          <w:rFonts w:eastAsia="source serif 4" w:cs="source serif 4" w:ascii="source serif 4" w:hAnsi="source serif 4"/>
          <w:b/>
          <w:color w:val="000000"/>
          <w:sz w:val="24"/>
        </w:rPr>
        <w:t xml:space="preserve">Slide 15 — Recommendation and Decision Guidance</w:t>
      </w:r>
      <w:bookmarkEnd w:id="33"/>
    </w:p>
    <w:p>
      <w:pPr>
        <w:spacing w:line="360" w:after="210" w:lineRule="auto"/>
      </w:pPr>
      <w:r>
        <w:rPr>
          <w:rFonts w:eastAsia="source serif 4" w:cs="source serif 4" w:ascii="source serif 4" w:hAnsi="source serif 4"/>
          <w:b/>
          <w:color w:val="000000"/>
        </w:rPr>
        <w:t xml:space="preserve">Headline: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best choice depends on whether the estate is on-prem, cloud-first, or truly hybrid</w:t>
      </w:r>
    </w:p>
    <w:p>
      <w:pPr>
        <w:spacing w:line="360" w:after="210" w:lineRule="auto"/>
      </w:pPr>
      <w:r>
        <w:rPr>
          <w:rFonts w:eastAsia="source serif 4" w:cs="source serif 4" w:ascii="source serif 4" w:hAnsi="source serif 4"/>
          <w:b/>
          <w:color w:val="000000"/>
        </w:rPr>
        <w:t xml:space="preserve">Content:</w:t>
      </w:r>
    </w:p>
    <w:p>
      <w:pPr>
        <w:spacing w:line="360" w:after="210" w:lineRule="auto"/>
      </w:pPr>
      <w:r>
        <w:rPr>
          <w:rFonts w:eastAsia="source serif 4" w:cs="source serif 4" w:ascii="source serif 4" w:hAnsi="source serif 4"/>
          <w:b/>
          <w:color w:val="000000"/>
        </w:rPr>
        <w:t xml:space="preserve">Recommended by environment</w:t>
      </w:r>
    </w:p>
    <w:p>
      <w:pPr>
        <w:numPr>
          <w:ilvl w:val="0"/>
          <w:numId w:val="26"/>
        </w:numPr>
        <w:spacing w:line="360" w:before="105" w:after="105" w:lineRule="auto"/>
      </w:pPr>
      <w:r>
        <w:rPr>
          <w:rFonts w:eastAsia="source serif 4" w:cs="source serif 4" w:ascii="source serif 4" w:hAnsi="source serif 4"/>
          <w:b/>
          <w:color w:val="000000"/>
          <w:sz w:val="21"/>
        </w:rPr>
        <w:t xml:space="preserve">Best for on-prem dominant environments:</w:t>
      </w:r>
      <w:r>
        <w:rPr>
          <w:rFonts w:eastAsia="source serif 4" w:cs="source serif 4" w:ascii="source serif 4" w:hAnsi="source serif 4"/>
          <w:color w:val="000000"/>
          <w:sz w:val="21"/>
        </w:rPr>
        <w:t xml:space="preserve"> IBM watsonx AIOps or Edwin AI, provided integration and deployment flexibility are validated.</w:t>
      </w:r>
    </w:p>
    <w:p>
      <w:pPr>
        <w:numPr>
          <w:ilvl w:val="0"/>
          <w:numId w:val="26"/>
        </w:numPr>
        <w:spacing w:line="360" w:before="105" w:after="105" w:lineRule="auto"/>
      </w:pPr>
      <w:r>
        <w:rPr>
          <w:rFonts w:eastAsia="source serif 4" w:cs="source serif 4" w:ascii="source serif 4" w:hAnsi="source serif 4"/>
          <w:b/>
          <w:color w:val="000000"/>
          <w:sz w:val="21"/>
        </w:rPr>
        <w:t xml:space="preserve">Best for Azure cloud-first environments:</w:t>
      </w:r>
      <w:r>
        <w:rPr>
          <w:rFonts w:eastAsia="source serif 4" w:cs="source serif 4" w:ascii="source serif 4" w:hAnsi="source serif 4"/>
          <w:color w:val="000000"/>
          <w:sz w:val="21"/>
        </w:rPr>
        <w:t xml:space="preserve"> Azure Monitor plus the Observability Agent, because the AI investigation model is already embedded in Azure operations and billed through Azure subscription governance.</w:t>
      </w:r>
      <w:bookmarkStart w:id="34" w:name="fnref1_14"/>
      <w:bookmarkEnd w:id="34"/>
      <w:hyperlink w:anchor="fn1">
        <w:r>
          <w:rPr>
            <w:rFonts w:eastAsia="source sans 3" w:cs="source sans 3" w:ascii="source sans 3" w:hAnsi="source sans 3"/>
            <w:color w:val="#000"/>
            <w:sz w:val="21"/>
            <w:u w:val="single"/>
            <w:vertAlign w:val="superscript"/>
          </w:rPr>
          <w:t xml:space="preserve">[1]</w:t>
        </w:r>
      </w:hyperlink>
    </w:p>
    <w:p>
      <w:pPr>
        <w:numPr>
          <w:ilvl w:val="0"/>
          <w:numId w:val="26"/>
        </w:numPr>
        <w:spacing w:line="360" w:before="105" w:after="105" w:lineRule="auto"/>
      </w:pPr>
      <w:r>
        <w:rPr>
          <w:rFonts w:eastAsia="source serif 4" w:cs="source serif 4" w:ascii="source serif 4" w:hAnsi="source serif 4"/>
          <w:b/>
          <w:color w:val="000000"/>
          <w:sz w:val="21"/>
        </w:rPr>
        <w:t xml:space="preserve">Best for mixed hybrid or multi-cloud environments:</w:t>
      </w:r>
      <w:r>
        <w:rPr>
          <w:rFonts w:eastAsia="source serif 4" w:cs="source serif 4" w:ascii="source serif 4" w:hAnsi="source serif 4"/>
          <w:color w:val="000000"/>
          <w:sz w:val="21"/>
        </w:rPr>
        <w:t xml:space="preserve"> Datadog is the strongest unified platform if budget allows and telemetry volume is actively managed. Its public pricing model makes cost drivers visible, but also shows how spend can grow across products.</w:t>
      </w:r>
      <w:bookmarkStart w:id="35" w:name="fnref2_10"/>
      <w:bookmarkEnd w:id="35"/>
      <w:hyperlink w:anchor="fn2">
        <w:r>
          <w:rPr>
            <w:rFonts w:eastAsia="source sans 3" w:cs="source sans 3" w:ascii="source sans 3" w:hAnsi="source sans 3"/>
            <w:color w:val="#000"/>
            <w:sz w:val="21"/>
            <w:u w:val="single"/>
            <w:vertAlign w:val="superscript"/>
          </w:rPr>
          <w:t xml:space="preserve">[2]</w:t>
        </w:r>
      </w:hyperlink>
    </w:p>
    <w:p>
      <w:pPr>
        <w:numPr>
          <w:ilvl w:val="0"/>
          <w:numId w:val="26"/>
        </w:numPr>
        <w:spacing w:line="360" w:before="105" w:after="105" w:lineRule="auto"/>
      </w:pPr>
      <w:r>
        <w:rPr>
          <w:rFonts w:eastAsia="source serif 4" w:cs="source serif 4" w:ascii="source serif 4" w:hAnsi="source serif 4"/>
          <w:b/>
          <w:color w:val="000000"/>
          <w:sz w:val="21"/>
        </w:rPr>
        <w:t xml:space="preserve">Best practical enterprise strategy overall:</w:t>
      </w:r>
      <w:r>
        <w:rPr>
          <w:rFonts w:eastAsia="source serif 4" w:cs="source serif 4" w:ascii="source serif 4" w:hAnsi="source serif 4"/>
          <w:color w:val="000000"/>
          <w:sz w:val="21"/>
        </w:rPr>
        <w:t xml:space="preserve"> Keep the current tools as telemetry sources, deploy an AIOps layer above them, pilot with a limited service scope, and avoid a wholesale replacement in phase one.</w:t>
      </w:r>
    </w:p>
    <w:p>
      <w:pPr>
        <w:spacing w:line="360" w:after="210" w:lineRule="auto"/>
      </w:pPr>
      <w:r>
        <w:rPr>
          <w:rFonts w:eastAsia="source serif 4" w:cs="source serif 4" w:ascii="source serif 4" w:hAnsi="source serif 4"/>
          <w:b/>
          <w:color w:val="000000"/>
        </w:rPr>
        <w:t xml:space="preserve">Final recommendation statement: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For a regulated enterprise with both legacy/on-prem and Azure workloads, the most balanced approach is a </w:t>
      </w:r>
      <w:r>
        <w:rPr>
          <w:rFonts w:eastAsia="source serif 4" w:cs="source serif 4" w:ascii="source serif 4" w:hAnsi="source serif 4"/>
          <w:b/>
          <w:color w:val="000000"/>
        </w:rPr>
        <w:t xml:space="preserve">hybrid model</w:t>
      </w:r>
      <w:r>
        <w:rPr>
          <w:rFonts w:eastAsia="source serif 4" w:cs="source serif 4" w:ascii="source serif 4" w:hAnsi="source serif 4"/>
          <w:color w:val="000000"/>
        </w:rPr>
        <w:t xml:space="preserve">: retain existing tools, use Azure-native AIOps for Azure operations, and evaluate Datadog or IBM/Edwin as the cross-domain intelligence layer depending on budget, hosting constraints, and integration maturity.</w:t>
      </w:r>
      <w:bookmarkStart w:id="36" w:name="fnref2_11"/>
      <w:bookmarkEnd w:id="36"/>
      <w:hyperlink w:anchor="fn2">
        <w:r>
          <w:rPr>
            <w:rFonts w:eastAsia="source sans 3" w:cs="source sans 3" w:ascii="source sans 3" w:hAnsi="source sans 3"/>
            <w:color w:val="#000"/>
            <w:u w:val="single"/>
            <w:vertAlign w:val="superscript"/>
          </w:rPr>
          <w:t xml:space="preserve">[2]</w:t>
        </w:r>
      </w:hyperlink>
      <w:bookmarkStart w:id="37" w:name="fnref1_15"/>
      <w:bookmarkEnd w:id="37"/>
      <w:hyperlink w:anchor="fn1">
        <w:r>
          <w:rPr>
            <w:rFonts w:eastAsia="source sans 3" w:cs="source sans 3" w:ascii="source sans 3" w:hAnsi="source sans 3"/>
            <w:color w:val="#000"/>
            <w:u w:val="single"/>
            <w:vertAlign w:val="superscript"/>
          </w:rPr>
          <w:t xml:space="preserve">[1]</w:t>
        </w:r>
      </w:hyperlink>
    </w:p>
    <w:p>
      <w:pPr>
        <w:spacing w:line="360" w:after="210" w:lineRule="auto"/>
      </w:pPr>
      <w:r>
        <w:rPr>
          <w:rFonts w:eastAsia="source serif 4" w:cs="source serif 4" w:ascii="source serif 4" w:hAnsi="source serif 4"/>
          <w:color w:val="000000"/>
        </w:rPr>
        <w:t xml:space="preserve">Would you like me to turn this into a </w:t>
      </w:r>
      <w:r>
        <w:rPr>
          <w:rFonts w:eastAsia="source serif 4" w:cs="source serif 4" w:ascii="source serif 4" w:hAnsi="source serif 4"/>
          <w:b/>
          <w:color w:val="000000"/>
        </w:rPr>
        <w:t xml:space="preserve">speaker-notes version</w:t>
      </w:r>
      <w:r>
        <w:rPr>
          <w:rFonts w:eastAsia="source serif 4" w:cs="source serif 4" w:ascii="source serif 4" w:hAnsi="source serif 4"/>
          <w:color w:val="000000"/>
        </w:rPr>
        <w:t xml:space="preserve"> next, or into a </w:t>
      </w:r>
      <w:r>
        <w:rPr>
          <w:rFonts w:eastAsia="source serif 4" w:cs="source serif 4" w:ascii="source serif 4" w:hAnsi="source serif 4"/>
          <w:b/>
          <w:color w:val="000000"/>
        </w:rPr>
        <w:t xml:space="preserve">copy-paste PowerPoint slide format with titles and body placeholders</w:t>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p>
    <w:p>
      <w:pPr>
        <w:spacing w:line="360" w:lineRule="auto"/>
      </w:pP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38" w:name="fn1"/>
    <w:bookmarkEnd w:id="38"/>
    <w:p>
      <w:pPr>
        <w:numPr>
          <w:ilvl w:val="0"/>
          <w:numId w:val="28"/>
        </w:numPr>
        <w:spacing w:line="360" w:after="210" w:lineRule="auto"/>
      </w:pPr>
      <w:hyperlink r:id="rId6">
        <w:r>
          <w:rPr>
            <w:rFonts w:eastAsia="source sans 3" w:cs="source sans 3" w:ascii="source sans 3" w:hAnsi="source sans 3"/>
            <w:color w:val="#000"/>
            <w:sz w:val="18"/>
            <w:u w:val="single"/>
          </w:rPr>
          <w:t xml:space="preserve">https://www.getpricepulse.com/companies/datadog-pricing.html</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39" w:name="fn2"/>
    <w:bookmarkEnd w:id="39"/>
    <w:p>
      <w:pPr>
        <w:numPr>
          <w:ilvl w:val="0"/>
          <w:numId w:val="28"/>
        </w:numPr>
        <w:spacing w:line="360" w:after="210" w:lineRule="auto"/>
      </w:pPr>
      <w:hyperlink r:id="rId7">
        <w:r>
          <w:rPr>
            <w:rFonts w:eastAsia="source sans 3" w:cs="source sans 3" w:ascii="source sans 3" w:hAnsi="source sans 3"/>
            <w:color w:val="#000"/>
            <w:sz w:val="18"/>
            <w:u w:val="single"/>
          </w:rPr>
          <w:t xml:space="preserve">https://www.opslyft.com/blog/datadog-pricing</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40" w:name="fn3"/>
    <w:bookmarkEnd w:id="40"/>
    <w:p>
      <w:pPr>
        <w:numPr>
          <w:ilvl w:val="0"/>
          <w:numId w:val="28"/>
        </w:numPr>
        <w:spacing w:line="360" w:after="210" w:lineRule="auto"/>
      </w:pPr>
      <w:hyperlink r:id="rId8">
        <w:r>
          <w:rPr>
            <w:rFonts w:eastAsia="source sans 3" w:cs="source sans 3" w:ascii="source sans 3" w:hAnsi="source sans 3"/>
            <w:color w:val="#000"/>
            <w:sz w:val="18"/>
            <w:u w:val="single"/>
          </w:rPr>
          <w:t xml:space="preserve">https://www.datadoghq.com/pricing/list/</w:t>
        </w:r>
      </w:hyperlink>
      <w:r>
        <w:rPr>
          <w:rFonts w:eastAsia="source serif 4" w:cs="source serif 4" w:ascii="source serif 4" w:hAnsi="source serif 4"/>
          <w:color w:val="000000"/>
          <w:sz w:val="18"/>
        </w:rPr>
        <w:t xml:space="preserve"> </w:t>
      </w:r>
    </w:p>
    <w:bookmarkStart w:id="41" w:name="fn4"/>
    <w:bookmarkEnd w:id="41"/>
    <w:p>
      <w:pPr>
        <w:numPr>
          <w:ilvl w:val="0"/>
          <w:numId w:val="28"/>
        </w:numPr>
        <w:spacing w:line="360" w:after="210" w:lineRule="auto"/>
      </w:pPr>
      <w:hyperlink r:id="rId9">
        <w:r>
          <w:rPr>
            <w:rFonts w:eastAsia="source sans 3" w:cs="source sans 3" w:ascii="source sans 3" w:hAnsi="source sans 3"/>
            <w:color w:val="#000"/>
            <w:sz w:val="18"/>
            <w:u w:val="single"/>
          </w:rPr>
          <w:t xml:space="preserve">https://hyperping.com/blog/datadog-pricing</w:t>
        </w:r>
      </w:hyperlink>
      <w:r>
        <w:rPr>
          <w:rFonts w:eastAsia="source serif 4" w:cs="source serif 4" w:ascii="source serif 4" w:hAnsi="source serif 4"/>
          <w:color w:val="000000"/>
          <w:sz w:val="18"/>
        </w:rPr>
        <w:t xml:space="preserve"> </w:t>
      </w:r>
    </w:p>
    <w:bookmarkStart w:id="42" w:name="fn5"/>
    <w:bookmarkEnd w:id="42"/>
    <w:p>
      <w:pPr>
        <w:numPr>
          <w:ilvl w:val="0"/>
          <w:numId w:val="28"/>
        </w:numPr>
        <w:spacing w:line="360" w:after="210" w:lineRule="auto"/>
      </w:pPr>
      <w:hyperlink r:id="rId10">
        <w:r>
          <w:rPr>
            <w:rFonts w:eastAsia="source sans 3" w:cs="source sans 3" w:ascii="source sans 3" w:hAnsi="source sans 3"/>
            <w:color w:val="#000"/>
            <w:sz w:val="18"/>
            <w:u w:val="single"/>
          </w:rPr>
          <w:t xml:space="preserve">https://learn.microsoft.com/de-de/azure/azure-monitor/aiops/observability-agent-billing</w:t>
        </w:r>
      </w:hyperlink>
      <w:r>
        <w:rPr>
          <w:rFonts w:eastAsia="source serif 4" w:cs="source serif 4" w:ascii="source serif 4" w:hAnsi="source serif 4"/>
          <w:color w:val="000000"/>
          <w:sz w:val="18"/>
        </w:rPr>
        <w:t xml:space="preserve"> </w:t>
      </w:r>
    </w:p>
    <w:bookmarkStart w:id="43" w:name="fn6"/>
    <w:bookmarkEnd w:id="43"/>
    <w:p>
      <w:pPr>
        <w:numPr>
          <w:ilvl w:val="0"/>
          <w:numId w:val="28"/>
        </w:numPr>
        <w:spacing w:line="360" w:after="210" w:lineRule="auto"/>
      </w:pPr>
      <w:hyperlink r:id="rId11">
        <w:r>
          <w:rPr>
            <w:rFonts w:eastAsia="source sans 3" w:cs="source sans 3" w:ascii="source sans 3" w:hAnsi="source sans 3"/>
            <w:color w:val="#000"/>
            <w:sz w:val="18"/>
            <w:u w:val="single"/>
          </w:rPr>
          <w:t xml:space="preserve">https://oneuptime.com/blog/post/2026-02-16-the-real-cost-of-datadog/view</w:t>
        </w:r>
      </w:hyperlink>
      <w:r>
        <w:rPr>
          <w:rFonts w:eastAsia="source serif 4" w:cs="source serif 4" w:ascii="source serif 4" w:hAnsi="source serif 4"/>
          <w:color w:val="000000"/>
          <w:sz w:val="18"/>
        </w:rPr>
        <w:t xml:space="preserve"> </w:t>
      </w:r>
    </w:p>
    <w:bookmarkStart w:id="44" w:name="fn7"/>
    <w:bookmarkEnd w:id="44"/>
    <w:p>
      <w:pPr>
        <w:numPr>
          <w:ilvl w:val="0"/>
          <w:numId w:val="28"/>
        </w:numPr>
        <w:spacing w:line="360" w:after="210" w:lineRule="auto"/>
      </w:pPr>
      <w:hyperlink r:id="rId12">
        <w:r>
          <w:rPr>
            <w:rFonts w:eastAsia="source sans 3" w:cs="source sans 3" w:ascii="source sans 3" w:hAnsi="source sans 3"/>
            <w:color w:val="#000"/>
            <w:sz w:val="18"/>
            <w:u w:val="single"/>
          </w:rPr>
          <w:t xml:space="preserve">https://signoz.io/blog/datadog-pricing/</w:t>
        </w:r>
      </w:hyperlink>
      <w:r>
        <w:rPr>
          <w:rFonts w:eastAsia="source serif 4" w:cs="source serif 4" w:ascii="source serif 4" w:hAnsi="source serif 4"/>
          <w:color w:val="000000"/>
          <w:sz w:val="18"/>
        </w:rPr>
        <w:t xml:space="preserve"> </w:t>
      </w:r>
    </w:p>
    <w:bookmarkStart w:id="45" w:name="fn8"/>
    <w:bookmarkEnd w:id="45"/>
    <w:p>
      <w:pPr>
        <w:numPr>
          <w:ilvl w:val="0"/>
          <w:numId w:val="28"/>
        </w:numPr>
        <w:spacing w:line="360" w:after="210" w:lineRule="auto"/>
      </w:pPr>
      <w:hyperlink r:id="rId13">
        <w:r>
          <w:rPr>
            <w:rFonts w:eastAsia="source sans 3" w:cs="source sans 3" w:ascii="source sans 3" w:hAnsi="source sans 3"/>
            <w:color w:val="#000"/>
            <w:sz w:val="18"/>
            <w:u w:val="single"/>
          </w:rPr>
          <w:t xml:space="preserve">https://www.youtube.com/watch?v=YbUsIx7SNMo</w:t>
        </w:r>
      </w:hyperlink>
      <w:r>
        <w:rPr>
          <w:rFonts w:eastAsia="source serif 4" w:cs="source serif 4" w:ascii="source serif 4" w:hAnsi="source serif 4"/>
          <w:color w:val="000000"/>
          <w:sz w:val="18"/>
        </w:rPr>
        <w:t xml:space="preserve"> </w:t>
      </w:r>
    </w:p>
    <w:bookmarkStart w:id="46" w:name="fn9"/>
    <w:bookmarkEnd w:id="46"/>
    <w:p>
      <w:pPr>
        <w:numPr>
          <w:ilvl w:val="0"/>
          <w:numId w:val="28"/>
        </w:numPr>
        <w:spacing w:line="360" w:after="210" w:lineRule="auto"/>
      </w:pPr>
      <w:hyperlink r:id="rId14">
        <w:r>
          <w:rPr>
            <w:rFonts w:eastAsia="source sans 3" w:cs="source sans 3" w:ascii="source sans 3" w:hAnsi="source sans 3"/>
            <w:color w:val="#000"/>
            <w:sz w:val="18"/>
            <w:u w:val="single"/>
          </w:rPr>
          <w:t xml:space="preserve">https://checkthat.ai/brands/datadog/pricing</w:t>
        </w:r>
      </w:hyperlink>
      <w:r>
        <w:rPr>
          <w:rFonts w:eastAsia="source serif 4" w:cs="source serif 4" w:ascii="source serif 4" w:hAnsi="source serif 4"/>
          <w:color w:val="000000"/>
          <w:sz w:val="18"/>
        </w:rPr>
        <w:t xml:space="preserve"> </w:t>
      </w:r>
    </w:p>
    <w:bookmarkStart w:id="47" w:name="fn10"/>
    <w:bookmarkEnd w:id="47"/>
    <w:p>
      <w:pPr>
        <w:numPr>
          <w:ilvl w:val="0"/>
          <w:numId w:val="28"/>
        </w:numPr>
        <w:spacing w:line="360" w:after="210" w:lineRule="auto"/>
      </w:pPr>
      <w:hyperlink r:id="rId15">
        <w:r>
          <w:rPr>
            <w:rFonts w:eastAsia="source sans 3" w:cs="source sans 3" w:ascii="source sans 3" w:hAnsi="source sans 3"/>
            <w:color w:val="#000"/>
            <w:sz w:val="18"/>
            <w:u w:val="single"/>
          </w:rPr>
          <w:t xml:space="preserve">https://monitoringcost.com/datadog-pricing</w:t>
        </w:r>
      </w:hyperlink>
      <w:r>
        <w:rPr>
          <w:rFonts w:eastAsia="source serif 4" w:cs="source serif 4" w:ascii="source serif 4" w:hAnsi="source serif 4"/>
          <w:color w:val="000000"/>
          <w:sz w:val="18"/>
        </w:rPr>
        <w:t xml:space="preserve"> </w:t>
      </w:r>
    </w:p>
    <w:bookmarkStart w:id="48" w:name="fn11"/>
    <w:bookmarkEnd w:id="48"/>
    <w:p>
      <w:pPr>
        <w:numPr>
          <w:ilvl w:val="0"/>
          <w:numId w:val="28"/>
        </w:numPr>
        <w:spacing w:line="360" w:after="210" w:lineRule="auto"/>
      </w:pPr>
      <w:hyperlink r:id="rId16">
        <w:r>
          <w:rPr>
            <w:rFonts w:eastAsia="source sans 3" w:cs="source sans 3" w:ascii="source sans 3" w:hAnsi="source sans 3"/>
            <w:color w:val="#000"/>
            <w:sz w:val="18"/>
            <w:u w:val="single"/>
          </w:rPr>
          <w:t xml:space="preserve">https://www.datadoghq.com/pricing/</w:t>
        </w:r>
      </w:hyperlink>
      <w:r>
        <w:rPr>
          <w:rFonts w:eastAsia="source serif 4" w:cs="source serif 4" w:ascii="source serif 4" w:hAnsi="source serif 4"/>
          <w:color w:val="000000"/>
          <w:sz w:val="18"/>
        </w:rPr>
        <w:t xml:space="preserve"> </w:t>
      </w:r>
    </w:p>
    <w:bookmarkStart w:id="49" w:name="fn12"/>
    <w:bookmarkEnd w:id="49"/>
    <w:p>
      <w:pPr>
        <w:numPr>
          <w:ilvl w:val="0"/>
          <w:numId w:val="28"/>
        </w:numPr>
        <w:spacing w:line="360" w:after="210" w:lineRule="auto"/>
      </w:pPr>
      <w:hyperlink r:id="rId17">
        <w:r>
          <w:rPr>
            <w:rFonts w:eastAsia="source sans 3" w:cs="source sans 3" w:ascii="source sans 3" w:hAnsi="source sans 3"/>
            <w:color w:val="#000"/>
            <w:sz w:val="18"/>
            <w:u w:val="single"/>
          </w:rPr>
          <w:t xml:space="preserve">https://last9.io/blog/datadog-pricing-all-your-questions-answered/</w:t>
        </w:r>
      </w:hyperlink>
      <w:r>
        <w:rPr>
          <w:rFonts w:eastAsia="source serif 4" w:cs="source serif 4" w:ascii="source serif 4" w:hAnsi="source serif 4"/>
          <w:color w:val="000000"/>
          <w:sz w:val="18"/>
        </w:rPr>
        <w:t xml:space="preserve"> </w:t>
      </w:r>
    </w:p>
    <w:bookmarkStart w:id="50" w:name="fn13"/>
    <w:bookmarkEnd w:id="50"/>
    <w:p>
      <w:pPr>
        <w:numPr>
          <w:ilvl w:val="0"/>
          <w:numId w:val="28"/>
        </w:numPr>
        <w:spacing w:line="360" w:after="210" w:lineRule="auto"/>
      </w:pPr>
      <w:hyperlink r:id="rId18">
        <w:r>
          <w:rPr>
            <w:rFonts w:eastAsia="source sans 3" w:cs="source sans 3" w:ascii="source sans 3" w:hAnsi="source sans 3"/>
            <w:color w:val="#000"/>
            <w:sz w:val="18"/>
            <w:u w:val="single"/>
          </w:rPr>
          <w:t xml:space="preserve">https://oneuptime.com/blog/post/2026-03-17-datadog-bill-shock-real-cost-observability-2026/view</w:t>
        </w:r>
      </w:hyperlink>
      <w:r>
        <w:rPr>
          <w:rFonts w:eastAsia="source serif 4" w:cs="source serif 4" w:ascii="source serif 4" w:hAnsi="source serif 4"/>
          <w:color w:val="000000"/>
          <w:sz w:val="18"/>
        </w:rPr>
        <w:t xml:space="preserve"> </w:t>
      </w:r>
    </w:p>
    <w:bookmarkStart w:id="51" w:name="fn14"/>
    <w:bookmarkEnd w:id="51"/>
    <w:p>
      <w:pPr>
        <w:numPr>
          <w:ilvl w:val="0"/>
          <w:numId w:val="28"/>
        </w:numPr>
        <w:spacing w:line="360" w:after="210" w:lineRule="auto"/>
      </w:pPr>
      <w:hyperlink r:id="rId19">
        <w:r>
          <w:rPr>
            <w:rFonts w:eastAsia="source sans 3" w:cs="source sans 3" w:ascii="source sans 3" w:hAnsi="source sans 3"/>
            <w:color w:val="#000"/>
            <w:sz w:val="18"/>
            <w:u w:val="single"/>
          </w:rPr>
          <w:t xml:space="preserve">https://www.parseable.com/blog/datadog-log-management-cost</w:t>
        </w:r>
      </w:hyperlink>
      <w:r>
        <w:rPr>
          <w:rFonts w:eastAsia="source serif 4" w:cs="source serif 4" w:ascii="source serif 4" w:hAnsi="source serif 4"/>
          <w:color w:val="000000"/>
          <w:sz w:val="18"/>
        </w:rPr>
        <w:t xml:space="preserve"> </w:t>
      </w:r>
    </w:p>
    <w:bookmarkStart w:id="52" w:name="fn15"/>
    <w:bookmarkEnd w:id="52"/>
    <w:p>
      <w:pPr>
        <w:numPr>
          <w:ilvl w:val="0"/>
          <w:numId w:val="28"/>
        </w:numPr>
        <w:spacing w:line="360" w:after="210" w:lineRule="auto"/>
      </w:pPr>
      <w:hyperlink r:id="rId20">
        <w:r>
          <w:rPr>
            <w:rFonts w:eastAsia="source sans 3" w:cs="source sans 3" w:ascii="source sans 3" w:hAnsi="source sans 3"/>
            <w:color w:val="#000"/>
            <w:sz w:val="18"/>
            <w:u w:val="single"/>
          </w:rPr>
          <w:t xml:space="preserve">https://learn.microsoft.com/en-us/azure/azure-monitor/aiops/observability-agent-billing</w:t>
        </w:r>
      </w:hyperlink>
      <w:r>
        <w:rPr>
          <w:rFonts w:eastAsia="source serif 4" w:cs="source serif 4" w:ascii="source serif 4" w:hAnsi="source serif 4"/>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source sans 3">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decimal"/>
      <w:lvlText w:val="%1."/>
      <w:lvlJc w:val="left"/>
      <w:pPr>
        <w:tabs>
          <w:tab w:val="num" w:pos="900"/>
        </w:tabs>
        <w:ind w:left="540" w:hanging="360"/>
      </w:p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lvl w:ilvl="0">
      <w:start w:val="1"/>
      <w:numFmt w:val="decimal"/>
      <w:lvlText w:val="%1."/>
      <w:lvlJc w:val="left"/>
      <w:pPr>
        <w:tabs>
          <w:tab w:val="num" w:pos="900"/>
        </w:tabs>
        <w:ind w:left="540" w:hanging="360"/>
      </w:pPr>
    </w:lvl>
  </w:abstractNum>
  <w:abstractNum w:abstractNumId="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
    <w:multiLevelType w:val="hybridMultilevel"/>
  </w:abstractNum>
  <w:abstractNum w:abstractNumId="28">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6e51c46475c98d0344893ee0de01dfe573b5660a.png" TargetMode="Internal"/><Relationship Id="rId6" Type="http://schemas.openxmlformats.org/officeDocument/2006/relationships/hyperlink" Target="https://www.getpricepulse.com/companies/datadog-pricing.html" TargetMode="External"/><Relationship Id="rId7" Type="http://schemas.openxmlformats.org/officeDocument/2006/relationships/hyperlink" Target="https://www.opslyft.com/blog/datadog-pricing" TargetMode="External"/><Relationship Id="rId8" Type="http://schemas.openxmlformats.org/officeDocument/2006/relationships/hyperlink" Target="https://www.datadoghq.com/pricing/list/" TargetMode="External"/><Relationship Id="rId9" Type="http://schemas.openxmlformats.org/officeDocument/2006/relationships/hyperlink" Target="https://hyperping.com/blog/datadog-pricing" TargetMode="External"/><Relationship Id="rId10" Type="http://schemas.openxmlformats.org/officeDocument/2006/relationships/hyperlink" Target="https://learn.microsoft.com/de-de/azure/azure-monitor/aiops/observability-agent-billing" TargetMode="External"/><Relationship Id="rId11" Type="http://schemas.openxmlformats.org/officeDocument/2006/relationships/hyperlink" Target="https://oneuptime.com/blog/post/2026-02-16-the-real-cost-of-datadog/view" TargetMode="External"/><Relationship Id="rId12" Type="http://schemas.openxmlformats.org/officeDocument/2006/relationships/hyperlink" Target="https://signoz.io/blog/datadog-pricing/" TargetMode="External"/><Relationship Id="rId13" Type="http://schemas.openxmlformats.org/officeDocument/2006/relationships/hyperlink" Target="https://www.youtube.com/watch?v=YbUsIx7SNMo" TargetMode="External"/><Relationship Id="rId14" Type="http://schemas.openxmlformats.org/officeDocument/2006/relationships/hyperlink" Target="https://checkthat.ai/brands/datadog/pricing" TargetMode="External"/><Relationship Id="rId15" Type="http://schemas.openxmlformats.org/officeDocument/2006/relationships/hyperlink" Target="https://monitoringcost.com/datadog-pricing" TargetMode="External"/><Relationship Id="rId16" Type="http://schemas.openxmlformats.org/officeDocument/2006/relationships/hyperlink" Target="https://www.datadoghq.com/pricing/" TargetMode="External"/><Relationship Id="rId17" Type="http://schemas.openxmlformats.org/officeDocument/2006/relationships/hyperlink" Target="https://last9.io/blog/datadog-pricing-all-your-questions-answered/" TargetMode="External"/><Relationship Id="rId18" Type="http://schemas.openxmlformats.org/officeDocument/2006/relationships/hyperlink" Target="https://oneuptime.com/blog/post/2026-03-17-datadog-bill-shock-real-cost-observability-2026/view" TargetMode="External"/><Relationship Id="rId19" Type="http://schemas.openxmlformats.org/officeDocument/2006/relationships/hyperlink" Target="https://www.parseable.com/blog/datadog-log-management-cost" TargetMode="External"/><Relationship Id="rId20" Type="http://schemas.openxmlformats.org/officeDocument/2006/relationships/hyperlink" Target="https://learn.microsoft.com/en-us/azure/azure-monitor/aiops/observability-agent-billing"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2026-07-20T07:52:05.224Z</dcterms:created>
  <dcterms:modified xsi:type="dcterms:W3CDTF">2026-07-20T07:52:05.224Z</dcterms:modified>
</cp:coreProperties>
</file>