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e6f02facedfc72ed9cbb8330425d1b7c3096e299.png"/>
            <a:graphic>
              <a:graphicData uri="http://schemas.openxmlformats.org/drawingml/2006/picture">
                <pic:pic>
                  <pic:nvPicPr>
                    <pic:cNvPr id="1" name="image-e6f02facedfc72ed9cbb8330425d1b7c3096e29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reate_workflow_of_operations_for_6ee01c"/>
      <w:r>
        <w:rPr>
          <w:rFonts w:eastAsia="source serif 4" w:cs="source serif 4" w:ascii="source serif 4" w:hAnsi="source serif 4"/>
          <w:b/>
          <w:color w:val="000000"/>
          <w:sz w:val="39"/>
        </w:rPr>
        <w:t xml:space="preserve">create workflow of operations for each track and after use of AI</w:t>
      </w:r>
      <w:bookmarkEnd w:id="0"/>
    </w:p>
    <w:p>
      <w:pPr>
        <w:spacing w:line="360" w:after="210" w:lineRule="auto"/>
      </w:pPr>
      <w:r>
        <w:rPr>
          <w:rFonts w:eastAsia="source serif 4" w:cs="source serif 4" w:ascii="source serif 4" w:hAnsi="source serif 4"/>
          <w:color w:val="000000"/>
        </w:rPr>
        <w:t xml:space="preserve">You can think of each track as having a “classic” workflow and a “post‑agentic‑AI” workflow, where AI agents sit in the middle to correlate context, propose actions, and automate low‑risk steps under your existing governance.</w:t>
      </w:r>
    </w:p>
    <w:p>
      <w:pPr>
        <w:spacing w:line="360" w:after="210" w:lineRule="auto"/>
      </w:pPr>
      <w:r>
        <w:rPr>
          <w:rFonts w:eastAsia="source serif 4" w:cs="source serif 4" w:ascii="source serif 4" w:hAnsi="source serif 4"/>
          <w:color w:val="000000"/>
        </w:rPr>
        <w:t xml:space="preserve">Below I’ve outlined </w:t>
      </w:r>
      <w:r>
        <w:rPr>
          <w:rFonts w:eastAsia="source serif 4" w:cs="source serif 4" w:ascii="source serif 4" w:hAnsi="source serif 4"/>
          <w:b/>
          <w:color w:val="000000"/>
        </w:rPr>
        <w:t xml:space="preserve">before</w:t>
      </w:r>
      <w:r>
        <w:rPr>
          <w:rFonts w:eastAsia="source serif 4" w:cs="source serif 4" w:ascii="source serif 4" w:hAnsi="source serif 4"/>
          <w:color w:val="000000"/>
        </w:rPr>
        <w:t xml:space="preserve"> vs </w:t>
      </w:r>
      <w:r>
        <w:rPr>
          <w:rFonts w:eastAsia="source serif 4" w:cs="source serif 4" w:ascii="source serif 4" w:hAnsi="source serif 4"/>
          <w:b/>
          <w:color w:val="000000"/>
        </w:rPr>
        <w:t xml:space="preserve">after AI</w:t>
      </w:r>
      <w:r>
        <w:rPr>
          <w:rFonts w:eastAsia="source serif 4" w:cs="source serif 4" w:ascii="source serif 4" w:hAnsi="source serif 4"/>
          <w:color w:val="000000"/>
        </w:rPr>
        <w:t xml:space="preserve"> workflows for each track, aligned to ServiceNow, SolarWinds, Splunk, OEM, Instana and CyberArk.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incident_triage_observability"/>
      <w:r>
        <w:rPr>
          <w:rFonts w:eastAsia="source serif 4" w:cs="source serif 4" w:ascii="source serif 4" w:hAnsi="source serif 4"/>
          <w:b/>
          <w:color w:val="000000"/>
          <w:sz w:val="24"/>
        </w:rPr>
        <w:t xml:space="preserve">1. Incident triage &amp; observability</w:t>
      </w:r>
      <w:bookmarkEnd w:id="1"/>
    </w:p>
    <w:p>
      <w:pPr>
        <w:spacing w:line="360" w:before="315" w:after="105" w:lineRule="auto"/>
        <w:ind w:left="-30"/>
        <w:jc w:val="left"/>
      </w:pPr>
      <w:bookmarkStart w:id="2" w:name="before_ai"/>
      <w:r>
        <w:rPr>
          <w:rFonts w:eastAsia="source serif 4" w:cs="source serif 4" w:ascii="source serif 4" w:hAnsi="source serif 4"/>
          <w:b/>
          <w:color w:val="000000"/>
          <w:sz w:val="24"/>
        </w:rPr>
        <w:t xml:space="preserve">Before AI</w:t>
      </w:r>
      <w:bookmarkEnd w:id="2"/>
    </w:p>
    <w:p>
      <w:pPr>
        <w:numPr>
          <w:ilvl w:val="0"/>
          <w:numId w:val="1"/>
        </w:numPr>
        <w:spacing w:line="360" w:before="105" w:after="105" w:lineRule="auto"/>
      </w:pPr>
      <w:r>
        <w:rPr>
          <w:rFonts w:eastAsia="source serif 4" w:cs="source serif 4" w:ascii="source serif 4" w:hAnsi="source serif 4"/>
          <w:color w:val="000000"/>
          <w:sz w:val="21"/>
        </w:rPr>
        <w:t xml:space="preserve">Monitoring tools (SolarWinds, Instana, Splunk, OEM) generate individual alerts and events; many are noisy or duplicated.</w:t>
      </w:r>
      <w:bookmarkStart w:id="3" w:name="fnref1"/>
      <w:bookmarkEnd w:id="3"/>
      <w:hyperlink w:anchor="fn1">
        <w:r>
          <w:rPr>
            <w:rFonts w:eastAsia="source sans 3" w:cs="source sans 3" w:ascii="source sans 3" w:hAnsi="source sans 3"/>
            <w:color w:val="#000"/>
            <w:sz w:val="21"/>
            <w:u w:val="single"/>
            <w:vertAlign w:val="superscript"/>
          </w:rPr>
          <w:t xml:space="preserve">[1]</w:t>
        </w:r>
      </w:hyperlink>
    </w:p>
    <w:p>
      <w:pPr>
        <w:numPr>
          <w:ilvl w:val="0"/>
          <w:numId w:val="1"/>
        </w:numPr>
        <w:spacing w:line="360" w:before="105" w:after="105" w:lineRule="auto"/>
      </w:pPr>
      <w:r>
        <w:rPr>
          <w:rFonts w:eastAsia="source serif 4" w:cs="source serif 4" w:ascii="source serif 4" w:hAnsi="source serif 4"/>
          <w:color w:val="000000"/>
          <w:sz w:val="21"/>
        </w:rPr>
        <w:t xml:space="preserve">NOC/infra engineers manually triage alerts, correlate across tools, decide if an incident should be created in ServiceNow, and assign to an on‑call group.</w:t>
      </w:r>
      <w:bookmarkStart w:id="4" w:name="fnref2"/>
      <w:bookmarkEnd w:id="4"/>
      <w:hyperlink w:anchor="fn2">
        <w:r>
          <w:rPr>
            <w:rFonts w:eastAsia="source sans 3" w:cs="source sans 3" w:ascii="source sans 3" w:hAnsi="source sans 3"/>
            <w:color w:val="#000"/>
            <w:sz w:val="21"/>
            <w:u w:val="single"/>
            <w:vertAlign w:val="superscript"/>
          </w:rPr>
          <w:t xml:space="preserve">[2]</w:t>
        </w:r>
      </w:hyperlink>
      <w:bookmarkStart w:id="5" w:name="fnref3"/>
      <w:bookmarkEnd w:id="5"/>
      <w:hyperlink w:anchor="fn3">
        <w:r>
          <w:rPr>
            <w:rFonts w:eastAsia="source sans 3" w:cs="source sans 3" w:ascii="source sans 3" w:hAnsi="source sans 3"/>
            <w:color w:val="#000"/>
            <w:sz w:val="21"/>
            <w:u w:val="single"/>
            <w:vertAlign w:val="superscript"/>
          </w:rPr>
          <w:t xml:space="preserve">[3]</w:t>
        </w:r>
      </w:hyperlink>
    </w:p>
    <w:p>
      <w:pPr>
        <w:numPr>
          <w:ilvl w:val="0"/>
          <w:numId w:val="1"/>
        </w:numPr>
        <w:spacing w:line="360" w:before="105" w:after="105" w:lineRule="auto"/>
      </w:pPr>
      <w:r>
        <w:rPr>
          <w:rFonts w:eastAsia="source serif 4" w:cs="source serif 4" w:ascii="source serif 4" w:hAnsi="source serif 4"/>
          <w:color w:val="000000"/>
          <w:sz w:val="21"/>
        </w:rPr>
        <w:t xml:space="preserve">Engineers manually gather context (metrics, logs, topology, changes) from each tool, run diagnostics, execute runbooks, and update incident notes and KB articles.</w:t>
      </w:r>
      <w:bookmarkStart w:id="6" w:name="fnref4"/>
      <w:bookmarkEnd w:id="6"/>
      <w:hyperlink w:anchor="fn4">
        <w:r>
          <w:rPr>
            <w:rFonts w:eastAsia="source sans 3" w:cs="source sans 3" w:ascii="source sans 3" w:hAnsi="source sans 3"/>
            <w:color w:val="#000"/>
            <w:sz w:val="21"/>
            <w:u w:val="single"/>
            <w:vertAlign w:val="superscript"/>
          </w:rPr>
          <w:t xml:space="preserve">[4]</w:t>
        </w:r>
      </w:hyperlink>
      <w:bookmarkStart w:id="7" w:name="fnref2_1"/>
      <w:bookmarkEnd w:id="7"/>
      <w:hyperlink w:anchor="fn2">
        <w:r>
          <w:rPr>
            <w:rFonts w:eastAsia="source sans 3" w:cs="source sans 3" w:ascii="source sans 3" w:hAnsi="source sans 3"/>
            <w:color w:val="#000"/>
            <w:sz w:val="21"/>
            <w:u w:val="single"/>
            <w:vertAlign w:val="superscript"/>
          </w:rPr>
          <w:t xml:space="preserve">[2]</w:t>
        </w:r>
      </w:hyperlink>
    </w:p>
    <w:p>
      <w:pPr>
        <w:spacing w:line="360" w:before="315" w:after="105" w:lineRule="auto"/>
        <w:ind w:left="-30"/>
        <w:jc w:val="left"/>
      </w:pPr>
      <w:bookmarkStart w:id="8" w:name="after_ai"/>
      <w:r>
        <w:rPr>
          <w:rFonts w:eastAsia="source serif 4" w:cs="source serif 4" w:ascii="source serif 4" w:hAnsi="source serif 4"/>
          <w:b/>
          <w:color w:val="000000"/>
          <w:sz w:val="24"/>
        </w:rPr>
        <w:t xml:space="preserve">After AI</w:t>
      </w:r>
      <w:bookmarkEnd w:id="8"/>
    </w:p>
    <w:p>
      <w:pPr>
        <w:numPr>
          <w:ilvl w:val="0"/>
          <w:numId w:val="2"/>
        </w:numPr>
        <w:spacing w:line="360" w:before="105" w:after="105" w:lineRule="auto"/>
      </w:pPr>
      <w:r>
        <w:rPr>
          <w:rFonts w:eastAsia="source serif 4" w:cs="source serif 4" w:ascii="source serif 4" w:hAnsi="source serif 4"/>
          <w:b/>
          <w:color w:val="000000"/>
          <w:sz w:val="21"/>
        </w:rPr>
        <w:t xml:space="preserve">Alert grouping and analysis:</w:t>
      </w:r>
      <w:r>
        <w:rPr>
          <w:rFonts w:eastAsia="source serif 4" w:cs="source serif 4" w:ascii="source serif 4" w:hAnsi="source serif 4"/>
          <w:color w:val="000000"/>
          <w:sz w:val="21"/>
        </w:rPr>
        <w:t xml:space="preserve"> ServiceNow’s agentic alert triage workflow (Now Assist for ITOM) groups related alerts, runs an AI triage/analysis flow, and suggests assignment group and priority automatically.</w:t>
      </w:r>
      <w:bookmarkStart w:id="9" w:name="fnref5"/>
      <w:bookmarkEnd w:id="9"/>
      <w:hyperlink w:anchor="fn5">
        <w:r>
          <w:rPr>
            <w:rFonts w:eastAsia="source sans 3" w:cs="source sans 3" w:ascii="source sans 3" w:hAnsi="source sans 3"/>
            <w:color w:val="#000"/>
            <w:sz w:val="21"/>
            <w:u w:val="single"/>
            <w:vertAlign w:val="superscript"/>
          </w:rPr>
          <w:t xml:space="preserve">[5]</w:t>
        </w:r>
      </w:hyperlink>
      <w:bookmarkStart w:id="10" w:name="fnref6"/>
      <w:bookmarkEnd w:id="10"/>
      <w:hyperlink w:anchor="fn6">
        <w:r>
          <w:rPr>
            <w:rFonts w:eastAsia="source sans 3" w:cs="source sans 3" w:ascii="source sans 3" w:hAnsi="source sans 3"/>
            <w:color w:val="#000"/>
            <w:sz w:val="21"/>
            <w:u w:val="single"/>
            <w:vertAlign w:val="superscript"/>
          </w:rPr>
          <w:t xml:space="preserve">[6]</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Agentic incident workflows:</w:t>
      </w:r>
      <w:r>
        <w:rPr>
          <w:rFonts w:eastAsia="source serif 4" w:cs="source serif 4" w:ascii="source serif 4" w:hAnsi="source serif 4"/>
          <w:color w:val="000000"/>
          <w:sz w:val="21"/>
        </w:rPr>
        <w:t xml:space="preserve"> ServiceNow Incident Management “agentic workflows” use specialized AI agents (incident resolution, knowledge article, known‑error agents) to propose resolution, generate notes, and attach KB/KE artefacts.</w:t>
      </w:r>
      <w:bookmarkStart w:id="11" w:name="fnref5_1"/>
      <w:bookmarkEnd w:id="11"/>
      <w:hyperlink w:anchor="fn5">
        <w:r>
          <w:rPr>
            <w:rFonts w:eastAsia="source sans 3" w:cs="source sans 3" w:ascii="source sans 3" w:hAnsi="source sans 3"/>
            <w:color w:val="#000"/>
            <w:sz w:val="21"/>
            <w:u w:val="single"/>
            <w:vertAlign w:val="superscript"/>
          </w:rPr>
          <w:t xml:space="preserve">[5]</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Cross‑tool context:</w:t>
      </w:r>
      <w:r>
        <w:rPr>
          <w:rFonts w:eastAsia="source serif 4" w:cs="source serif 4" w:ascii="source serif 4" w:hAnsi="source serif 4"/>
          <w:color w:val="000000"/>
          <w:sz w:val="21"/>
        </w:rPr>
        <w:t xml:space="preserve"> Edwin AI (or similar AIOps agents) continuously ingest telemetry from SolarWinds/Instana/Splunk/OEM, correlate symptoms, and present a synthesized root‑cause hypothesis plus next steps into the ServiceNow incident.</w:t>
      </w:r>
      <w:bookmarkStart w:id="12" w:name="fnref3_1"/>
      <w:bookmarkEnd w:id="12"/>
      <w:hyperlink w:anchor="fn3">
        <w:r>
          <w:rPr>
            <w:rFonts w:eastAsia="source sans 3" w:cs="source sans 3" w:ascii="source sans 3" w:hAnsi="source sans 3"/>
            <w:color w:val="#000"/>
            <w:sz w:val="21"/>
            <w:u w:val="single"/>
            <w:vertAlign w:val="superscript"/>
          </w:rPr>
          <w:t xml:space="preserve">[3]</w:t>
        </w:r>
      </w:hyperlink>
      <w:bookmarkStart w:id="13" w:name="fnref7"/>
      <w:bookmarkEnd w:id="13"/>
      <w:hyperlink w:anchor="fn7">
        <w:r>
          <w:rPr>
            <w:rFonts w:eastAsia="source sans 3" w:cs="source sans 3" w:ascii="source sans 3" w:hAnsi="source sans 3"/>
            <w:color w:val="#000"/>
            <w:sz w:val="21"/>
            <w:u w:val="single"/>
            <w:vertAlign w:val="superscript"/>
          </w:rPr>
          <w:t xml:space="preserve">[7]</w:t>
        </w:r>
      </w:hyperlink>
      <w:bookmarkStart w:id="14" w:name="fnref1_1"/>
      <w:bookmarkEnd w:id="14"/>
      <w:hyperlink w:anchor="fn1">
        <w:r>
          <w:rPr>
            <w:rFonts w:eastAsia="source sans 3" w:cs="source sans 3" w:ascii="source sans 3" w:hAnsi="source sans 3"/>
            <w:color w:val="#000"/>
            <w:sz w:val="21"/>
            <w:u w:val="single"/>
            <w:vertAlign w:val="superscript"/>
          </w:rPr>
          <w:t xml:space="preserve">[1]</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Guarded remediation:</w:t>
      </w:r>
      <w:r>
        <w:rPr>
          <w:rFonts w:eastAsia="source serif 4" w:cs="source serif 4" w:ascii="source serif 4" w:hAnsi="source serif 4"/>
          <w:color w:val="000000"/>
          <w:sz w:val="21"/>
        </w:rPr>
        <w:t xml:space="preserve"> An orchestration/automation layer runs pre‑defined remediation workflows (restart services, failover DB, scale nodes) with human checkpoints and approvals in ServiceNow; AI agents execute only within those guardrails.</w:t>
      </w:r>
      <w:bookmarkStart w:id="15" w:name="fnref8"/>
      <w:bookmarkEnd w:id="15"/>
      <w:hyperlink w:anchor="fn8">
        <w:r>
          <w:rPr>
            <w:rFonts w:eastAsia="source sans 3" w:cs="source sans 3" w:ascii="source sans 3" w:hAnsi="source sans 3"/>
            <w:color w:val="#000"/>
            <w:sz w:val="21"/>
            <w:u w:val="single"/>
            <w:vertAlign w:val="superscript"/>
          </w:rPr>
          <w:t xml:space="preserve">[8]</w:t>
        </w:r>
      </w:hyperlink>
      <w:bookmarkStart w:id="16" w:name="fnref9"/>
      <w:bookmarkEnd w:id="16"/>
      <w:hyperlink w:anchor="fn9">
        <w:r>
          <w:rPr>
            <w:rFonts w:eastAsia="source sans 3" w:cs="source sans 3" w:ascii="source sans 3" w:hAnsi="source sans 3"/>
            <w:color w:val="#000"/>
            <w:sz w:val="21"/>
            <w:u w:val="single"/>
            <w:vertAlign w:val="superscript"/>
          </w:rPr>
          <w:t xml:space="preserve">[9]</w:t>
        </w:r>
      </w:hyperlink>
      <w:bookmarkStart w:id="17" w:name="fnref2_2"/>
      <w:bookmarkEnd w:id="17"/>
      <w:hyperlink w:anchor="fn2">
        <w:r>
          <w:rPr>
            <w:rFonts w:eastAsia="source sans 3" w:cs="source sans 3" w:ascii="source sans 3" w:hAnsi="source sans 3"/>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2_service_desk_desktop_support"/>
      <w:r>
        <w:rPr>
          <w:rFonts w:eastAsia="source serif 4" w:cs="source serif 4" w:ascii="source serif 4" w:hAnsi="source serif 4"/>
          <w:b/>
          <w:color w:val="000000"/>
          <w:sz w:val="24"/>
        </w:rPr>
        <w:t xml:space="preserve">2. Service desk &amp; desktop support</w:t>
      </w:r>
      <w:bookmarkEnd w:id="18"/>
    </w:p>
    <w:p>
      <w:pPr>
        <w:spacing w:line="360" w:before="315" w:after="105" w:lineRule="auto"/>
        <w:ind w:left="-30"/>
        <w:jc w:val="left"/>
      </w:pPr>
      <w:bookmarkStart w:id="19" w:name="before_ai_2"/>
      <w:r>
        <w:rPr>
          <w:rFonts w:eastAsia="source serif 4" w:cs="source serif 4" w:ascii="source serif 4" w:hAnsi="source serif 4"/>
          <w:b/>
          <w:color w:val="000000"/>
          <w:sz w:val="24"/>
        </w:rPr>
        <w:t xml:space="preserve">Before AI</w:t>
      </w:r>
      <w:bookmarkEnd w:id="19"/>
    </w:p>
    <w:p>
      <w:pPr>
        <w:numPr>
          <w:ilvl w:val="0"/>
          <w:numId w:val="3"/>
        </w:numPr>
        <w:spacing w:line="360" w:before="105" w:after="105" w:lineRule="auto"/>
      </w:pPr>
      <w:r>
        <w:rPr>
          <w:rFonts w:eastAsia="source serif 4" w:cs="source serif 4" w:ascii="source serif 4" w:hAnsi="source serif 4"/>
          <w:color w:val="000000"/>
          <w:sz w:val="21"/>
        </w:rPr>
        <w:t xml:space="preserve">Users raise tickets via email/portal; L1 triage categorizes, prioritizes, and routes to the right queue.</w:t>
      </w:r>
      <w:bookmarkStart w:id="20" w:name="fnref9_1"/>
      <w:bookmarkEnd w:id="20"/>
      <w:hyperlink w:anchor="fn9">
        <w:r>
          <w:rPr>
            <w:rFonts w:eastAsia="source sans 3" w:cs="source sans 3" w:ascii="source sans 3" w:hAnsi="source sans 3"/>
            <w:color w:val="#000"/>
            <w:sz w:val="21"/>
            <w:u w:val="single"/>
            <w:vertAlign w:val="superscript"/>
          </w:rPr>
          <w:t xml:space="preserve">[9]</w:t>
        </w:r>
      </w:hyperlink>
      <w:bookmarkStart w:id="21" w:name="fnref2_3"/>
      <w:bookmarkEnd w:id="21"/>
      <w:hyperlink w:anchor="fn2">
        <w:r>
          <w:rPr>
            <w:rFonts w:eastAsia="source sans 3" w:cs="source sans 3" w:ascii="source sans 3" w:hAnsi="source sans 3"/>
            <w:color w:val="#000"/>
            <w:sz w:val="21"/>
            <w:u w:val="single"/>
            <w:vertAlign w:val="superscript"/>
          </w:rPr>
          <w:t xml:space="preserve">[2]</w:t>
        </w:r>
      </w:hyperlink>
    </w:p>
    <w:p>
      <w:pPr>
        <w:numPr>
          <w:ilvl w:val="0"/>
          <w:numId w:val="3"/>
        </w:numPr>
        <w:spacing w:line="360" w:before="105" w:after="105" w:lineRule="auto"/>
      </w:pPr>
      <w:r>
        <w:rPr>
          <w:rFonts w:eastAsia="source serif 4" w:cs="source serif 4" w:ascii="source serif 4" w:hAnsi="source serif 4"/>
          <w:color w:val="000000"/>
          <w:sz w:val="21"/>
        </w:rPr>
        <w:t xml:space="preserve">Technicians manually search KB, AD/Group membership, endpoint tools, and application logs to resolve issues, then write resolution notes and sometimes create KB/known‑error items.</w:t>
      </w:r>
      <w:bookmarkStart w:id="22" w:name="fnref4_1"/>
      <w:bookmarkEnd w:id="22"/>
      <w:hyperlink w:anchor="fn4">
        <w:r>
          <w:rPr>
            <w:rFonts w:eastAsia="source sans 3" w:cs="source sans 3" w:ascii="source sans 3" w:hAnsi="source sans 3"/>
            <w:color w:val="#000"/>
            <w:sz w:val="21"/>
            <w:u w:val="single"/>
            <w:vertAlign w:val="superscript"/>
          </w:rPr>
          <w:t xml:space="preserve">[4]</w:t>
        </w:r>
      </w:hyperlink>
      <w:bookmarkStart w:id="23" w:name="fnref5_2"/>
      <w:bookmarkEnd w:id="23"/>
      <w:hyperlink w:anchor="fn5">
        <w:r>
          <w:rPr>
            <w:rFonts w:eastAsia="source sans 3" w:cs="source sans 3" w:ascii="source sans 3" w:hAnsi="source sans 3"/>
            <w:color w:val="#000"/>
            <w:sz w:val="21"/>
            <w:u w:val="single"/>
            <w:vertAlign w:val="superscript"/>
          </w:rPr>
          <w:t xml:space="preserve">[5]</w:t>
        </w:r>
      </w:hyperlink>
    </w:p>
    <w:p>
      <w:pPr>
        <w:spacing w:line="360" w:before="315" w:after="105" w:lineRule="auto"/>
        <w:ind w:left="-30"/>
        <w:jc w:val="left"/>
      </w:pPr>
      <w:bookmarkStart w:id="24" w:name="after_ai_2"/>
      <w:r>
        <w:rPr>
          <w:rFonts w:eastAsia="source serif 4" w:cs="source serif 4" w:ascii="source serif 4" w:hAnsi="source serif 4"/>
          <w:b/>
          <w:color w:val="000000"/>
          <w:sz w:val="24"/>
        </w:rPr>
        <w:t xml:space="preserve">After AI</w:t>
      </w:r>
      <w:bookmarkEnd w:id="24"/>
    </w:p>
    <w:p>
      <w:pPr>
        <w:numPr>
          <w:ilvl w:val="0"/>
          <w:numId w:val="4"/>
        </w:numPr>
        <w:spacing w:line="360" w:before="105" w:after="105" w:lineRule="auto"/>
      </w:pPr>
      <w:r>
        <w:rPr>
          <w:rFonts w:eastAsia="source serif 4" w:cs="source serif 4" w:ascii="source serif 4" w:hAnsi="source serif 4"/>
          <w:b/>
          <w:color w:val="000000"/>
          <w:sz w:val="21"/>
        </w:rPr>
        <w:t xml:space="preserve">Virtual agent front‑door:</w:t>
      </w:r>
      <w:r>
        <w:rPr>
          <w:rFonts w:eastAsia="source serif 4" w:cs="source serif 4" w:ascii="source serif 4" w:hAnsi="source serif 4"/>
          <w:color w:val="000000"/>
          <w:sz w:val="21"/>
        </w:rPr>
        <w:t xml:space="preserve"> ServiceNow Virtual Agent/Now Assist (and optionally tools like Moveworks) become the primary interface; users describe problems in natural language, and the AI classifies, gathers context, and either resolves directly or opens an incident/change.</w:t>
      </w:r>
      <w:bookmarkStart w:id="25" w:name="fnref10"/>
      <w:bookmarkEnd w:id="25"/>
      <w:hyperlink w:anchor="fn10">
        <w:r>
          <w:rPr>
            <w:rFonts w:eastAsia="source sans 3" w:cs="source sans 3" w:ascii="source sans 3" w:hAnsi="source sans 3"/>
            <w:color w:val="#000"/>
            <w:sz w:val="21"/>
            <w:u w:val="single"/>
            <w:vertAlign w:val="superscript"/>
          </w:rPr>
          <w:t xml:space="preserve">[10]</w:t>
        </w:r>
      </w:hyperlink>
      <w:bookmarkStart w:id="26" w:name="fnref11"/>
      <w:bookmarkEnd w:id="26"/>
      <w:hyperlink w:anchor="fn11">
        <w:r>
          <w:rPr>
            <w:rFonts w:eastAsia="source sans 3" w:cs="source sans 3" w:ascii="source sans 3" w:hAnsi="source sans 3"/>
            <w:color w:val="#000"/>
            <w:sz w:val="21"/>
            <w:u w:val="single"/>
            <w:vertAlign w:val="superscript"/>
          </w:rPr>
          <w:t xml:space="preserve">[11]</w:t>
        </w:r>
      </w:hyperlink>
    </w:p>
    <w:p>
      <w:pPr>
        <w:numPr>
          <w:ilvl w:val="0"/>
          <w:numId w:val="4"/>
        </w:numPr>
        <w:spacing w:line="360" w:before="105" w:after="105" w:lineRule="auto"/>
      </w:pPr>
      <w:r>
        <w:rPr>
          <w:rFonts w:eastAsia="source serif 4" w:cs="source serif 4" w:ascii="source serif 4" w:hAnsi="source serif 4"/>
          <w:b/>
          <w:color w:val="000000"/>
          <w:sz w:val="21"/>
        </w:rPr>
        <w:t xml:space="preserve">Automated resolution flows:</w:t>
      </w:r>
      <w:r>
        <w:rPr>
          <w:rFonts w:eastAsia="source serif 4" w:cs="source serif 4" w:ascii="source serif 4" w:hAnsi="source serif 4"/>
          <w:color w:val="000000"/>
          <w:sz w:val="21"/>
        </w:rPr>
        <w:t xml:space="preserve"> For common desktop/service requests (password reset, software access, printer issues), AI agents trigger predefined ServiceNow workflows, execute steps (via RPA or scripts), and close tickets autonomously.</w:t>
      </w:r>
      <w:bookmarkStart w:id="27" w:name="fnref12"/>
      <w:bookmarkEnd w:id="27"/>
      <w:hyperlink w:anchor="fn12">
        <w:r>
          <w:rPr>
            <w:rFonts w:eastAsia="source sans 3" w:cs="source sans 3" w:ascii="source sans 3" w:hAnsi="source sans 3"/>
            <w:color w:val="#000"/>
            <w:sz w:val="21"/>
            <w:u w:val="single"/>
            <w:vertAlign w:val="superscript"/>
          </w:rPr>
          <w:t xml:space="preserve">[12]</w:t>
        </w:r>
      </w:hyperlink>
      <w:bookmarkStart w:id="28" w:name="fnref5_3"/>
      <w:bookmarkEnd w:id="28"/>
      <w:hyperlink w:anchor="fn5">
        <w:r>
          <w:rPr>
            <w:rFonts w:eastAsia="source sans 3" w:cs="source sans 3" w:ascii="source sans 3" w:hAnsi="source sans 3"/>
            <w:color w:val="#000"/>
            <w:sz w:val="21"/>
            <w:u w:val="single"/>
            <w:vertAlign w:val="superscript"/>
          </w:rPr>
          <w:t xml:space="preserve">[5]</w:t>
        </w:r>
      </w:hyperlink>
    </w:p>
    <w:p>
      <w:pPr>
        <w:numPr>
          <w:ilvl w:val="0"/>
          <w:numId w:val="4"/>
        </w:numPr>
        <w:spacing w:line="360" w:before="105" w:after="105" w:lineRule="auto"/>
      </w:pPr>
      <w:r>
        <w:rPr>
          <w:rFonts w:eastAsia="source serif 4" w:cs="source serif 4" w:ascii="source serif 4" w:hAnsi="source serif 4"/>
          <w:b/>
          <w:color w:val="000000"/>
          <w:sz w:val="21"/>
        </w:rPr>
        <w:t xml:space="preserve">Auto documentation:</w:t>
      </w:r>
      <w:r>
        <w:rPr>
          <w:rFonts w:eastAsia="source serif 4" w:cs="source serif 4" w:ascii="source serif 4" w:hAnsi="source serif 4"/>
          <w:color w:val="000000"/>
          <w:sz w:val="21"/>
        </w:rPr>
        <w:t xml:space="preserve"> Agentic ITSM workflows generate resolution notes, suggest resolution codes, attach or draft KB/known‑error articles, reducing manual effort but preserving full audit trails.</w:t>
      </w:r>
      <w:bookmarkStart w:id="29" w:name="fnref12_1"/>
      <w:bookmarkEnd w:id="29"/>
      <w:hyperlink w:anchor="fn12">
        <w:r>
          <w:rPr>
            <w:rFonts w:eastAsia="source sans 3" w:cs="source sans 3" w:ascii="source sans 3" w:hAnsi="source sans 3"/>
            <w:color w:val="#000"/>
            <w:sz w:val="21"/>
            <w:u w:val="single"/>
            <w:vertAlign w:val="superscript"/>
          </w:rPr>
          <w:t xml:space="preserve">[12]</w:t>
        </w:r>
      </w:hyperlink>
      <w:bookmarkStart w:id="30" w:name="fnref5_4"/>
      <w:bookmarkEnd w:id="30"/>
      <w:hyperlink w:anchor="fn5">
        <w:r>
          <w:rPr>
            <w:rFonts w:eastAsia="source sans 3" w:cs="source sans 3" w:ascii="source sans 3" w:hAnsi="source sans 3"/>
            <w:color w:val="#000"/>
            <w:sz w:val="21"/>
            <w:u w:val="single"/>
            <w:vertAlign w:val="superscript"/>
          </w:rPr>
          <w:t xml:space="preserve">[5]</w:t>
        </w:r>
      </w:hyperlink>
    </w:p>
    <w:p>
      <w:pPr>
        <w:numPr>
          <w:ilvl w:val="0"/>
          <w:numId w:val="4"/>
        </w:numPr>
        <w:spacing w:line="360" w:before="105" w:after="105" w:lineRule="auto"/>
      </w:pPr>
      <w:r>
        <w:rPr>
          <w:rFonts w:eastAsia="source serif 4" w:cs="source serif 4" w:ascii="source serif 4" w:hAnsi="source serif 4"/>
          <w:b/>
          <w:color w:val="000000"/>
          <w:sz w:val="21"/>
        </w:rPr>
        <w:t xml:space="preserve">Exception handling:</w:t>
      </w:r>
      <w:r>
        <w:rPr>
          <w:rFonts w:eastAsia="source serif 4" w:cs="source serif 4" w:ascii="source serif 4" w:hAnsi="source serif 4"/>
          <w:color w:val="000000"/>
          <w:sz w:val="21"/>
        </w:rPr>
        <w:t xml:space="preserve"> Tickets that fall outside “safe automation” boundaries are handed off to human technicians with AI‑generated summaries, impact analysis, and recommended diagnostic steps, improving MTTR but keeping humans in control.</w:t>
      </w:r>
      <w:bookmarkStart w:id="31" w:name="fnref2_4"/>
      <w:bookmarkEnd w:id="31"/>
      <w:hyperlink w:anchor="fn2">
        <w:r>
          <w:rPr>
            <w:rFonts w:eastAsia="source sans 3" w:cs="source sans 3" w:ascii="source sans 3" w:hAnsi="source sans 3"/>
            <w:color w:val="#000"/>
            <w:sz w:val="21"/>
            <w:u w:val="single"/>
            <w:vertAlign w:val="superscript"/>
          </w:rPr>
          <w:t xml:space="preserve">[2]</w:t>
        </w:r>
      </w:hyperlink>
      <w:bookmarkStart w:id="32" w:name="fnref9_2"/>
      <w:bookmarkEnd w:id="32"/>
      <w:hyperlink w:anchor="fn9">
        <w:r>
          <w:rPr>
            <w:rFonts w:eastAsia="source sans 3" w:cs="source sans 3" w:ascii="source sans 3" w:hAnsi="source sans 3"/>
            <w:color w:val="#000"/>
            <w:sz w:val="21"/>
            <w:u w:val="single"/>
            <w:vertAlign w:val="superscript"/>
          </w:rPr>
          <w:t xml:space="preserve">[9]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3_platform_operations_windows_4b1e75"/>
      <w:r>
        <w:rPr>
          <w:rFonts w:eastAsia="source serif 4" w:cs="source serif 4" w:ascii="source serif 4" w:hAnsi="source serif 4"/>
          <w:b/>
          <w:color w:val="000000"/>
          <w:sz w:val="24"/>
        </w:rPr>
        <w:t xml:space="preserve">3. Platform operations (Windows, Linux, SQL, Oracle)</w:t>
      </w:r>
      <w:bookmarkEnd w:id="33"/>
    </w:p>
    <w:p>
      <w:pPr>
        <w:spacing w:line="360" w:before="315" w:after="105" w:lineRule="auto"/>
        <w:ind w:left="-30"/>
        <w:jc w:val="left"/>
      </w:pPr>
      <w:bookmarkStart w:id="34" w:name="before_ai_3"/>
      <w:r>
        <w:rPr>
          <w:rFonts w:eastAsia="source serif 4" w:cs="source serif 4" w:ascii="source serif 4" w:hAnsi="source serif 4"/>
          <w:b/>
          <w:color w:val="000000"/>
          <w:sz w:val="24"/>
        </w:rPr>
        <w:t xml:space="preserve">Before AI</w:t>
      </w:r>
      <w:bookmarkEnd w:id="34"/>
    </w:p>
    <w:p>
      <w:pPr>
        <w:numPr>
          <w:ilvl w:val="0"/>
          <w:numId w:val="5"/>
        </w:numPr>
        <w:spacing w:line="360" w:before="105" w:after="105" w:lineRule="auto"/>
      </w:pPr>
      <w:r>
        <w:rPr>
          <w:rFonts w:eastAsia="source serif 4" w:cs="source serif 4" w:ascii="source serif 4" w:hAnsi="source serif 4"/>
          <w:color w:val="000000"/>
          <w:sz w:val="21"/>
        </w:rPr>
        <w:t xml:space="preserve">OEM, OS agents and Splunk/Instana raise performance/health alerts (CPU, I/O, query time, log errors); admins manually inspect dashboards and logs.</w:t>
      </w:r>
      <w:bookmarkStart w:id="35" w:name="fnref8_1"/>
      <w:bookmarkEnd w:id="35"/>
      <w:hyperlink w:anchor="fn8">
        <w:r>
          <w:rPr>
            <w:rFonts w:eastAsia="source sans 3" w:cs="source sans 3" w:ascii="source sans 3" w:hAnsi="source sans 3"/>
            <w:color w:val="#000"/>
            <w:sz w:val="21"/>
            <w:u w:val="single"/>
            <w:vertAlign w:val="superscript"/>
          </w:rPr>
          <w:t xml:space="preserve">[8]</w:t>
        </w:r>
      </w:hyperlink>
    </w:p>
    <w:p>
      <w:pPr>
        <w:numPr>
          <w:ilvl w:val="0"/>
          <w:numId w:val="5"/>
        </w:numPr>
        <w:spacing w:line="360" w:before="105" w:after="105" w:lineRule="auto"/>
      </w:pPr>
      <w:r>
        <w:rPr>
          <w:rFonts w:eastAsia="source serif 4" w:cs="source serif 4" w:ascii="source serif 4" w:hAnsi="source serif 4"/>
          <w:color w:val="000000"/>
          <w:sz w:val="21"/>
        </w:rPr>
        <w:t xml:space="preserve">Platform teams follow static runbooks for diagnostics (check wait stats, review blocking, disk latency, OS events), then execute scripts or changes under change‑control (ServiceNow).</w:t>
      </w:r>
      <w:bookmarkStart w:id="36" w:name="fnref13"/>
      <w:bookmarkEnd w:id="36"/>
      <w:hyperlink w:anchor="fn13">
        <w:r>
          <w:rPr>
            <w:rFonts w:eastAsia="source sans 3" w:cs="source sans 3" w:ascii="source sans 3" w:hAnsi="source sans 3"/>
            <w:color w:val="#000"/>
            <w:sz w:val="21"/>
            <w:u w:val="single"/>
            <w:vertAlign w:val="superscript"/>
          </w:rPr>
          <w:t xml:space="preserve">[13]</w:t>
        </w:r>
      </w:hyperlink>
      <w:bookmarkStart w:id="37" w:name="fnref2_5"/>
      <w:bookmarkEnd w:id="37"/>
      <w:hyperlink w:anchor="fn2">
        <w:r>
          <w:rPr>
            <w:rFonts w:eastAsia="source sans 3" w:cs="source sans 3" w:ascii="source sans 3" w:hAnsi="source sans 3"/>
            <w:color w:val="#000"/>
            <w:sz w:val="21"/>
            <w:u w:val="single"/>
            <w:vertAlign w:val="superscript"/>
          </w:rPr>
          <w:t xml:space="preserve">[2]</w:t>
        </w:r>
      </w:hyperlink>
    </w:p>
    <w:p>
      <w:pPr>
        <w:numPr>
          <w:ilvl w:val="0"/>
          <w:numId w:val="5"/>
        </w:numPr>
        <w:spacing w:line="360" w:before="105" w:after="105" w:lineRule="auto"/>
      </w:pPr>
      <w:r>
        <w:rPr>
          <w:rFonts w:eastAsia="source serif 4" w:cs="source serif 4" w:ascii="source serif 4" w:hAnsi="source serif 4"/>
          <w:color w:val="000000"/>
          <w:sz w:val="21"/>
        </w:rPr>
        <w:t xml:space="preserve">Post‑incident reviews and tuning are mostly human‑driven; learnings are unevenly codified into new runbooks or KB articles.</w:t>
      </w:r>
      <w:bookmarkStart w:id="38" w:name="fnref9_3"/>
      <w:bookmarkEnd w:id="38"/>
      <w:hyperlink w:anchor="fn9">
        <w:r>
          <w:rPr>
            <w:rFonts w:eastAsia="source sans 3" w:cs="source sans 3" w:ascii="source sans 3" w:hAnsi="source sans 3"/>
            <w:color w:val="#000"/>
            <w:sz w:val="21"/>
            <w:u w:val="single"/>
            <w:vertAlign w:val="superscript"/>
          </w:rPr>
          <w:t xml:space="preserve">[9]</w:t>
        </w:r>
      </w:hyperlink>
      <w:bookmarkStart w:id="39" w:name="fnref2_6"/>
      <w:bookmarkEnd w:id="39"/>
      <w:hyperlink w:anchor="fn2">
        <w:r>
          <w:rPr>
            <w:rFonts w:eastAsia="source sans 3" w:cs="source sans 3" w:ascii="source sans 3" w:hAnsi="source sans 3"/>
            <w:color w:val="#000"/>
            <w:sz w:val="21"/>
            <w:u w:val="single"/>
            <w:vertAlign w:val="superscript"/>
          </w:rPr>
          <w:t xml:space="preserve">[2]</w:t>
        </w:r>
      </w:hyperlink>
    </w:p>
    <w:p>
      <w:pPr>
        <w:spacing w:line="360" w:before="315" w:after="105" w:lineRule="auto"/>
        <w:ind w:left="-30"/>
        <w:jc w:val="left"/>
      </w:pPr>
      <w:bookmarkStart w:id="40" w:name="after_ai_3"/>
      <w:r>
        <w:rPr>
          <w:rFonts w:eastAsia="source serif 4" w:cs="source serif 4" w:ascii="source serif 4" w:hAnsi="source serif 4"/>
          <w:b/>
          <w:color w:val="000000"/>
          <w:sz w:val="24"/>
        </w:rPr>
        <w:t xml:space="preserve">After AI</w:t>
      </w:r>
      <w:bookmarkEnd w:id="40"/>
    </w:p>
    <w:p>
      <w:pPr>
        <w:numPr>
          <w:ilvl w:val="0"/>
          <w:numId w:val="6"/>
        </w:numPr>
        <w:spacing w:line="360" w:before="105" w:after="105" w:lineRule="auto"/>
      </w:pPr>
      <w:r>
        <w:rPr>
          <w:rFonts w:eastAsia="source serif 4" w:cs="source serif 4" w:ascii="source serif 4" w:hAnsi="source serif 4"/>
          <w:b/>
          <w:color w:val="000000"/>
          <w:sz w:val="21"/>
        </w:rPr>
        <w:t xml:space="preserve">Perception layer:</w:t>
      </w:r>
      <w:r>
        <w:rPr>
          <w:rFonts w:eastAsia="source serif 4" w:cs="source serif 4" w:ascii="source serif 4" w:hAnsi="source serif 4"/>
          <w:color w:val="000000"/>
          <w:sz w:val="21"/>
        </w:rPr>
        <w:t xml:space="preserve"> Telemetry from OEM, OS agents, Splunk/Instana feeds an AIOps pipeline that normalizes data, detects anomalies, and emits enriched events linked to services and databases.</w:t>
      </w:r>
      <w:bookmarkStart w:id="41" w:name="fnref8_2"/>
      <w:bookmarkEnd w:id="41"/>
      <w:hyperlink w:anchor="fn8">
        <w:r>
          <w:rPr>
            <w:rFonts w:eastAsia="source sans 3" w:cs="source sans 3" w:ascii="source sans 3" w:hAnsi="source sans 3"/>
            <w:color w:val="#000"/>
            <w:sz w:val="21"/>
            <w:u w:val="single"/>
            <w:vertAlign w:val="superscript"/>
          </w:rPr>
          <w:t xml:space="preserve">[8]</w:t>
        </w:r>
      </w:hyperlink>
      <w:bookmarkStart w:id="42" w:name="fnref13_1"/>
      <w:bookmarkEnd w:id="42"/>
      <w:hyperlink w:anchor="fn13">
        <w:r>
          <w:rPr>
            <w:rFonts w:eastAsia="source sans 3" w:cs="source sans 3" w:ascii="source sans 3" w:hAnsi="source sans 3"/>
            <w:color w:val="#000"/>
            <w:sz w:val="21"/>
            <w:u w:val="single"/>
            <w:vertAlign w:val="superscript"/>
          </w:rPr>
          <w:t xml:space="preserve">[13]</w:t>
        </w:r>
      </w:hyperlink>
    </w:p>
    <w:p>
      <w:pPr>
        <w:numPr>
          <w:ilvl w:val="0"/>
          <w:numId w:val="6"/>
        </w:numPr>
        <w:spacing w:line="360" w:before="105" w:after="105" w:lineRule="auto"/>
      </w:pPr>
      <w:r>
        <w:rPr>
          <w:rFonts w:eastAsia="source serif 4" w:cs="source serif 4" w:ascii="source serif 4" w:hAnsi="source serif 4"/>
          <w:b/>
          <w:color w:val="000000"/>
          <w:sz w:val="21"/>
        </w:rPr>
        <w:t xml:space="preserve">Multi‑agent reasoning:</w:t>
      </w:r>
      <w:r>
        <w:rPr>
          <w:rFonts w:eastAsia="source serif 4" w:cs="source serif 4" w:ascii="source serif 4" w:hAnsi="source serif 4"/>
          <w:color w:val="000000"/>
          <w:sz w:val="21"/>
        </w:rPr>
        <w:t xml:space="preserve"> Specialized agents (Detector, Hypothesis, Validator, Planner, Critic) reason over a topology/knowledge graph to propose root causes (e.g., mis‑sized pool, bad deployment, storage bottleneck) and candidate remediation plans.</w:t>
      </w:r>
      <w:bookmarkStart w:id="43" w:name="fnref13_2"/>
      <w:bookmarkEnd w:id="43"/>
      <w:hyperlink w:anchor="fn13">
        <w:r>
          <w:rPr>
            <w:rFonts w:eastAsia="source sans 3" w:cs="source sans 3" w:ascii="source sans 3" w:hAnsi="source sans 3"/>
            <w:color w:val="#000"/>
            <w:sz w:val="21"/>
            <w:u w:val="single"/>
            <w:vertAlign w:val="superscript"/>
          </w:rPr>
          <w:t xml:space="preserve">[13]</w:t>
        </w:r>
      </w:hyperlink>
      <w:bookmarkStart w:id="44" w:name="fnref9_4"/>
      <w:bookmarkEnd w:id="44"/>
      <w:hyperlink w:anchor="fn9">
        <w:r>
          <w:rPr>
            <w:rFonts w:eastAsia="source sans 3" w:cs="source sans 3" w:ascii="source sans 3" w:hAnsi="source sans 3"/>
            <w:color w:val="#000"/>
            <w:sz w:val="21"/>
            <w:u w:val="single"/>
            <w:vertAlign w:val="superscript"/>
          </w:rPr>
          <w:t xml:space="preserve">[9]</w:t>
        </w:r>
      </w:hyperlink>
    </w:p>
    <w:p>
      <w:pPr>
        <w:numPr>
          <w:ilvl w:val="0"/>
          <w:numId w:val="6"/>
        </w:numPr>
        <w:spacing w:line="360" w:before="105" w:after="105" w:lineRule="auto"/>
      </w:pPr>
      <w:r>
        <w:rPr>
          <w:rFonts w:eastAsia="source serif 4" w:cs="source serif 4" w:ascii="source serif 4" w:hAnsi="source serif 4"/>
          <w:b/>
          <w:color w:val="000000"/>
          <w:sz w:val="21"/>
        </w:rPr>
        <w:t xml:space="preserve">Plan to workflow:</w:t>
      </w:r>
      <w:r>
        <w:rPr>
          <w:rFonts w:eastAsia="source serif 4" w:cs="source serif 4" w:ascii="source serif 4" w:hAnsi="source serif 4"/>
          <w:color w:val="000000"/>
          <w:sz w:val="21"/>
        </w:rPr>
        <w:t xml:space="preserve"> Approved remediation plans are turned into executable workflows (Ansible/PowerShell/SQL scripts) triggered via ServiceNow change/incident tasks; AI agents orchestrate steps, track status, and handle rollbacks if SLOs degrade.</w:t>
      </w:r>
      <w:bookmarkStart w:id="45" w:name="fnref2_7"/>
      <w:bookmarkEnd w:id="45"/>
      <w:hyperlink w:anchor="fn2">
        <w:r>
          <w:rPr>
            <w:rFonts w:eastAsia="source sans 3" w:cs="source sans 3" w:ascii="source sans 3" w:hAnsi="source sans 3"/>
            <w:color w:val="#000"/>
            <w:sz w:val="21"/>
            <w:u w:val="single"/>
            <w:vertAlign w:val="superscript"/>
          </w:rPr>
          <w:t xml:space="preserve">[2]</w:t>
        </w:r>
      </w:hyperlink>
      <w:bookmarkStart w:id="46" w:name="fnref8_3"/>
      <w:bookmarkEnd w:id="46"/>
      <w:hyperlink w:anchor="fn8">
        <w:r>
          <w:rPr>
            <w:rFonts w:eastAsia="source sans 3" w:cs="source sans 3" w:ascii="source sans 3" w:hAnsi="source sans 3"/>
            <w:color w:val="#000"/>
            <w:sz w:val="21"/>
            <w:u w:val="single"/>
            <w:vertAlign w:val="superscript"/>
          </w:rPr>
          <w:t xml:space="preserve">[8]</w:t>
        </w:r>
      </w:hyperlink>
      <w:bookmarkStart w:id="47" w:name="fnref13_3"/>
      <w:bookmarkEnd w:id="47"/>
      <w:hyperlink w:anchor="fn13">
        <w:r>
          <w:rPr>
            <w:rFonts w:eastAsia="source sans 3" w:cs="source sans 3" w:ascii="source sans 3" w:hAnsi="source sans 3"/>
            <w:color w:val="#000"/>
            <w:sz w:val="21"/>
            <w:u w:val="single"/>
            <w:vertAlign w:val="superscript"/>
          </w:rPr>
          <w:t xml:space="preserve">[13]</w:t>
        </w:r>
      </w:hyperlink>
    </w:p>
    <w:p>
      <w:pPr>
        <w:numPr>
          <w:ilvl w:val="0"/>
          <w:numId w:val="6"/>
        </w:numPr>
        <w:spacing w:line="360" w:before="105" w:after="105" w:lineRule="auto"/>
      </w:pPr>
      <w:r>
        <w:rPr>
          <w:rFonts w:eastAsia="source serif 4" w:cs="source serif 4" w:ascii="source serif 4" w:hAnsi="source serif 4"/>
          <w:b/>
          <w:color w:val="000000"/>
          <w:sz w:val="21"/>
        </w:rPr>
        <w:t xml:space="preserve">Continuous learning:</w:t>
      </w:r>
      <w:r>
        <w:rPr>
          <w:rFonts w:eastAsia="source serif 4" w:cs="source serif 4" w:ascii="source serif 4" w:hAnsi="source serif 4"/>
          <w:color w:val="000000"/>
          <w:sz w:val="21"/>
        </w:rPr>
        <w:t xml:space="preserve"> Incident outcomes and operator feedback flow back into the agents, improving future anomaly detection and recommended actions across Windows/Linux/SQL/Oracle estates.</w:t>
      </w:r>
      <w:bookmarkStart w:id="48" w:name="fnref14"/>
      <w:bookmarkEnd w:id="48"/>
      <w:hyperlink w:anchor="fn14">
        <w:r>
          <w:rPr>
            <w:rFonts w:eastAsia="source sans 3" w:cs="source sans 3" w:ascii="source sans 3" w:hAnsi="source sans 3"/>
            <w:color w:val="#000"/>
            <w:sz w:val="21"/>
            <w:u w:val="single"/>
            <w:vertAlign w:val="superscript"/>
          </w:rPr>
          <w:t xml:space="preserve">[14]</w:t>
        </w:r>
      </w:hyperlink>
      <w:bookmarkStart w:id="49" w:name="fnref8_4"/>
      <w:bookmarkEnd w:id="49"/>
      <w:hyperlink w:anchor="fn8">
        <w:r>
          <w:rPr>
            <w:rFonts w:eastAsia="source sans 3" w:cs="source sans 3" w:ascii="source sans 3" w:hAnsi="source sans 3"/>
            <w:color w:val="#000"/>
            <w:sz w:val="21"/>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4_network_operations"/>
      <w:r>
        <w:rPr>
          <w:rFonts w:eastAsia="source serif 4" w:cs="source serif 4" w:ascii="source serif 4" w:hAnsi="source serif 4"/>
          <w:b/>
          <w:color w:val="000000"/>
          <w:sz w:val="24"/>
        </w:rPr>
        <w:t xml:space="preserve">4. Network operations</w:t>
      </w:r>
      <w:bookmarkEnd w:id="50"/>
    </w:p>
    <w:p>
      <w:pPr>
        <w:spacing w:line="360" w:before="315" w:after="105" w:lineRule="auto"/>
        <w:ind w:left="-30"/>
        <w:jc w:val="left"/>
      </w:pPr>
      <w:bookmarkStart w:id="51" w:name="before_ai_4"/>
      <w:r>
        <w:rPr>
          <w:rFonts w:eastAsia="source serif 4" w:cs="source serif 4" w:ascii="source serif 4" w:hAnsi="source serif 4"/>
          <w:b/>
          <w:color w:val="000000"/>
          <w:sz w:val="24"/>
        </w:rPr>
        <w:t xml:space="preserve">Before AI</w:t>
      </w:r>
      <w:bookmarkEnd w:id="51"/>
    </w:p>
    <w:p>
      <w:pPr>
        <w:numPr>
          <w:ilvl w:val="0"/>
          <w:numId w:val="7"/>
        </w:numPr>
        <w:spacing w:line="360" w:before="105" w:after="105" w:lineRule="auto"/>
      </w:pPr>
      <w:r>
        <w:rPr>
          <w:rFonts w:eastAsia="source serif 4" w:cs="source serif 4" w:ascii="source serif 4" w:hAnsi="source serif 4"/>
          <w:color w:val="000000"/>
          <w:sz w:val="21"/>
        </w:rPr>
        <w:t xml:space="preserve">SolarWinds (and possibly OEM/Splunk for syslog) generate device/interface/link alerts; NOC analysts manually triage, correlate, and decide which issues warrant incidents.</w:t>
      </w:r>
      <w:bookmarkStart w:id="52" w:name="fnref15"/>
      <w:bookmarkEnd w:id="52"/>
      <w:hyperlink w:anchor="fn15">
        <w:r>
          <w:rPr>
            <w:rFonts w:eastAsia="source sans 3" w:cs="source sans 3" w:ascii="source sans 3" w:hAnsi="source sans 3"/>
            <w:color w:val="#000"/>
            <w:sz w:val="21"/>
            <w:u w:val="single"/>
            <w:vertAlign w:val="superscript"/>
          </w:rPr>
          <w:t xml:space="preserve">[15]</w:t>
        </w:r>
      </w:hyperlink>
    </w:p>
    <w:p>
      <w:pPr>
        <w:numPr>
          <w:ilvl w:val="0"/>
          <w:numId w:val="7"/>
        </w:numPr>
        <w:spacing w:line="360" w:before="105" w:after="105" w:lineRule="auto"/>
      </w:pPr>
      <w:r>
        <w:rPr>
          <w:rFonts w:eastAsia="source serif 4" w:cs="source serif 4" w:ascii="source serif 4" w:hAnsi="source serif 4"/>
          <w:color w:val="000000"/>
          <w:sz w:val="21"/>
        </w:rPr>
        <w:t xml:space="preserve">Troubleshooting uses CLI and vendor tools (show commands, traceroute, config diff) with human judgment; changes are executed via manual scripts or semi‑automated tools and tracked in change records.</w:t>
      </w:r>
      <w:bookmarkStart w:id="53" w:name="fnref16"/>
      <w:bookmarkEnd w:id="53"/>
      <w:hyperlink w:anchor="fn16">
        <w:r>
          <w:rPr>
            <w:rFonts w:eastAsia="source sans 3" w:cs="source sans 3" w:ascii="source sans 3" w:hAnsi="source sans 3"/>
            <w:color w:val="#000"/>
            <w:sz w:val="21"/>
            <w:u w:val="single"/>
            <w:vertAlign w:val="superscript"/>
          </w:rPr>
          <w:t xml:space="preserve">[16]</w:t>
        </w:r>
      </w:hyperlink>
      <w:bookmarkStart w:id="54" w:name="fnref15_1"/>
      <w:bookmarkEnd w:id="54"/>
      <w:hyperlink w:anchor="fn15">
        <w:r>
          <w:rPr>
            <w:rFonts w:eastAsia="source sans 3" w:cs="source sans 3" w:ascii="source sans 3" w:hAnsi="source sans 3"/>
            <w:color w:val="#000"/>
            <w:sz w:val="21"/>
            <w:u w:val="single"/>
            <w:vertAlign w:val="superscript"/>
          </w:rPr>
          <w:t xml:space="preserve">[15]</w:t>
        </w:r>
      </w:hyperlink>
    </w:p>
    <w:p>
      <w:pPr>
        <w:spacing w:line="360" w:before="315" w:after="105" w:lineRule="auto"/>
        <w:ind w:left="-30"/>
        <w:jc w:val="left"/>
      </w:pPr>
      <w:bookmarkStart w:id="55" w:name="after_ai_4"/>
      <w:r>
        <w:rPr>
          <w:rFonts w:eastAsia="source serif 4" w:cs="source serif 4" w:ascii="source serif 4" w:hAnsi="source serif 4"/>
          <w:b/>
          <w:color w:val="000000"/>
          <w:sz w:val="24"/>
        </w:rPr>
        <w:t xml:space="preserve">After AI</w:t>
      </w:r>
      <w:bookmarkEnd w:id="55"/>
    </w:p>
    <w:p>
      <w:pPr>
        <w:numPr>
          <w:ilvl w:val="0"/>
          <w:numId w:val="8"/>
        </w:numPr>
        <w:spacing w:line="360" w:before="105" w:after="105" w:lineRule="auto"/>
      </w:pPr>
      <w:r>
        <w:rPr>
          <w:rFonts w:eastAsia="source serif 4" w:cs="source serif 4" w:ascii="source serif 4" w:hAnsi="source serif 4"/>
          <w:b/>
          <w:color w:val="000000"/>
          <w:sz w:val="21"/>
        </w:rPr>
        <w:t xml:space="preserve">Agentic NOC workflows:</w:t>
      </w:r>
      <w:r>
        <w:rPr>
          <w:rFonts w:eastAsia="source serif 4" w:cs="source serif 4" w:ascii="source serif 4" w:hAnsi="source serif 4"/>
          <w:color w:val="000000"/>
          <w:sz w:val="21"/>
        </w:rPr>
        <w:t xml:space="preserve"> Network alerts feed into an agentic NOC framework (e.g., Cisco Crosswork Multi‑Agentic AI, Meraki Agentic Workflows, SolarWinds AI agent), where AI correlates events across devices, sites, and services and groups them into incidents.</w:t>
      </w:r>
      <w:bookmarkStart w:id="56" w:name="fnref17"/>
      <w:bookmarkEnd w:id="56"/>
      <w:hyperlink w:anchor="fn17">
        <w:r>
          <w:rPr>
            <w:rFonts w:eastAsia="source sans 3" w:cs="source sans 3" w:ascii="source sans 3" w:hAnsi="source sans 3"/>
            <w:color w:val="#000"/>
            <w:sz w:val="21"/>
            <w:u w:val="single"/>
            <w:vertAlign w:val="superscript"/>
          </w:rPr>
          <w:t xml:space="preserve">[17]</w:t>
        </w:r>
      </w:hyperlink>
      <w:bookmarkStart w:id="57" w:name="fnref18"/>
      <w:bookmarkEnd w:id="57"/>
      <w:hyperlink w:anchor="fn18">
        <w:r>
          <w:rPr>
            <w:rFonts w:eastAsia="source sans 3" w:cs="source sans 3" w:ascii="source sans 3" w:hAnsi="source sans 3"/>
            <w:color w:val="#000"/>
            <w:sz w:val="21"/>
            <w:u w:val="single"/>
            <w:vertAlign w:val="superscript"/>
          </w:rPr>
          <w:t xml:space="preserve">[18]</w:t>
        </w:r>
      </w:hyperlink>
      <w:bookmarkStart w:id="58" w:name="fnref15_2"/>
      <w:bookmarkEnd w:id="58"/>
      <w:hyperlink w:anchor="fn15">
        <w:r>
          <w:rPr>
            <w:rFonts w:eastAsia="source sans 3" w:cs="source sans 3" w:ascii="source sans 3" w:hAnsi="source sans 3"/>
            <w:color w:val="#000"/>
            <w:sz w:val="21"/>
            <w:u w:val="single"/>
            <w:vertAlign w:val="superscript"/>
          </w:rPr>
          <w:t xml:space="preserve">[15]</w:t>
        </w:r>
      </w:hyperlink>
    </w:p>
    <w:p>
      <w:pPr>
        <w:numPr>
          <w:ilvl w:val="0"/>
          <w:numId w:val="8"/>
        </w:numPr>
        <w:spacing w:line="360" w:before="105" w:after="105" w:lineRule="auto"/>
      </w:pPr>
      <w:r>
        <w:rPr>
          <w:rFonts w:eastAsia="source serif 4" w:cs="source serif 4" w:ascii="source serif 4" w:hAnsi="source serif 4"/>
          <w:b/>
          <w:color w:val="000000"/>
          <w:sz w:val="21"/>
        </w:rPr>
        <w:t xml:space="preserve">Outcome‑driven automation:</w:t>
      </w:r>
      <w:r>
        <w:rPr>
          <w:rFonts w:eastAsia="source serif 4" w:cs="source serif 4" w:ascii="source serif 4" w:hAnsi="source serif 4"/>
          <w:color w:val="000000"/>
          <w:sz w:val="21"/>
        </w:rPr>
        <w:t xml:space="preserve"> Operators request outcomes (“drain traffic from site X”, “fix flapping interface”) via NL; AI chooses or composes a workflow from a library (Workflows Exchange, Crosswork playbooks), simulates impact, and executes steps within defined boundaries.</w:t>
      </w:r>
      <w:bookmarkStart w:id="59" w:name="fnref16_1"/>
      <w:bookmarkEnd w:id="59"/>
      <w:hyperlink w:anchor="fn16">
        <w:r>
          <w:rPr>
            <w:rFonts w:eastAsia="source sans 3" w:cs="source sans 3" w:ascii="source sans 3" w:hAnsi="source sans 3"/>
            <w:color w:val="#000"/>
            <w:sz w:val="21"/>
            <w:u w:val="single"/>
            <w:vertAlign w:val="superscript"/>
          </w:rPr>
          <w:t xml:space="preserve">[16]</w:t>
        </w:r>
      </w:hyperlink>
      <w:bookmarkStart w:id="60" w:name="fnref17_1"/>
      <w:bookmarkEnd w:id="60"/>
      <w:hyperlink w:anchor="fn17">
        <w:r>
          <w:rPr>
            <w:rFonts w:eastAsia="source sans 3" w:cs="source sans 3" w:ascii="source sans 3" w:hAnsi="source sans 3"/>
            <w:color w:val="#000"/>
            <w:sz w:val="21"/>
            <w:u w:val="single"/>
            <w:vertAlign w:val="superscript"/>
          </w:rPr>
          <w:t xml:space="preserve">[17]</w:t>
        </w:r>
      </w:hyperlink>
      <w:bookmarkStart w:id="61" w:name="fnref15_3"/>
      <w:bookmarkEnd w:id="61"/>
      <w:hyperlink w:anchor="fn15">
        <w:r>
          <w:rPr>
            <w:rFonts w:eastAsia="source sans 3" w:cs="source sans 3" w:ascii="source sans 3" w:hAnsi="source sans 3"/>
            <w:color w:val="#000"/>
            <w:sz w:val="21"/>
            <w:u w:val="single"/>
            <w:vertAlign w:val="superscript"/>
          </w:rPr>
          <w:t xml:space="preserve">[15]</w:t>
        </w:r>
      </w:hyperlink>
    </w:p>
    <w:p>
      <w:pPr>
        <w:numPr>
          <w:ilvl w:val="0"/>
          <w:numId w:val="8"/>
        </w:numPr>
        <w:spacing w:line="360" w:before="105" w:after="105" w:lineRule="auto"/>
      </w:pPr>
      <w:r>
        <w:rPr>
          <w:rFonts w:eastAsia="source serif 4" w:cs="source serif 4" w:ascii="source serif 4" w:hAnsi="source serif 4"/>
          <w:b/>
          <w:color w:val="000000"/>
          <w:sz w:val="21"/>
        </w:rPr>
        <w:t xml:space="preserve">AI‑assisted investigation:</w:t>
      </w:r>
      <w:r>
        <w:rPr>
          <w:rFonts w:eastAsia="source serif 4" w:cs="source serif 4" w:ascii="source serif 4" w:hAnsi="source serif 4"/>
          <w:color w:val="000000"/>
          <w:sz w:val="21"/>
        </w:rPr>
        <w:t xml:space="preserve"> SolarWinds’ AI agent and Cisco’s AI assistant can answer questions like “what changed before this outage” or “which paths are degraded”, pulling config/history/logs and summarizing for the NOC.</w:t>
      </w:r>
      <w:bookmarkStart w:id="62" w:name="fnref18_1"/>
      <w:bookmarkEnd w:id="62"/>
      <w:hyperlink w:anchor="fn18">
        <w:r>
          <w:rPr>
            <w:rFonts w:eastAsia="source sans 3" w:cs="source sans 3" w:ascii="source sans 3" w:hAnsi="source sans 3"/>
            <w:color w:val="#000"/>
            <w:sz w:val="21"/>
            <w:u w:val="single"/>
            <w:vertAlign w:val="superscript"/>
          </w:rPr>
          <w:t xml:space="preserve">[18]</w:t>
        </w:r>
      </w:hyperlink>
      <w:bookmarkStart w:id="63" w:name="fnref17_2"/>
      <w:bookmarkEnd w:id="63"/>
      <w:hyperlink w:anchor="fn17">
        <w:r>
          <w:rPr>
            <w:rFonts w:eastAsia="source sans 3" w:cs="source sans 3" w:ascii="source sans 3" w:hAnsi="source sans 3"/>
            <w:color w:val="#000"/>
            <w:sz w:val="21"/>
            <w:u w:val="single"/>
            <w:vertAlign w:val="superscript"/>
          </w:rPr>
          <w:t xml:space="preserve">[17]</w:t>
        </w:r>
      </w:hyperlink>
    </w:p>
    <w:p>
      <w:pPr>
        <w:numPr>
          <w:ilvl w:val="0"/>
          <w:numId w:val="8"/>
        </w:numPr>
        <w:spacing w:line="360" w:before="105" w:after="105" w:lineRule="auto"/>
      </w:pPr>
      <w:r>
        <w:rPr>
          <w:rFonts w:eastAsia="source serif 4" w:cs="source serif 4" w:ascii="source serif 4" w:hAnsi="source serif 4"/>
          <w:b/>
          <w:color w:val="000000"/>
          <w:sz w:val="21"/>
        </w:rPr>
        <w:t xml:space="preserve">Guarded execution:</w:t>
      </w:r>
      <w:r>
        <w:rPr>
          <w:rFonts w:eastAsia="source serif 4" w:cs="source serif 4" w:ascii="source serif 4" w:hAnsi="source serif 4"/>
          <w:color w:val="000000"/>
          <w:sz w:val="21"/>
        </w:rPr>
        <w:t xml:space="preserve"> High‑risk changes (BGP, global routing, major config pushes) require human approval, but routine fixes (minor QoS updates, description changes, harmless polling tweaks) can run automatically with full logging and rollback.</w:t>
      </w:r>
      <w:bookmarkStart w:id="64" w:name="fnref15_4"/>
      <w:bookmarkEnd w:id="64"/>
      <w:hyperlink w:anchor="fn15">
        <w:r>
          <w:rPr>
            <w:rFonts w:eastAsia="source sans 3" w:cs="source sans 3" w:ascii="source sans 3" w:hAnsi="source sans 3"/>
            <w:color w:val="#000"/>
            <w:sz w:val="21"/>
            <w:u w:val="single"/>
            <w:vertAlign w:val="superscript"/>
          </w:rPr>
          <w:t xml:space="preserve">[15]</w:t>
        </w:r>
      </w:hyperlink>
      <w:bookmarkStart w:id="65" w:name="fnref16_2"/>
      <w:bookmarkEnd w:id="65"/>
      <w:hyperlink w:anchor="fn16">
        <w:r>
          <w:rPr>
            <w:rFonts w:eastAsia="source sans 3" w:cs="source sans 3" w:ascii="source sans 3" w:hAnsi="source sans 3"/>
            <w:color w:val="#000"/>
            <w:sz w:val="21"/>
            <w:u w:val="single"/>
            <w:vertAlign w:val="superscript"/>
          </w:rPr>
          <w:t xml:space="preserve">[16]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bm_5_access_control_database_security"/>
      <w:r>
        <w:rPr>
          <w:rFonts w:eastAsia="source serif 4" w:cs="source serif 4" w:ascii="source serif 4" w:hAnsi="source serif 4"/>
          <w:b/>
          <w:color w:val="000000"/>
          <w:sz w:val="24"/>
        </w:rPr>
        <w:t xml:space="preserve">5. Access control &amp; database security</w:t>
      </w:r>
      <w:bookmarkEnd w:id="66"/>
    </w:p>
    <w:p>
      <w:pPr>
        <w:spacing w:line="360" w:before="315" w:after="105" w:lineRule="auto"/>
        <w:ind w:left="-30"/>
        <w:jc w:val="left"/>
      </w:pPr>
      <w:bookmarkStart w:id="67" w:name="before_ai_5"/>
      <w:r>
        <w:rPr>
          <w:rFonts w:eastAsia="source serif 4" w:cs="source serif 4" w:ascii="source serif 4" w:hAnsi="source serif 4"/>
          <w:b/>
          <w:color w:val="000000"/>
          <w:sz w:val="24"/>
        </w:rPr>
        <w:t xml:space="preserve">Before AI</w:t>
      </w:r>
      <w:bookmarkEnd w:id="67"/>
    </w:p>
    <w:p>
      <w:pPr>
        <w:numPr>
          <w:ilvl w:val="0"/>
          <w:numId w:val="9"/>
        </w:numPr>
        <w:spacing w:line="360" w:before="105" w:after="105" w:lineRule="auto"/>
      </w:pPr>
      <w:r>
        <w:rPr>
          <w:rFonts w:eastAsia="source serif 4" w:cs="source serif 4" w:ascii="source serif 4" w:hAnsi="source serif 4"/>
          <w:color w:val="000000"/>
          <w:sz w:val="21"/>
        </w:rPr>
        <w:t xml:space="preserve">Privileged access requests are raised in ServiceNow and fulfilled via CyberArk/AD groups; approvals and risk checks are manual but policy‑driven.</w:t>
      </w:r>
      <w:bookmarkStart w:id="68" w:name="fnref19"/>
      <w:bookmarkEnd w:id="68"/>
      <w:hyperlink w:anchor="fn19">
        <w:r>
          <w:rPr>
            <w:rFonts w:eastAsia="source sans 3" w:cs="source sans 3" w:ascii="source sans 3" w:hAnsi="source sans 3"/>
            <w:color w:val="#000"/>
            <w:sz w:val="21"/>
            <w:u w:val="single"/>
            <w:vertAlign w:val="superscript"/>
          </w:rPr>
          <w:t xml:space="preserve">[19]</w:t>
        </w:r>
      </w:hyperlink>
    </w:p>
    <w:p>
      <w:pPr>
        <w:numPr>
          <w:ilvl w:val="0"/>
          <w:numId w:val="9"/>
        </w:numPr>
        <w:spacing w:line="360" w:before="105" w:after="105" w:lineRule="auto"/>
      </w:pPr>
      <w:r>
        <w:rPr>
          <w:rFonts w:eastAsia="source serif 4" w:cs="source serif 4" w:ascii="source serif 4" w:hAnsi="source serif 4"/>
          <w:color w:val="000000"/>
          <w:sz w:val="21"/>
        </w:rPr>
        <w:t xml:space="preserve">Database access monitoring tools and SIEM/Splunk report anomalies (suspicious queries, failed logons, policy violations), which security/DBA teams triage and investigate manually.</w:t>
      </w:r>
      <w:bookmarkStart w:id="69" w:name="fnref12_2"/>
      <w:bookmarkEnd w:id="69"/>
      <w:hyperlink w:anchor="fn12">
        <w:r>
          <w:rPr>
            <w:rFonts w:eastAsia="source sans 3" w:cs="source sans 3" w:ascii="source sans 3" w:hAnsi="source sans 3"/>
            <w:color w:val="#000"/>
            <w:sz w:val="21"/>
            <w:u w:val="single"/>
            <w:vertAlign w:val="superscript"/>
          </w:rPr>
          <w:t xml:space="preserve">[12]</w:t>
        </w:r>
      </w:hyperlink>
    </w:p>
    <w:p>
      <w:pPr>
        <w:spacing w:line="360" w:before="315" w:after="105" w:lineRule="auto"/>
        <w:ind w:left="-30"/>
        <w:jc w:val="left"/>
      </w:pPr>
      <w:bookmarkStart w:id="70" w:name="after_ai_5"/>
      <w:r>
        <w:rPr>
          <w:rFonts w:eastAsia="source serif 4" w:cs="source serif 4" w:ascii="source serif 4" w:hAnsi="source serif 4"/>
          <w:b/>
          <w:color w:val="000000"/>
          <w:sz w:val="24"/>
        </w:rPr>
        <w:t xml:space="preserve">After AI</w:t>
      </w:r>
      <w:bookmarkEnd w:id="70"/>
    </w:p>
    <w:p>
      <w:pPr>
        <w:numPr>
          <w:ilvl w:val="0"/>
          <w:numId w:val="10"/>
        </w:numPr>
        <w:spacing w:line="360" w:before="105" w:after="105" w:lineRule="auto"/>
      </w:pPr>
      <w:r>
        <w:rPr>
          <w:rFonts w:eastAsia="source serif 4" w:cs="source serif 4" w:ascii="source serif 4" w:hAnsi="source serif 4"/>
          <w:b/>
          <w:color w:val="000000"/>
          <w:sz w:val="21"/>
        </w:rPr>
        <w:t xml:space="preserve">Risk‑aware triage:</w:t>
      </w:r>
      <w:r>
        <w:rPr>
          <w:rFonts w:eastAsia="source serif 4" w:cs="source serif 4" w:ascii="source serif 4" w:hAnsi="source serif 4"/>
          <w:color w:val="000000"/>
          <w:sz w:val="21"/>
        </w:rPr>
        <w:t xml:space="preserve"> AI agents consume DB access monitoring logs, DLP/SIEM signals, and IAM/PAM data to score sessions and events, prioritizing high‑risk anomalies for investigation and automatically downgrading benign patterns.</w:t>
      </w:r>
      <w:bookmarkStart w:id="71" w:name="fnref20"/>
      <w:bookmarkEnd w:id="71"/>
      <w:hyperlink w:anchor="fn20">
        <w:r>
          <w:rPr>
            <w:rFonts w:eastAsia="source sans 3" w:cs="source sans 3" w:ascii="source sans 3" w:hAnsi="source sans 3"/>
            <w:color w:val="#000"/>
            <w:sz w:val="21"/>
            <w:u w:val="single"/>
            <w:vertAlign w:val="superscript"/>
          </w:rPr>
          <w:t xml:space="preserve">[20]</w:t>
        </w:r>
      </w:hyperlink>
      <w:bookmarkStart w:id="72" w:name="fnref12_3"/>
      <w:bookmarkEnd w:id="72"/>
      <w:hyperlink w:anchor="fn12">
        <w:r>
          <w:rPr>
            <w:rFonts w:eastAsia="source sans 3" w:cs="source sans 3" w:ascii="source sans 3" w:hAnsi="source sans 3"/>
            <w:color w:val="#000"/>
            <w:sz w:val="21"/>
            <w:u w:val="single"/>
            <w:vertAlign w:val="superscript"/>
          </w:rPr>
          <w:t xml:space="preserve">[12]</w:t>
        </w:r>
      </w:hyperlink>
    </w:p>
    <w:p>
      <w:pPr>
        <w:numPr>
          <w:ilvl w:val="0"/>
          <w:numId w:val="10"/>
        </w:numPr>
        <w:spacing w:line="360" w:before="105" w:after="105" w:lineRule="auto"/>
      </w:pPr>
      <w:r>
        <w:rPr>
          <w:rFonts w:eastAsia="source serif 4" w:cs="source serif 4" w:ascii="source serif 4" w:hAnsi="source serif 4"/>
          <w:b/>
          <w:color w:val="000000"/>
          <w:sz w:val="21"/>
        </w:rPr>
        <w:t xml:space="preserve">Contextual incident generation:</w:t>
      </w:r>
      <w:r>
        <w:rPr>
          <w:rFonts w:eastAsia="source serif 4" w:cs="source serif 4" w:ascii="source serif 4" w:hAnsi="source serif 4"/>
          <w:color w:val="000000"/>
          <w:sz w:val="21"/>
        </w:rPr>
        <w:t xml:space="preserve"> When risky behavior is detected (e.g., unusual privileged query outside change window), agents create enriched security/DB incidents in ServiceNow with who/what/when/where, linking to CyberArk session data and DB logs.</w:t>
      </w:r>
      <w:bookmarkStart w:id="73" w:name="fnref8_5"/>
      <w:bookmarkEnd w:id="73"/>
      <w:hyperlink w:anchor="fn8">
        <w:r>
          <w:rPr>
            <w:rFonts w:eastAsia="source sans 3" w:cs="source sans 3" w:ascii="source sans 3" w:hAnsi="source sans 3"/>
            <w:color w:val="#000"/>
            <w:sz w:val="21"/>
            <w:u w:val="single"/>
            <w:vertAlign w:val="superscript"/>
          </w:rPr>
          <w:t xml:space="preserve">[8]</w:t>
        </w:r>
      </w:hyperlink>
      <w:bookmarkStart w:id="74" w:name="fnref12_4"/>
      <w:bookmarkEnd w:id="74"/>
      <w:hyperlink w:anchor="fn12">
        <w:r>
          <w:rPr>
            <w:rFonts w:eastAsia="source sans 3" w:cs="source sans 3" w:ascii="source sans 3" w:hAnsi="source sans 3"/>
            <w:color w:val="#000"/>
            <w:sz w:val="21"/>
            <w:u w:val="single"/>
            <w:vertAlign w:val="superscript"/>
          </w:rPr>
          <w:t xml:space="preserve">[12]</w:t>
        </w:r>
      </w:hyperlink>
    </w:p>
    <w:p>
      <w:pPr>
        <w:numPr>
          <w:ilvl w:val="0"/>
          <w:numId w:val="10"/>
        </w:numPr>
        <w:spacing w:line="360" w:before="105" w:after="105" w:lineRule="auto"/>
      </w:pPr>
      <w:r>
        <w:rPr>
          <w:rFonts w:eastAsia="source serif 4" w:cs="source serif 4" w:ascii="source serif 4" w:hAnsi="source serif 4"/>
          <w:b/>
          <w:color w:val="000000"/>
          <w:sz w:val="21"/>
        </w:rPr>
        <w:t xml:space="preserve">Decision‑support, not direct access:</w:t>
      </w:r>
      <w:r>
        <w:rPr>
          <w:rFonts w:eastAsia="source serif 4" w:cs="source serif 4" w:ascii="source serif 4" w:hAnsi="source serif 4"/>
          <w:color w:val="000000"/>
          <w:sz w:val="21"/>
        </w:rPr>
        <w:t xml:space="preserve"> Agents propose actions (session suspension, password rotation, temporary account lock) but execution is done via CyberArk/DB security tools under explicit policy and human approval, keeping MAS/PDPA controls intact.</w:t>
      </w:r>
      <w:bookmarkStart w:id="75" w:name="fnref20_1"/>
      <w:bookmarkEnd w:id="75"/>
      <w:hyperlink w:anchor="fn20">
        <w:r>
          <w:rPr>
            <w:rFonts w:eastAsia="source sans 3" w:cs="source sans 3" w:ascii="source sans 3" w:hAnsi="source sans 3"/>
            <w:color w:val="#000"/>
            <w:sz w:val="21"/>
            <w:u w:val="single"/>
            <w:vertAlign w:val="superscript"/>
          </w:rPr>
          <w:t xml:space="preserve">[20]</w:t>
        </w:r>
      </w:hyperlink>
      <w:bookmarkStart w:id="76" w:name="fnref12_5"/>
      <w:bookmarkEnd w:id="76"/>
      <w:hyperlink w:anchor="fn12">
        <w:r>
          <w:rPr>
            <w:rFonts w:eastAsia="source sans 3" w:cs="source sans 3" w:ascii="source sans 3" w:hAnsi="source sans 3"/>
            <w:color w:val="#000"/>
            <w:sz w:val="21"/>
            <w:u w:val="single"/>
            <w:vertAlign w:val="superscript"/>
          </w:rPr>
          <w:t xml:space="preserve">[12]</w:t>
        </w:r>
      </w:hyperlink>
    </w:p>
    <w:p>
      <w:pPr>
        <w:numPr>
          <w:ilvl w:val="0"/>
          <w:numId w:val="10"/>
        </w:numPr>
        <w:spacing w:line="360" w:before="105" w:after="105" w:lineRule="auto"/>
      </w:pPr>
      <w:r>
        <w:rPr>
          <w:rFonts w:eastAsia="source serif 4" w:cs="source serif 4" w:ascii="source serif 4" w:hAnsi="source serif 4"/>
          <w:b/>
          <w:color w:val="000000"/>
          <w:sz w:val="21"/>
        </w:rPr>
        <w:t xml:space="preserve">Feedback loop into policies:</w:t>
      </w:r>
      <w:r>
        <w:rPr>
          <w:rFonts w:eastAsia="source serif 4" w:cs="source serif 4" w:ascii="source serif 4" w:hAnsi="source serif 4"/>
          <w:color w:val="000000"/>
          <w:sz w:val="21"/>
        </w:rPr>
        <w:t xml:space="preserve"> Outcomes of investigations and audits inform updated rules, KB content, and models, improving future anomaly detection and reducing manual false‑positive handling.</w:t>
      </w:r>
      <w:bookmarkStart w:id="77" w:name="fnref14_1"/>
      <w:bookmarkEnd w:id="77"/>
      <w:hyperlink w:anchor="fn14">
        <w:r>
          <w:rPr>
            <w:rFonts w:eastAsia="source sans 3" w:cs="source sans 3" w:ascii="source sans 3" w:hAnsi="source sans 3"/>
            <w:color w:val="#000"/>
            <w:sz w:val="21"/>
            <w:u w:val="single"/>
            <w:vertAlign w:val="superscript"/>
          </w:rPr>
          <w:t xml:space="preserve">[14]</w:t>
        </w:r>
      </w:hyperlink>
      <w:bookmarkStart w:id="78" w:name="fnref8_6"/>
      <w:bookmarkEnd w:id="78"/>
      <w:hyperlink w:anchor="fn8">
        <w:r>
          <w:rPr>
            <w:rFonts w:eastAsia="source sans 3" w:cs="source sans 3" w:ascii="source sans 3" w:hAnsi="source sans 3"/>
            <w:color w:val="#000"/>
            <w:sz w:val="21"/>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If you’d like, I can turn this into a </w:t>
      </w:r>
      <w:r>
        <w:rPr>
          <w:rFonts w:eastAsia="source serif 4" w:cs="source serif 4" w:ascii="source serif 4" w:hAnsi="source serif 4"/>
          <w:b/>
          <w:color w:val="000000"/>
        </w:rPr>
        <w:t xml:space="preserve">slide‑ready set of swimlane diagrams</w:t>
      </w:r>
      <w:r>
        <w:rPr>
          <w:rFonts w:eastAsia="source serif 4" w:cs="source serif 4" w:ascii="source serif 4" w:hAnsi="source serif 4"/>
          <w:color w:val="000000"/>
        </w:rPr>
        <w:t xml:space="preserve"> per track (pre‑AI vs post‑AI), tuned to a banking infra audience and using your exact tools (SolarWinds, Instana, Splunk, OEM, ServiceNow, CyberArk) as the lane anchors.</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9" w:name="fn1"/>
    <w:bookmarkEnd w:id="79"/>
    <w:p>
      <w:pPr>
        <w:numPr>
          <w:ilvl w:val="0"/>
          <w:numId w:val="12"/>
        </w:numPr>
        <w:spacing w:line="360" w:after="210" w:lineRule="auto"/>
      </w:pPr>
      <w:hyperlink r:id="rId6">
        <w:r>
          <w:rPr>
            <w:rFonts w:eastAsia="source sans 3" w:cs="source sans 3" w:ascii="source sans 3" w:hAnsi="source sans 3"/>
            <w:color w:val="#000"/>
            <w:sz w:val="18"/>
            <w:u w:val="single"/>
          </w:rPr>
          <w:t xml:space="preserve">https://www.bigpanda.io/blog/use-cases-agentic-ai-itsm/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0" w:name="fn2"/>
    <w:bookmarkEnd w:id="80"/>
    <w:p>
      <w:pPr>
        <w:numPr>
          <w:ilvl w:val="0"/>
          <w:numId w:val="12"/>
        </w:numPr>
        <w:spacing w:line="360" w:after="210" w:lineRule="auto"/>
      </w:pPr>
      <w:hyperlink r:id="rId7">
        <w:r>
          <w:rPr>
            <w:rFonts w:eastAsia="source sans 3" w:cs="source sans 3" w:ascii="source sans 3" w:hAnsi="source sans 3"/>
            <w:color w:val="#000"/>
            <w:sz w:val="18"/>
            <w:u w:val="single"/>
          </w:rPr>
          <w:t xml:space="preserve">https://www.cutover.com/blog/key-steps-automate-incident-management-workflow-ai-agents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1" w:name="fn3"/>
    <w:bookmarkEnd w:id="81"/>
    <w:p>
      <w:pPr>
        <w:numPr>
          <w:ilvl w:val="0"/>
          <w:numId w:val="12"/>
        </w:numPr>
        <w:spacing w:line="360" w:after="210" w:lineRule="auto"/>
      </w:pPr>
      <w:hyperlink r:id="rId8">
        <w:r>
          <w:rPr>
            <w:rFonts w:eastAsia="source sans 3" w:cs="source sans 3" w:ascii="source sans 3" w:hAnsi="source sans 3"/>
            <w:color w:val="#000"/>
            <w:sz w:val="18"/>
            <w:u w:val="single"/>
          </w:rPr>
          <w:t xml:space="preserve">https://www.logicmonitor.com/blog/incident-response-with-agentic-aiops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2" w:name="fn4"/>
    <w:bookmarkEnd w:id="82"/>
    <w:p>
      <w:pPr>
        <w:numPr>
          <w:ilvl w:val="0"/>
          <w:numId w:val="12"/>
        </w:numPr>
        <w:spacing w:line="360" w:after="210" w:lineRule="auto"/>
      </w:pPr>
      <w:hyperlink r:id="rId9">
        <w:r>
          <w:rPr>
            <w:rFonts w:eastAsia="source sans 3" w:cs="source sans 3" w:ascii="source sans 3" w:hAnsi="source sans 3"/>
            <w:color w:val="#000"/>
            <w:sz w:val="18"/>
            <w:u w:val="single"/>
          </w:rPr>
          <w:t xml:space="preserve">https://www.ilert.com/agentic-incident-management-guide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3" w:name="fn5"/>
    <w:bookmarkEnd w:id="83"/>
    <w:p>
      <w:pPr>
        <w:numPr>
          <w:ilvl w:val="0"/>
          <w:numId w:val="12"/>
        </w:numPr>
        <w:spacing w:line="360" w:after="210" w:lineRule="auto"/>
      </w:pPr>
      <w:hyperlink r:id="rId10">
        <w:r>
          <w:rPr>
            <w:rFonts w:eastAsia="source sans 3" w:cs="source sans 3" w:ascii="source sans 3" w:hAnsi="source sans 3"/>
            <w:color w:val="#000"/>
            <w:sz w:val="18"/>
            <w:u w:val="single"/>
          </w:rPr>
          <w:t xml:space="preserve">https://www.servicenow.com/docs/r/yokohama/it-service-management/now-assist-for-it-service-management-itsm/using-agentic-ai-workflow-im.html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4" w:name="fn6"/>
    <w:bookmarkEnd w:id="84"/>
    <w:p>
      <w:pPr>
        <w:numPr>
          <w:ilvl w:val="0"/>
          <w:numId w:val="12"/>
        </w:numPr>
        <w:spacing w:line="360" w:after="210" w:lineRule="auto"/>
      </w:pPr>
      <w:hyperlink r:id="rId11">
        <w:r>
          <w:rPr>
            <w:rFonts w:eastAsia="source sans 3" w:cs="source sans 3" w:ascii="source sans 3" w:hAnsi="source sans 3"/>
            <w:color w:val="#000"/>
            <w:sz w:val="18"/>
            <w:u w:val="single"/>
          </w:rPr>
          <w:t xml:space="preserve">https://www.youtube.com/watch?v=kBKVVgxtnRk</w:t>
        </w:r>
      </w:hyperlink>
      <w:r>
        <w:rPr>
          <w:rFonts w:eastAsia="source serif 4" w:cs="source serif 4" w:ascii="source serif 4" w:hAnsi="source serif 4"/>
          <w:color w:val="000000"/>
          <w:sz w:val="18"/>
        </w:rPr>
        <w:t xml:space="preserve"> </w:t>
      </w:r>
    </w:p>
    <w:bookmarkStart w:id="85" w:name="fn7"/>
    <w:bookmarkEnd w:id="85"/>
    <w:p>
      <w:pPr>
        <w:numPr>
          <w:ilvl w:val="0"/>
          <w:numId w:val="12"/>
        </w:numPr>
        <w:spacing w:line="360" w:after="210" w:lineRule="auto"/>
      </w:pPr>
      <w:hyperlink r:id="rId12">
        <w:r>
          <w:rPr>
            <w:rFonts w:eastAsia="source sans 3" w:cs="source sans 3" w:ascii="source sans 3" w:hAnsi="source sans 3"/>
            <w:color w:val="#000"/>
            <w:sz w:val="18"/>
            <w:u w:val="single"/>
          </w:rPr>
          <w:t xml:space="preserve">https://www.perplexity.ai/search/dbc48740-73e6-4974-ad87-d6b6afd12ce1</w:t>
        </w:r>
      </w:hyperlink>
      <w:r>
        <w:rPr>
          <w:rFonts w:eastAsia="source serif 4" w:cs="source serif 4" w:ascii="source serif 4" w:hAnsi="source serif 4"/>
          <w:color w:val="000000"/>
          <w:sz w:val="18"/>
        </w:rPr>
        <w:t xml:space="preserve"> </w:t>
      </w:r>
    </w:p>
    <w:bookmarkStart w:id="86" w:name="fn8"/>
    <w:bookmarkEnd w:id="86"/>
    <w:p>
      <w:pPr>
        <w:numPr>
          <w:ilvl w:val="0"/>
          <w:numId w:val="12"/>
        </w:numPr>
        <w:spacing w:line="360" w:after="210" w:lineRule="auto"/>
      </w:pPr>
      <w:hyperlink r:id="rId13">
        <w:r>
          <w:rPr>
            <w:rFonts w:eastAsia="source sans 3" w:cs="source sans 3" w:ascii="source sans 3" w:hAnsi="source sans 3"/>
            <w:color w:val="#000"/>
            <w:sz w:val="18"/>
            <w:u w:val="single"/>
          </w:rPr>
          <w:t xml:space="preserve">https://iotdigitaltwinplm.com/aiops-incident-response-architecture-agentic-sre-2026/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7" w:name="fn9"/>
    <w:bookmarkEnd w:id="87"/>
    <w:p>
      <w:pPr>
        <w:numPr>
          <w:ilvl w:val="0"/>
          <w:numId w:val="12"/>
        </w:numPr>
        <w:spacing w:line="360" w:after="210" w:lineRule="auto"/>
      </w:pPr>
      <w:hyperlink r:id="rId14">
        <w:r>
          <w:rPr>
            <w:rFonts w:eastAsia="source sans 3" w:cs="source sans 3" w:ascii="source sans 3" w:hAnsi="source sans 3"/>
            <w:color w:val="#000"/>
            <w:sz w:val="18"/>
            <w:u w:val="single"/>
          </w:rPr>
          <w:t xml:space="preserve">https://www.augmentcode.com/guides/ai-incident-management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8" w:name="fn10"/>
    <w:bookmarkEnd w:id="88"/>
    <w:p>
      <w:pPr>
        <w:numPr>
          <w:ilvl w:val="0"/>
          <w:numId w:val="12"/>
        </w:numPr>
        <w:spacing w:line="360" w:after="210" w:lineRule="auto"/>
      </w:pPr>
      <w:hyperlink r:id="rId15">
        <w:r>
          <w:rPr>
            <w:rFonts w:eastAsia="source sans 3" w:cs="source sans 3" w:ascii="source sans 3" w:hAnsi="source sans 3"/>
            <w:color w:val="#000"/>
            <w:sz w:val="18"/>
            <w:u w:val="single"/>
          </w:rPr>
          <w:t xml:space="preserve">https://www.cygnet.one/feeds/blog/agentic-ai-tools-enterprise-operations</w:t>
        </w:r>
      </w:hyperlink>
      <w:r>
        <w:rPr>
          <w:rFonts w:eastAsia="source serif 4" w:cs="source serif 4" w:ascii="source serif 4" w:hAnsi="source serif 4"/>
          <w:color w:val="000000"/>
          <w:sz w:val="18"/>
        </w:rPr>
        <w:t xml:space="preserve"> </w:t>
      </w:r>
    </w:p>
    <w:bookmarkStart w:id="89" w:name="fn11"/>
    <w:bookmarkEnd w:id="89"/>
    <w:p>
      <w:pPr>
        <w:numPr>
          <w:ilvl w:val="0"/>
          <w:numId w:val="12"/>
        </w:numPr>
        <w:spacing w:line="360" w:after="210" w:lineRule="auto"/>
      </w:pPr>
      <w:hyperlink r:id="rId16">
        <w:r>
          <w:rPr>
            <w:rFonts w:eastAsia="source sans 3" w:cs="source sans 3" w:ascii="source sans 3" w:hAnsi="source sans 3"/>
            <w:color w:val="#000"/>
            <w:sz w:val="18"/>
            <w:u w:val="single"/>
          </w:rPr>
          <w:t xml:space="preserve">https://www.youtube.com/watch?v=sK8JKrWkaqQ</w:t>
        </w:r>
      </w:hyperlink>
      <w:r>
        <w:rPr>
          <w:rFonts w:eastAsia="source serif 4" w:cs="source serif 4" w:ascii="source serif 4" w:hAnsi="source serif 4"/>
          <w:color w:val="000000"/>
          <w:sz w:val="18"/>
        </w:rPr>
        <w:t xml:space="preserve"> </w:t>
      </w:r>
    </w:p>
    <w:bookmarkStart w:id="90" w:name="fn12"/>
    <w:bookmarkEnd w:id="90"/>
    <w:p>
      <w:pPr>
        <w:numPr>
          <w:ilvl w:val="0"/>
          <w:numId w:val="12"/>
        </w:numPr>
        <w:spacing w:line="360" w:after="210" w:lineRule="auto"/>
      </w:pPr>
      <w:hyperlink r:id="rId17">
        <w:r>
          <w:rPr>
            <w:rFonts w:eastAsia="source sans 3" w:cs="source sans 3" w:ascii="source sans 3" w:hAnsi="source sans 3"/>
            <w:color w:val="#000"/>
            <w:sz w:val="18"/>
            <w:u w:val="single"/>
          </w:rPr>
          <w:t xml:space="preserve">https://www.ibm.com/new/product-blog/revolutionizing-incident-management-with-agentic-ai</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1" w:name="fn13"/>
    <w:bookmarkEnd w:id="91"/>
    <w:p>
      <w:pPr>
        <w:numPr>
          <w:ilvl w:val="0"/>
          <w:numId w:val="12"/>
        </w:numPr>
        <w:spacing w:line="360" w:after="210" w:lineRule="auto"/>
      </w:pPr>
      <w:hyperlink r:id="rId18">
        <w:r>
          <w:rPr>
            <w:rFonts w:eastAsia="source sans 3" w:cs="source sans 3" w:ascii="source sans 3" w:hAnsi="source sans 3"/>
            <w:color w:val="#000"/>
            <w:sz w:val="18"/>
            <w:u w:val="single"/>
          </w:rPr>
          <w:t xml:space="preserve">https://dzone.com/articles/agentic-ai-sre-copilot-incident-response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2" w:name="fn14"/>
    <w:bookmarkEnd w:id="92"/>
    <w:p>
      <w:pPr>
        <w:numPr>
          <w:ilvl w:val="0"/>
          <w:numId w:val="12"/>
        </w:numPr>
        <w:spacing w:line="360" w:after="210" w:lineRule="auto"/>
      </w:pPr>
      <w:hyperlink r:id="rId19">
        <w:r>
          <w:rPr>
            <w:rFonts w:eastAsia="source sans 3" w:cs="source sans 3" w:ascii="source sans 3" w:hAnsi="source sans 3"/>
            <w:color w:val="#000"/>
            <w:sz w:val="18"/>
            <w:u w:val="single"/>
          </w:rPr>
          <w:t xml:space="preserve">https://www.microsoft.com/en-us/research/wp-content/uploads/2024/10/arxiv_AIOpsLab.pdf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3" w:name="fn15"/>
    <w:bookmarkEnd w:id="93"/>
    <w:p>
      <w:pPr>
        <w:numPr>
          <w:ilvl w:val="0"/>
          <w:numId w:val="12"/>
        </w:numPr>
        <w:spacing w:line="360" w:after="210" w:lineRule="auto"/>
      </w:pPr>
      <w:hyperlink r:id="rId20">
        <w:r>
          <w:rPr>
            <w:rFonts w:eastAsia="source sans 3" w:cs="source sans 3" w:ascii="source sans 3" w:hAnsi="source sans 3"/>
            <w:color w:val="#000"/>
            <w:sz w:val="18"/>
            <w:u w:val="single"/>
          </w:rPr>
          <w:t xml:space="preserve">https://www.cisco.com/c/en/us/products/collateral/cloud-systems-management/crosswork-network-automation/c11-5510101-00-optimizing-noc-operations-through-an-agentic-approach-wp-v1a.html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4" w:name="fn16"/>
    <w:bookmarkEnd w:id="94"/>
    <w:p>
      <w:pPr>
        <w:numPr>
          <w:ilvl w:val="0"/>
          <w:numId w:val="12"/>
        </w:numPr>
        <w:spacing w:line="360" w:after="210" w:lineRule="auto"/>
      </w:pPr>
      <w:hyperlink r:id="rId21">
        <w:r>
          <w:rPr>
            <w:rFonts w:eastAsia="source sans 3" w:cs="source sans 3" w:ascii="source sans 3" w:hAnsi="source sans 3"/>
            <w:color w:val="#000"/>
            <w:sz w:val="18"/>
            <w:u w:val="single"/>
          </w:rPr>
          <w:t xml:space="preserve">https://datatracker.ietf.org/doc/html/draft-chuyi-nmrg-ai-agent-network-02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5" w:name="fn17"/>
    <w:bookmarkEnd w:id="95"/>
    <w:p>
      <w:pPr>
        <w:numPr>
          <w:ilvl w:val="0"/>
          <w:numId w:val="12"/>
        </w:numPr>
        <w:spacing w:line="360" w:after="210" w:lineRule="auto"/>
      </w:pPr>
      <w:hyperlink r:id="rId22">
        <w:r>
          <w:rPr>
            <w:rFonts w:eastAsia="source sans 3" w:cs="source sans 3" w:ascii="source sans 3" w:hAnsi="source sans 3"/>
            <w:color w:val="#000"/>
            <w:sz w:val="18"/>
            <w:u w:val="single"/>
          </w:rPr>
          <w:t xml:space="preserve">https://blogs.cisco.com/networking/agentic-workflows-transforming-network-operations-with-ai-powered-automation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6" w:name="fn18"/>
    <w:bookmarkEnd w:id="96"/>
    <w:p>
      <w:pPr>
        <w:numPr>
          <w:ilvl w:val="0"/>
          <w:numId w:val="12"/>
        </w:numPr>
        <w:spacing w:line="360" w:after="210" w:lineRule="auto"/>
      </w:pPr>
      <w:hyperlink r:id="rId23">
        <w:r>
          <w:rPr>
            <w:rFonts w:eastAsia="source sans 3" w:cs="source sans 3" w:ascii="source sans 3" w:hAnsi="source sans 3"/>
            <w:color w:val="#000"/>
            <w:sz w:val="18"/>
            <w:u w:val="single"/>
          </w:rPr>
          <w:t xml:space="preserve">https://thwack.solarwinds.com/discussion/151496/meet-the-ai-agent-in-solarwinds-observability-self-hosted-2026-1-preview</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7" w:name="fn19"/>
    <w:bookmarkEnd w:id="97"/>
    <w:p>
      <w:pPr>
        <w:numPr>
          <w:ilvl w:val="0"/>
          <w:numId w:val="12"/>
        </w:numPr>
        <w:spacing w:line="360" w:after="210" w:lineRule="auto"/>
      </w:pPr>
      <w:hyperlink r:id="rId24">
        <w:r>
          <w:rPr>
            <w:rFonts w:eastAsia="source sans 3" w:cs="source sans 3" w:ascii="source sans 3" w:hAnsi="source sans 3"/>
            <w:color w:val="#000"/>
            <w:sz w:val="18"/>
            <w:u w:val="single"/>
          </w:rPr>
          <w:t xml:space="preserve">https://www.perplexity.ai/search/ee288541-56d9-4f98-843e-1214b22aecf3</w:t>
        </w:r>
      </w:hyperlink>
      <w:r>
        <w:rPr>
          <w:rFonts w:eastAsia="source serif 4" w:cs="source serif 4" w:ascii="source serif 4" w:hAnsi="source serif 4"/>
          <w:color w:val="000000"/>
          <w:sz w:val="18"/>
        </w:rPr>
        <w:t xml:space="preserve"> </w:t>
      </w:r>
    </w:p>
    <w:bookmarkStart w:id="98" w:name="fn20"/>
    <w:bookmarkEnd w:id="98"/>
    <w:p>
      <w:pPr>
        <w:numPr>
          <w:ilvl w:val="0"/>
          <w:numId w:val="12"/>
        </w:numPr>
        <w:spacing w:line="360" w:after="210" w:lineRule="auto"/>
      </w:pPr>
      <w:hyperlink r:id="rId25">
        <w:r>
          <w:rPr>
            <w:rFonts w:eastAsia="source sans 3" w:cs="source sans 3" w:ascii="source sans 3" w:hAnsi="source sans 3"/>
            <w:color w:val="#000"/>
            <w:sz w:val="18"/>
            <w:u w:val="single"/>
          </w:rPr>
          <w:t xml:space="preserve">https://www.linkedin.com/pulse/automating-operations-agentic-ai-practical-framework-aiops-nigam-dhasc</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99" w:name="fn21"/>
    <w:bookmarkEnd w:id="99"/>
    <w:p>
      <w:pPr>
        <w:numPr>
          <w:ilvl w:val="0"/>
          <w:numId w:val="12"/>
        </w:numPr>
        <w:spacing w:line="360" w:after="210" w:lineRule="auto"/>
      </w:pPr>
      <w:hyperlink r:id="rId26">
        <w:r>
          <w:rPr>
            <w:rFonts w:eastAsia="source sans 3" w:cs="source sans 3" w:ascii="source sans 3" w:hAnsi="source sans 3"/>
            <w:color w:val="#000"/>
            <w:sz w:val="18"/>
            <w:u w:val="single"/>
          </w:rPr>
          <w:t xml:space="preserve">https://github.com/aws-samples/sample-agentic-aiops-with-bedrock-agentcore</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6f02facedfc72ed9cbb8330425d1b7c3096e299.png" TargetMode="Internal"/><Relationship Id="rId6" Type="http://schemas.openxmlformats.org/officeDocument/2006/relationships/hyperlink" Target="https://www.bigpanda.io/blog/use-cases-agentic-ai-itsm/" TargetMode="External"/><Relationship Id="rId7" Type="http://schemas.openxmlformats.org/officeDocument/2006/relationships/hyperlink" Target="https://www.cutover.com/blog/key-steps-automate-incident-management-workflow-ai-agents" TargetMode="External"/><Relationship Id="rId8" Type="http://schemas.openxmlformats.org/officeDocument/2006/relationships/hyperlink" Target="https://www.logicmonitor.com/blog/incident-response-with-agentic-aiops" TargetMode="External"/><Relationship Id="rId9" Type="http://schemas.openxmlformats.org/officeDocument/2006/relationships/hyperlink" Target="https://www.ilert.com/agentic-incident-management-guide" TargetMode="External"/><Relationship Id="rId10" Type="http://schemas.openxmlformats.org/officeDocument/2006/relationships/hyperlink" Target="https://www.servicenow.com/docs/r/yokohama/it-service-management/now-assist-for-it-service-management-itsm/using-agentic-ai-workflow-im.html" TargetMode="External"/><Relationship Id="rId11" Type="http://schemas.openxmlformats.org/officeDocument/2006/relationships/hyperlink" Target="https://www.youtube.com/watch?v=kBKVVgxtnRk" TargetMode="External"/><Relationship Id="rId12" Type="http://schemas.openxmlformats.org/officeDocument/2006/relationships/hyperlink" Target="https://www.perplexity.ai/search/dbc48740-73e6-4974-ad87-d6b6afd12ce1" TargetMode="External"/><Relationship Id="rId13" Type="http://schemas.openxmlformats.org/officeDocument/2006/relationships/hyperlink" Target="https://iotdigitaltwinplm.com/aiops-incident-response-architecture-agentic-sre-2026/" TargetMode="External"/><Relationship Id="rId14" Type="http://schemas.openxmlformats.org/officeDocument/2006/relationships/hyperlink" Target="https://www.augmentcode.com/guides/ai-incident-management" TargetMode="External"/><Relationship Id="rId15" Type="http://schemas.openxmlformats.org/officeDocument/2006/relationships/hyperlink" Target="https://www.cygnet.one/feeds/blog/agentic-ai-tools-enterprise-operations" TargetMode="External"/><Relationship Id="rId16" Type="http://schemas.openxmlformats.org/officeDocument/2006/relationships/hyperlink" Target="https://www.youtube.com/watch?v=sK8JKrWkaqQ" TargetMode="External"/><Relationship Id="rId17" Type="http://schemas.openxmlformats.org/officeDocument/2006/relationships/hyperlink" Target="https://www.ibm.com/new/product-blog/revolutionizing-incident-management-with-agentic-ai" TargetMode="External"/><Relationship Id="rId18" Type="http://schemas.openxmlformats.org/officeDocument/2006/relationships/hyperlink" Target="https://dzone.com/articles/agentic-ai-sre-copilot-incident-response" TargetMode="External"/><Relationship Id="rId19" Type="http://schemas.openxmlformats.org/officeDocument/2006/relationships/hyperlink" Target="https://www.microsoft.com/en-us/research/wp-content/uploads/2024/10/arxiv_AIOpsLab.pdf" TargetMode="External"/><Relationship Id="rId20" Type="http://schemas.openxmlformats.org/officeDocument/2006/relationships/hyperlink" Target="https://www.cisco.com/c/en/us/products/collateral/cloud-systems-management/crosswork-network-automation/c11-5510101-00-optimizing-noc-operations-through-an-agentic-approach-wp-v1a.html" TargetMode="External"/><Relationship Id="rId21" Type="http://schemas.openxmlformats.org/officeDocument/2006/relationships/hyperlink" Target="https://datatracker.ietf.org/doc/html/draft-chuyi-nmrg-ai-agent-network-02" TargetMode="External"/><Relationship Id="rId22" Type="http://schemas.openxmlformats.org/officeDocument/2006/relationships/hyperlink" Target="https://blogs.cisco.com/networking/agentic-workflows-transforming-network-operations-with-ai-powered-automation" TargetMode="External"/><Relationship Id="rId23" Type="http://schemas.openxmlformats.org/officeDocument/2006/relationships/hyperlink" Target="https://thwack.solarwinds.com/discussion/151496/meet-the-ai-agent-in-solarwinds-observability-self-hosted-2026-1-preview" TargetMode="External"/><Relationship Id="rId24" Type="http://schemas.openxmlformats.org/officeDocument/2006/relationships/hyperlink" Target="https://www.perplexity.ai/search/ee288541-56d9-4f98-843e-1214b22aecf3" TargetMode="External"/><Relationship Id="rId25" Type="http://schemas.openxmlformats.org/officeDocument/2006/relationships/hyperlink" Target="https://www.linkedin.com/pulse/automating-operations-agentic-ai-practical-framework-aiops-nigam-dhasc" TargetMode="External"/><Relationship Id="rId26" Type="http://schemas.openxmlformats.org/officeDocument/2006/relationships/hyperlink" Target="https://github.com/aws-samples/sample-agentic-aiops-with-bedrock-agentcor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2026-07-24T11:58:18.659Z</dcterms:created>
  <dcterms:modified xsi:type="dcterms:W3CDTF">2026-07-24T11:58:18.659Z</dcterms:modified>
</cp:coreProperties>
</file>