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rFonts w:ascii="Calibri" w:cs="Calibri" w:eastAsia="Calibri" w:hAnsi="Calibri"/>
          <w:b/>
          <w:bCs/>
          <w:color w:val="1F3864"/>
          <w:sz w:val="52"/>
          <w:szCs w:val="52"/>
        </w:rPr>
        <w:t xml:space="preserve">AI-Driven Vulnerability &amp; Patch Management</w:t>
      </w:r>
    </w:p>
    <w:p>
      <w:pPr>
        <w:spacing w:after="200"/>
        <w:jc w:val="center"/>
      </w:pPr>
      <w:r>
        <w:rPr>
          <w:rFonts w:ascii="Calibri" w:cs="Calibri" w:eastAsia="Calibri" w:hAnsi="Calibri"/>
          <w:color w:val="2E74B5"/>
          <w:sz w:val="26"/>
          <w:szCs w:val="26"/>
        </w:rPr>
        <w:t xml:space="preserve">Part 1: End-to-End Solution Proposal   |   Part 2: Off-the-Shelf Market Solutions</w:t>
      </w:r>
    </w:p>
    <w:p>
      <w:pPr>
        <w:spacing w:after="3000"/>
        <w:jc w:val="center"/>
      </w:pPr>
      <w:r>
        <w:rPr>
          <w:rFonts w:ascii="Calibri" w:cs="Calibri" w:eastAsia="Calibri" w:hAnsi="Calibri"/>
          <w:i/>
          <w:iCs/>
          <w:color w:val="666666"/>
          <w:sz w:val="20"/>
          <w:szCs w:val="20"/>
        </w:rPr>
        <w:t xml:space="preserve">Extending the existing ServiceNow patch orchestration architecture with an AI decision layer</w:t>
      </w:r>
    </w:p>
    <w:p>
      <w:pPr>
        <w:jc w:val="center"/>
      </w:pPr>
      <w:r>
        <w:rPr>
          <w:rFonts w:ascii="Calibri" w:cs="Calibri" w:eastAsia="Calibri" w:hAnsi="Calibri"/>
          <w:i/>
          <w:iCs/>
          <w:color w:val="666666"/>
          <w:sz w:val="20"/>
          <w:szCs w:val="20"/>
        </w:rPr>
        <w:t xml:space="preserve">Prepared as a Principal Infrastructure &amp; Cloud Architecture Design</w:t>
      </w:r>
    </w:p>
    <w:p>
      <w:r>
        <w:br w:type="page"/>
      </w:r>
    </w:p>
    <w:p>
      <w:pPr>
        <w:spacing w:after="200"/>
        <w:jc w:val="center"/>
      </w:pPr>
      <w:r>
        <w:rPr>
          <w:rFonts w:ascii="Calibri" w:cs="Calibri" w:eastAsia="Calibri" w:hAnsi="Calibri"/>
          <w:b/>
          <w:bCs/>
          <w:color w:val="1F3864"/>
          <w:sz w:val="32"/>
          <w:szCs w:val="32"/>
        </w:rPr>
        <w:t xml:space="preserve">PART 1</w:t>
      </w:r>
    </w:p>
    <w:p>
      <w:pPr>
        <w:spacing w:after="400"/>
        <w:jc w:val="center"/>
      </w:pPr>
      <w:r>
        <w:rPr>
          <w:rFonts w:ascii="Calibri" w:cs="Calibri" w:eastAsia="Calibri" w:hAnsi="Calibri"/>
          <w:b/>
          <w:bCs/>
          <w:color w:val="2E74B5"/>
          <w:sz w:val="26"/>
          <w:szCs w:val="26"/>
        </w:rPr>
        <w:t xml:space="preserve">End-to-End AI-Driven Vulnerability and Patch Management Solution</w:t>
      </w:r>
    </w:p>
    <w:p>
      <w:pPr>
        <w:pStyle w:val="Heading1"/>
        <w:spacing w:after="160" w:before="360"/>
      </w:pPr>
      <w:r>
        <w:t xml:space="preserve">1. The Core Problem AI Actually Solves</w:t>
      </w:r>
    </w:p>
    <w:p>
      <w:pPr>
        <w:spacing w:after="160" w:line="276"/>
      </w:pPr>
      <w:r>
        <w:rPr>
          <w:rFonts w:ascii="Calibri" w:cs="Calibri" w:eastAsia="Calibri" w:hAnsi="Calibri"/>
          <w:sz w:val="22"/>
          <w:szCs w:val="22"/>
        </w:rPr>
        <w:t xml:space="preserve">Most vulnerability management programs fail not because scanning or patching tools are weak, but because of three human bottlenecks AI is well-suited to remove:</w:t>
      </w:r>
    </w:p>
    <w:p>
      <w:pPr>
        <w:pStyle w:val="ListParagraph"/>
        <w:numPr>
          <w:ilvl w:val="0"/>
          <w:numId w:val="2"/>
        </w:numPr>
        <w:spacing w:after="80"/>
      </w:pPr>
      <w:r>
        <w:rPr>
          <w:rFonts w:ascii="Calibri" w:cs="Calibri" w:eastAsia="Calibri" w:hAnsi="Calibri"/>
          <w:sz w:val="22"/>
          <w:szCs w:val="22"/>
        </w:rPr>
        <w:t xml:space="preserve">Prioritization is manual and CVSS-only — teams triage thousands of CVEs by severity score alone, missing which ones are actually being exploited in the wild or relevant to their specific asset context.</w:t>
      </w:r>
    </w:p>
    <w:p>
      <w:pPr>
        <w:pStyle w:val="ListParagraph"/>
        <w:numPr>
          <w:ilvl w:val="0"/>
          <w:numId w:val="2"/>
        </w:numPr>
        <w:spacing w:after="80"/>
      </w:pPr>
      <w:r>
        <w:rPr>
          <w:rFonts w:ascii="Calibri" w:cs="Calibri" w:eastAsia="Calibri" w:hAnsi="Calibri"/>
          <w:sz w:val="22"/>
          <w:szCs w:val="22"/>
        </w:rPr>
        <w:t xml:space="preserve">CVE-to-patch mapping is manual — someone has to read an advisory and figure out which package/KB/version fixes it, for every OS and application in the estate.</w:t>
      </w:r>
    </w:p>
    <w:p>
      <w:pPr>
        <w:pStyle w:val="ListParagraph"/>
        <w:numPr>
          <w:ilvl w:val="0"/>
          <w:numId w:val="2"/>
        </w:numPr>
        <w:spacing w:after="80"/>
      </w:pPr>
      <w:r>
        <w:rPr>
          <w:rFonts w:ascii="Calibri" w:cs="Calibri" w:eastAsia="Calibri" w:hAnsi="Calibri"/>
          <w:sz w:val="22"/>
          <w:szCs w:val="22"/>
        </w:rPr>
        <w:t xml:space="preserve">Reporting and change documentation consume enormous analyst time — writing risk assessments, change descriptions, and executive summaries for every cycle.</w:t>
      </w:r>
    </w:p>
    <w:p>
      <w:pPr>
        <w:pStyle w:val="Heading1"/>
        <w:spacing w:after="160" w:before="360"/>
      </w:pPr>
      <w:r>
        <w:t xml:space="preserve">2. Proposed End-to-End Architecture</w:t>
      </w:r>
    </w:p>
    <w:p>
      <w:pPr>
        <w:spacing w:after="160" w:line="276"/>
      </w:pPr>
      <w:r>
        <w:rPr>
          <w:rFonts w:ascii="Calibri" w:cs="Calibri" w:eastAsia="Calibri" w:hAnsi="Calibri"/>
          <w:sz w:val="22"/>
          <w:szCs w:val="22"/>
        </w:rPr>
        <w:t xml:space="preserve">The architecture adds an AI decision layer in front of the existing patch orchestration design (inventory → ServiceNow change → download → package → deploy → confirm → report), plus a feedback loop that lets the risk model improve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1. CONTINUOUS DISCOVERY</w:t>
            </w:r>
          </w:p>
          <w:p>
            <w:pPr>
              <w:spacing w:after="40"/>
            </w:pPr>
            <w:r>
              <w:rPr>
                <w:rFonts w:ascii="Consolas" w:cs="Consolas" w:eastAsia="Consolas" w:hAnsi="Consolas"/>
                <w:color w:val="2B3A55"/>
                <w:sz w:val="19"/>
                <w:szCs w:val="19"/>
              </w:rPr>
              <w:t xml:space="preserve">   Vuln Scanner (Tenable/Qualys/Rapid7/Defender VM) -&gt; ServiceNow CMDB</w:t>
            </w:r>
          </w:p>
          <w:p>
            <w:pPr>
              <w:spacing w:after="40"/>
            </w:pPr>
            <w:r>
              <w:rPr>
                <w:rFonts w:ascii="Consolas" w:cs="Consolas" w:eastAsia="Consolas" w:hAnsi="Consolas"/>
                <w:color w:val="2B3A55"/>
                <w:sz w:val="19"/>
                <w:szCs w:val="19"/>
              </w:rPr>
              <w:t xml:space="preserve"/>
            </w:r>
          </w:p>
          <w:p>
            <w:pPr>
              <w:spacing w:after="40"/>
            </w:pPr>
            <w:r>
              <w:rPr>
                <w:rFonts w:ascii="Consolas" w:cs="Consolas" w:eastAsia="Consolas" w:hAnsi="Consolas"/>
                <w:color w:val="2B3A55"/>
                <w:sz w:val="19"/>
                <w:szCs w:val="19"/>
              </w:rPr>
              <w:t xml:space="preserve">2. AI RISK PRIORITIZATION</w:t>
            </w:r>
          </w:p>
          <w:p>
            <w:pPr>
              <w:spacing w:after="40"/>
            </w:pPr>
            <w:r>
              <w:rPr>
                <w:rFonts w:ascii="Consolas" w:cs="Consolas" w:eastAsia="Consolas" w:hAnsi="Consolas"/>
                <w:color w:val="2B3A55"/>
                <w:sz w:val="19"/>
                <w:szCs w:val="19"/>
              </w:rPr>
              <w:t xml:space="preserve">   CVSS + EPSS + Exploit Intel + Business Context (Tier/DMZ/Internet-facing)</w:t>
            </w:r>
          </w:p>
          <w:p>
            <w:pPr>
              <w:spacing w:after="40"/>
            </w:pPr>
            <w:r>
              <w:rPr>
                <w:rFonts w:ascii="Consolas" w:cs="Consolas" w:eastAsia="Consolas" w:hAnsi="Consolas"/>
                <w:color w:val="2B3A55"/>
                <w:sz w:val="19"/>
                <w:szCs w:val="19"/>
              </w:rPr>
              <w:t xml:space="preserve">   -&gt; ML Risk Scoring Model -&gt; Ranked Remediation Backlog</w:t>
            </w:r>
          </w:p>
          <w:p>
            <w:pPr>
              <w:spacing w:after="40"/>
            </w:pPr>
            <w:r>
              <w:rPr>
                <w:rFonts w:ascii="Consolas" w:cs="Consolas" w:eastAsia="Consolas" w:hAnsi="Consolas"/>
                <w:color w:val="2B3A55"/>
                <w:sz w:val="19"/>
                <w:szCs w:val="19"/>
              </w:rPr>
              <w:t xml:space="preserve"/>
            </w:r>
          </w:p>
          <w:p>
            <w:pPr>
              <w:spacing w:after="40"/>
            </w:pPr>
            <w:r>
              <w:rPr>
                <w:rFonts w:ascii="Consolas" w:cs="Consolas" w:eastAsia="Consolas" w:hAnsi="Consolas"/>
                <w:color w:val="2B3A55"/>
                <w:sz w:val="19"/>
                <w:szCs w:val="19"/>
              </w:rPr>
              <w:t xml:space="preserve">3. AI-ASSISTED REMEDIATION PLANNING</w:t>
            </w:r>
          </w:p>
          <w:p>
            <w:pPr>
              <w:spacing w:after="40"/>
            </w:pPr>
            <w:r>
              <w:rPr>
                <w:rFonts w:ascii="Consolas" w:cs="Consolas" w:eastAsia="Consolas" w:hAnsi="Consolas"/>
                <w:color w:val="2B3A55"/>
                <w:sz w:val="19"/>
                <w:szCs w:val="19"/>
              </w:rPr>
              <w:t xml:space="preserve">   NLP: CVE-to-Patch Mapping -&gt; GenAI: Change Draft + Risk Statement</w:t>
            </w:r>
          </w:p>
          <w:p>
            <w:pPr>
              <w:spacing w:after="40"/>
            </w:pPr>
            <w:r>
              <w:rPr>
                <w:rFonts w:ascii="Consolas" w:cs="Consolas" w:eastAsia="Consolas" w:hAnsi="Consolas"/>
                <w:color w:val="2B3A55"/>
                <w:sz w:val="19"/>
                <w:szCs w:val="19"/>
              </w:rPr>
              <w:t xml:space="preserve"/>
            </w:r>
          </w:p>
          <w:p>
            <w:pPr>
              <w:spacing w:after="40"/>
            </w:pPr>
            <w:r>
              <w:rPr>
                <w:rFonts w:ascii="Consolas" w:cs="Consolas" w:eastAsia="Consolas" w:hAnsi="Consolas"/>
                <w:color w:val="2B3A55"/>
                <w:sz w:val="19"/>
                <w:szCs w:val="19"/>
              </w:rPr>
              <w:t xml:space="preserve">4. PATCH ORCHESTRATION (existing design)</w:t>
            </w:r>
          </w:p>
          <w:p>
            <w:pPr>
              <w:spacing w:after="40"/>
            </w:pPr>
            <w:r>
              <w:rPr>
                <w:rFonts w:ascii="Consolas" w:cs="Consolas" w:eastAsia="Consolas" w:hAnsi="Consolas"/>
                <w:color w:val="2B3A55"/>
                <w:sz w:val="19"/>
                <w:szCs w:val="19"/>
              </w:rPr>
              <w:t xml:space="preserve">   ServiceNow Change -&gt; Ansible/SCCM/Satellite -&gt; Deploy + Validate</w:t>
            </w:r>
          </w:p>
          <w:p>
            <w:pPr>
              <w:spacing w:after="40"/>
            </w:pPr>
            <w:r>
              <w:rPr>
                <w:rFonts w:ascii="Consolas" w:cs="Consolas" w:eastAsia="Consolas" w:hAnsi="Consolas"/>
                <w:color w:val="2B3A55"/>
                <w:sz w:val="19"/>
                <w:szCs w:val="19"/>
              </w:rPr>
              <w:t xml:space="preserve"/>
            </w:r>
          </w:p>
          <w:p>
            <w:pPr>
              <w:spacing w:after="40"/>
            </w:pPr>
            <w:r>
              <w:rPr>
                <w:rFonts w:ascii="Consolas" w:cs="Consolas" w:eastAsia="Consolas" w:hAnsi="Consolas"/>
                <w:color w:val="2B3A55"/>
                <w:sz w:val="19"/>
                <w:szCs w:val="19"/>
              </w:rPr>
              <w:t xml:space="preserve">5. AI VALIDATION &amp; REPORTING</w:t>
            </w:r>
          </w:p>
          <w:p>
            <w:pPr>
              <w:spacing w:after="40"/>
            </w:pPr>
            <w:r>
              <w:rPr>
                <w:rFonts w:ascii="Consolas" w:cs="Consolas" w:eastAsia="Consolas" w:hAnsi="Consolas"/>
                <w:color w:val="2B3A55"/>
                <w:sz w:val="19"/>
                <w:szCs w:val="19"/>
              </w:rPr>
              <w:t xml:space="preserve">   AIOps Anomaly Detection -&gt; GenAI Executive Report -&gt; ServiceNow (closure)</w:t>
            </w:r>
          </w:p>
          <w:p>
            <w:pPr>
              <w:spacing w:after="40"/>
            </w:pPr>
            <w:r>
              <w:rPr>
                <w:rFonts w:ascii="Consolas" w:cs="Consolas" w:eastAsia="Consolas" w:hAnsi="Consolas"/>
                <w:color w:val="2B3A55"/>
                <w:sz w:val="19"/>
                <w:szCs w:val="19"/>
              </w:rPr>
              <w:t xml:space="preserve"/>
            </w:r>
          </w:p>
          <w:p>
            <w:pPr>
              <w:spacing w:after="40"/>
            </w:pPr>
            <w:r>
              <w:rPr>
                <w:rFonts w:ascii="Consolas" w:cs="Consolas" w:eastAsia="Consolas" w:hAnsi="Consolas"/>
                <w:color w:val="2B3A55"/>
                <w:sz w:val="19"/>
                <w:szCs w:val="19"/>
              </w:rPr>
              <w:t xml:space="preserve">   FEEDBACK LOOP: deployment outcome data flows back into the</w:t>
            </w:r>
          </w:p>
          <w:p>
            <w:pPr>
              <w:spacing w:after="40"/>
            </w:pPr>
            <w:r>
              <w:rPr>
                <w:rFonts w:ascii="Consolas" w:cs="Consolas" w:eastAsia="Consolas" w:hAnsi="Consolas"/>
                <w:color w:val="2B3A55"/>
                <w:sz w:val="19"/>
                <w:szCs w:val="19"/>
              </w:rPr>
              <w:t xml:space="preserve">   ML Risk Scoring Model, so prioritization improves every cycle.</w:t>
            </w:r>
          </w:p>
        </w:tc>
      </w:tr>
    </w:tbl>
    <w:p>
      <w:pPr>
        <w:spacing w:after="160" w:line="276"/>
      </w:pPr>
      <w:r>
        <w:rPr>
          <w:rFonts w:ascii="Calibri" w:cs="Calibri" w:eastAsia="Calibri" w:hAnsi="Calibri"/>
          <w:i/>
          <w:iCs/>
          <w:sz w:val="22"/>
          <w:szCs w:val="22"/>
        </w:rPr>
        <w:t xml:space="preserve">The feedback loop is the key design element — every deployment outcome (success, rollback, incident) feeds back into the risk-scoring model, so prioritization gets smarter over time instead of being static.</w:t>
      </w:r>
    </w:p>
    <w:p>
      <w:pPr>
        <w:pStyle w:val="Heading1"/>
        <w:spacing w:after="160" w:before="360"/>
      </w:pPr>
      <w:r>
        <w:t xml:space="preserve">3. AI Capability by Lifecycle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000"/>
        <w:gridCol w:w="2400"/>
        <w:gridCol w:w="2400"/>
      </w:tblGrid>
      <w:tr>
        <w:trPr>
          <w:tblHeader/>
        </w:trPr>
        <w:tc>
          <w:tcPr>
            <w:tcW w:type="dxa" w:w="1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Stage</w:t>
            </w:r>
          </w:p>
        </w:tc>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AI Capability</w:t>
            </w:r>
          </w:p>
        </w:tc>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Replaces</w:t>
            </w:r>
          </w:p>
        </w:tc>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Tooling Options</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Discovery</w:t>
            </w:r>
          </w:p>
        </w:tc>
        <w:tc>
          <w:tcPr>
            <w:tcW w:type="dxa" w:w="3000"/>
            <w:tcMar>
              <w:top w:type="dxa" w:w="100"/>
              <w:left w:type="dxa" w:w="120"/>
              <w:bottom w:type="dxa" w:w="100"/>
              <w:right w:type="dxa" w:w="120"/>
            </w:tcMar>
          </w:tcPr>
          <w:p>
            <w:r>
              <w:rPr>
                <w:rFonts w:ascii="Calibri" w:cs="Calibri" w:eastAsia="Calibri" w:hAnsi="Calibri"/>
                <w:sz w:val="20"/>
                <w:szCs w:val="20"/>
              </w:rPr>
              <w:t xml:space="preserve">Continuous asset/vuln correlation against CMDB, auto-flagging unmanaged assets</w:t>
            </w:r>
          </w:p>
        </w:tc>
        <w:tc>
          <w:tcPr>
            <w:tcW w:type="dxa" w:w="2400"/>
            <w:tcMar>
              <w:top w:type="dxa" w:w="100"/>
              <w:left w:type="dxa" w:w="120"/>
              <w:bottom w:type="dxa" w:w="100"/>
              <w:right w:type="dxa" w:w="120"/>
            </w:tcMar>
          </w:tcPr>
          <w:p>
            <w:r>
              <w:rPr>
                <w:rFonts w:ascii="Calibri" w:cs="Calibri" w:eastAsia="Calibri" w:hAnsi="Calibri"/>
                <w:sz w:val="20"/>
                <w:szCs w:val="20"/>
              </w:rPr>
              <w:t xml:space="preserve">Manual reconciliation spreadsheets</w:t>
            </w:r>
          </w:p>
        </w:tc>
        <w:tc>
          <w:tcPr>
            <w:tcW w:type="dxa" w:w="2400"/>
            <w:tcMar>
              <w:top w:type="dxa" w:w="100"/>
              <w:left w:type="dxa" w:w="120"/>
              <w:bottom w:type="dxa" w:w="100"/>
              <w:right w:type="dxa" w:w="120"/>
            </w:tcMar>
          </w:tcPr>
          <w:p>
            <w:r>
              <w:rPr>
                <w:rFonts w:ascii="Calibri" w:cs="Calibri" w:eastAsia="Calibri" w:hAnsi="Calibri"/>
                <w:sz w:val="20"/>
                <w:szCs w:val="20"/>
              </w:rPr>
              <w:t xml:space="preserve">Tenable.io/Qualys VMDR + ServiceNow Vulnerability Response</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Prioritization</w:t>
            </w:r>
          </w:p>
        </w:tc>
        <w:tc>
          <w:tcPr>
            <w:tcW w:type="dxa" w:w="3000"/>
            <w:tcMar>
              <w:top w:type="dxa" w:w="100"/>
              <w:left w:type="dxa" w:w="120"/>
              <w:bottom w:type="dxa" w:w="100"/>
              <w:right w:type="dxa" w:w="120"/>
            </w:tcMar>
          </w:tcPr>
          <w:p>
            <w:r>
              <w:rPr>
                <w:rFonts w:ascii="Calibri" w:cs="Calibri" w:eastAsia="Calibri" w:hAnsi="Calibri"/>
                <w:sz w:val="20"/>
                <w:szCs w:val="20"/>
              </w:rPr>
              <w:t xml:space="preserve">ML model combining CVSS + EPSS (exploit prediction) + CISA KEV list + asset business-tier/exposure</w:t>
            </w:r>
          </w:p>
        </w:tc>
        <w:tc>
          <w:tcPr>
            <w:tcW w:type="dxa" w:w="2400"/>
            <w:tcMar>
              <w:top w:type="dxa" w:w="100"/>
              <w:left w:type="dxa" w:w="120"/>
              <w:bottom w:type="dxa" w:w="100"/>
              <w:right w:type="dxa" w:w="120"/>
            </w:tcMar>
          </w:tcPr>
          <w:p>
            <w:r>
              <w:rPr>
                <w:rFonts w:ascii="Calibri" w:cs="Calibri" w:eastAsia="Calibri" w:hAnsi="Calibri"/>
                <w:sz w:val="20"/>
                <w:szCs w:val="20"/>
              </w:rPr>
              <w:t xml:space="preserve">Manual "patch everything critical first" triage</w:t>
            </w:r>
          </w:p>
        </w:tc>
        <w:tc>
          <w:tcPr>
            <w:tcW w:type="dxa" w:w="2400"/>
            <w:tcMar>
              <w:top w:type="dxa" w:w="100"/>
              <w:left w:type="dxa" w:w="120"/>
              <w:bottom w:type="dxa" w:w="100"/>
              <w:right w:type="dxa" w:w="120"/>
            </w:tcMar>
          </w:tcPr>
          <w:p>
            <w:r>
              <w:rPr>
                <w:rFonts w:ascii="Calibri" w:cs="Calibri" w:eastAsia="Calibri" w:hAnsi="Calibri"/>
                <w:sz w:val="20"/>
                <w:szCs w:val="20"/>
              </w:rPr>
              <w:t xml:space="preserve">ServiceNow Predictive Intelligence, Tenable VPR, custom model on historical incident data</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CVE-to-patch mapping</w:t>
            </w:r>
          </w:p>
        </w:tc>
        <w:tc>
          <w:tcPr>
            <w:tcW w:type="dxa" w:w="3000"/>
            <w:tcMar>
              <w:top w:type="dxa" w:w="100"/>
              <w:left w:type="dxa" w:w="120"/>
              <w:bottom w:type="dxa" w:w="100"/>
              <w:right w:type="dxa" w:w="120"/>
            </w:tcMar>
          </w:tcPr>
          <w:p>
            <w:r>
              <w:rPr>
                <w:rFonts w:ascii="Calibri" w:cs="Calibri" w:eastAsia="Calibri" w:hAnsi="Calibri"/>
                <w:sz w:val="20"/>
                <w:szCs w:val="20"/>
              </w:rPr>
              <w:t xml:space="preserve">NLP parses advisories and auto-matches the specific KB/package/version that remediates it, per OS</w:t>
            </w:r>
          </w:p>
        </w:tc>
        <w:tc>
          <w:tcPr>
            <w:tcW w:type="dxa" w:w="2400"/>
            <w:tcMar>
              <w:top w:type="dxa" w:w="100"/>
              <w:left w:type="dxa" w:w="120"/>
              <w:bottom w:type="dxa" w:w="100"/>
              <w:right w:type="dxa" w:w="120"/>
            </w:tcMar>
          </w:tcPr>
          <w:p>
            <w:r>
              <w:rPr>
                <w:rFonts w:ascii="Calibri" w:cs="Calibri" w:eastAsia="Calibri" w:hAnsi="Calibri"/>
                <w:sz w:val="20"/>
                <w:szCs w:val="20"/>
              </w:rPr>
              <w:t xml:space="preserve">Analyst manually researching each CVE</w:t>
            </w:r>
          </w:p>
        </w:tc>
        <w:tc>
          <w:tcPr>
            <w:tcW w:type="dxa" w:w="2400"/>
            <w:tcMar>
              <w:top w:type="dxa" w:w="100"/>
              <w:left w:type="dxa" w:w="120"/>
              <w:bottom w:type="dxa" w:w="100"/>
              <w:right w:type="dxa" w:w="120"/>
            </w:tcMar>
          </w:tcPr>
          <w:p>
            <w:r>
              <w:rPr>
                <w:rFonts w:ascii="Calibri" w:cs="Calibri" w:eastAsia="Calibri" w:hAnsi="Calibri"/>
                <w:sz w:val="20"/>
                <w:szCs w:val="20"/>
              </w:rPr>
              <w:t xml:space="preserve">Custom LLM pipeline (Claude/GPT API) over vendor advisory feeds</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Change drafting</w:t>
            </w:r>
          </w:p>
        </w:tc>
        <w:tc>
          <w:tcPr>
            <w:tcW w:type="dxa" w:w="3000"/>
            <w:tcMar>
              <w:top w:type="dxa" w:w="100"/>
              <w:left w:type="dxa" w:w="120"/>
              <w:bottom w:type="dxa" w:w="100"/>
              <w:right w:type="dxa" w:w="120"/>
            </w:tcMar>
          </w:tcPr>
          <w:p>
            <w:r>
              <w:rPr>
                <w:rFonts w:ascii="Calibri" w:cs="Calibri" w:eastAsia="Calibri" w:hAnsi="Calibri"/>
                <w:sz w:val="20"/>
                <w:szCs w:val="20"/>
              </w:rPr>
              <w:t xml:space="preserve">GenAI auto-writes Change Request description, risk statement, rollback plan from structured data</w:t>
            </w:r>
          </w:p>
        </w:tc>
        <w:tc>
          <w:tcPr>
            <w:tcW w:type="dxa" w:w="2400"/>
            <w:tcMar>
              <w:top w:type="dxa" w:w="100"/>
              <w:left w:type="dxa" w:w="120"/>
              <w:bottom w:type="dxa" w:w="100"/>
              <w:right w:type="dxa" w:w="120"/>
            </w:tcMar>
          </w:tcPr>
          <w:p>
            <w:r>
              <w:rPr>
                <w:rFonts w:ascii="Calibri" w:cs="Calibri" w:eastAsia="Calibri" w:hAnsi="Calibri"/>
                <w:sz w:val="20"/>
                <w:szCs w:val="20"/>
              </w:rPr>
              <w:t xml:space="preserve">Analyst manually typing every Change</w:t>
            </w:r>
          </w:p>
        </w:tc>
        <w:tc>
          <w:tcPr>
            <w:tcW w:type="dxa" w:w="2400"/>
            <w:tcMar>
              <w:top w:type="dxa" w:w="100"/>
              <w:left w:type="dxa" w:w="120"/>
              <w:bottom w:type="dxa" w:w="100"/>
              <w:right w:type="dxa" w:w="120"/>
            </w:tcMar>
          </w:tcPr>
          <w:p>
            <w:r>
              <w:rPr>
                <w:rFonts w:ascii="Calibri" w:cs="Calibri" w:eastAsia="Calibri" w:hAnsi="Calibri"/>
                <w:sz w:val="20"/>
                <w:szCs w:val="20"/>
              </w:rPr>
              <w:t xml:space="preserve">ServiceNow Now Assist, or Claude API in the orchestration webhook</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Deployment</w:t>
            </w:r>
          </w:p>
        </w:tc>
        <w:tc>
          <w:tcPr>
            <w:tcW w:type="dxa" w:w="3000"/>
            <w:tcMar>
              <w:top w:type="dxa" w:w="100"/>
              <w:left w:type="dxa" w:w="120"/>
              <w:bottom w:type="dxa" w:w="100"/>
              <w:right w:type="dxa" w:w="120"/>
            </w:tcMar>
          </w:tcPr>
          <w:p>
            <w:r>
              <w:rPr>
                <w:rFonts w:ascii="Calibri" w:cs="Calibri" w:eastAsia="Calibri" w:hAnsi="Calibri"/>
                <w:sz w:val="20"/>
                <w:szCs w:val="20"/>
              </w:rPr>
              <w:t xml:space="preserve">Unchanged — Ansible/SCCM/Satellite executes, AI does not touch execution</w:t>
            </w:r>
          </w:p>
        </w:tc>
        <w:tc>
          <w:tcPr>
            <w:tcW w:type="dxa" w:w="2400"/>
            <w:tcMar>
              <w:top w:type="dxa" w:w="100"/>
              <w:left w:type="dxa" w:w="120"/>
              <w:bottom w:type="dxa" w:w="100"/>
              <w:right w:type="dxa" w:w="120"/>
            </w:tcMar>
          </w:tcPr>
          <w:p>
            <w:r>
              <w:rPr>
                <w:rFonts w:ascii="Calibri" w:cs="Calibri" w:eastAsia="Calibri" w:hAnsi="Calibri"/>
                <w:sz w:val="20"/>
                <w:szCs w:val="20"/>
              </w:rPr>
              <w:t xml:space="preserve">—</w:t>
            </w:r>
          </w:p>
        </w:tc>
        <w:tc>
          <w:tcPr>
            <w:tcW w:type="dxa" w:w="2400"/>
            <w:tcMar>
              <w:top w:type="dxa" w:w="100"/>
              <w:left w:type="dxa" w:w="120"/>
              <w:bottom w:type="dxa" w:w="100"/>
              <w:right w:type="dxa" w:w="120"/>
            </w:tcMar>
          </w:tcPr>
          <w:p>
            <w:r>
              <w:rPr>
                <w:rFonts w:ascii="Calibri" w:cs="Calibri" w:eastAsia="Calibri" w:hAnsi="Calibri"/>
                <w:sz w:val="20"/>
                <w:szCs w:val="20"/>
              </w:rPr>
              <w:t xml:space="preserve">Ansible Automation Platform</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Post-patch validation</w:t>
            </w:r>
          </w:p>
        </w:tc>
        <w:tc>
          <w:tcPr>
            <w:tcW w:type="dxa" w:w="3000"/>
            <w:tcMar>
              <w:top w:type="dxa" w:w="100"/>
              <w:left w:type="dxa" w:w="120"/>
              <w:bottom w:type="dxa" w:w="100"/>
              <w:right w:type="dxa" w:w="120"/>
            </w:tcMar>
          </w:tcPr>
          <w:p>
            <w:r>
              <w:rPr>
                <w:rFonts w:ascii="Calibri" w:cs="Calibri" w:eastAsia="Calibri" w:hAnsi="Calibri"/>
                <w:sz w:val="20"/>
                <w:szCs w:val="20"/>
              </w:rPr>
              <w:t xml:space="preserve">AIOps anomaly detection on logs/metrics beyond binary health checks</w:t>
            </w:r>
          </w:p>
        </w:tc>
        <w:tc>
          <w:tcPr>
            <w:tcW w:type="dxa" w:w="2400"/>
            <w:tcMar>
              <w:top w:type="dxa" w:w="100"/>
              <w:left w:type="dxa" w:w="120"/>
              <w:bottom w:type="dxa" w:w="100"/>
              <w:right w:type="dxa" w:w="120"/>
            </w:tcMar>
          </w:tcPr>
          <w:p>
            <w:r>
              <w:rPr>
                <w:rFonts w:ascii="Calibri" w:cs="Calibri" w:eastAsia="Calibri" w:hAnsi="Calibri"/>
                <w:sz w:val="20"/>
                <w:szCs w:val="20"/>
              </w:rPr>
              <w:t xml:space="preserve">Manual log review after deployment</w:t>
            </w:r>
          </w:p>
        </w:tc>
        <w:tc>
          <w:tcPr>
            <w:tcW w:type="dxa" w:w="2400"/>
            <w:tcMar>
              <w:top w:type="dxa" w:w="100"/>
              <w:left w:type="dxa" w:w="120"/>
              <w:bottom w:type="dxa" w:w="100"/>
              <w:right w:type="dxa" w:w="120"/>
            </w:tcMar>
          </w:tcPr>
          <w:p>
            <w:r>
              <w:rPr>
                <w:rFonts w:ascii="Calibri" w:cs="Calibri" w:eastAsia="Calibri" w:hAnsi="Calibri"/>
                <w:sz w:val="20"/>
                <w:szCs w:val="20"/>
              </w:rPr>
              <w:t xml:space="preserve">ServiceNow AIOps, Dynatrace Davis AI, Datadog Watchdog</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Reporting</w:t>
            </w:r>
          </w:p>
        </w:tc>
        <w:tc>
          <w:tcPr>
            <w:tcW w:type="dxa" w:w="3000"/>
            <w:tcMar>
              <w:top w:type="dxa" w:w="100"/>
              <w:left w:type="dxa" w:w="120"/>
              <w:bottom w:type="dxa" w:w="100"/>
              <w:right w:type="dxa" w:w="120"/>
            </w:tcMar>
          </w:tcPr>
          <w:p>
            <w:r>
              <w:rPr>
                <w:rFonts w:ascii="Calibri" w:cs="Calibri" w:eastAsia="Calibri" w:hAnsi="Calibri"/>
                <w:sz w:val="20"/>
                <w:szCs w:val="20"/>
              </w:rPr>
              <w:t xml:space="preserve">LLM turns compliance data into a narrative report per audience (CAB, business owner, exec)</w:t>
            </w:r>
          </w:p>
        </w:tc>
        <w:tc>
          <w:tcPr>
            <w:tcW w:type="dxa" w:w="2400"/>
            <w:tcMar>
              <w:top w:type="dxa" w:w="100"/>
              <w:left w:type="dxa" w:w="120"/>
              <w:bottom w:type="dxa" w:w="100"/>
              <w:right w:type="dxa" w:w="120"/>
            </w:tcMar>
          </w:tcPr>
          <w:p>
            <w:r>
              <w:rPr>
                <w:rFonts w:ascii="Calibri" w:cs="Calibri" w:eastAsia="Calibri" w:hAnsi="Calibri"/>
                <w:sz w:val="20"/>
                <w:szCs w:val="20"/>
              </w:rPr>
              <w:t xml:space="preserve">Analyst writing reports each cycle</w:t>
            </w:r>
          </w:p>
        </w:tc>
        <w:tc>
          <w:tcPr>
            <w:tcW w:type="dxa" w:w="2400"/>
            <w:tcMar>
              <w:top w:type="dxa" w:w="100"/>
              <w:left w:type="dxa" w:w="120"/>
              <w:bottom w:type="dxa" w:w="100"/>
              <w:right w:type="dxa" w:w="120"/>
            </w:tcMar>
          </w:tcPr>
          <w:p>
            <w:r>
              <w:rPr>
                <w:rFonts w:ascii="Calibri" w:cs="Calibri" w:eastAsia="Calibri" w:hAnsi="Calibri"/>
                <w:sz w:val="20"/>
                <w:szCs w:val="20"/>
              </w:rPr>
              <w:t xml:space="preserve">Claude/GPT API, Now Assist for Reporting</w:t>
            </w:r>
          </w:p>
        </w:tc>
      </w:tr>
      <w:tr>
        <w:tc>
          <w:tcPr>
            <w:tcW w:type="dxa" w:w="1550"/>
            <w:tcMar>
              <w:top w:type="dxa" w:w="100"/>
              <w:left w:type="dxa" w:w="120"/>
              <w:bottom w:type="dxa" w:w="100"/>
              <w:right w:type="dxa" w:w="120"/>
            </w:tcMar>
          </w:tcPr>
          <w:p>
            <w:r>
              <w:rPr>
                <w:rFonts w:ascii="Calibri" w:cs="Calibri" w:eastAsia="Calibri" w:hAnsi="Calibri"/>
                <w:sz w:val="20"/>
                <w:szCs w:val="20"/>
              </w:rPr>
              <w:t xml:space="preserve">Continuous improvement</w:t>
            </w:r>
          </w:p>
        </w:tc>
        <w:tc>
          <w:tcPr>
            <w:tcW w:type="dxa" w:w="3000"/>
            <w:tcMar>
              <w:top w:type="dxa" w:w="100"/>
              <w:left w:type="dxa" w:w="120"/>
              <w:bottom w:type="dxa" w:w="100"/>
              <w:right w:type="dxa" w:w="120"/>
            </w:tcMar>
          </w:tcPr>
          <w:p>
            <w:r>
              <w:rPr>
                <w:rFonts w:ascii="Calibri" w:cs="Calibri" w:eastAsia="Calibri" w:hAnsi="Calibri"/>
                <w:sz w:val="20"/>
                <w:szCs w:val="20"/>
              </w:rPr>
              <w:t xml:space="preserve">Model retraining on deployment outcomes to refine future risk scores</w:t>
            </w:r>
          </w:p>
        </w:tc>
        <w:tc>
          <w:tcPr>
            <w:tcW w:type="dxa" w:w="2400"/>
            <w:tcMar>
              <w:top w:type="dxa" w:w="100"/>
              <w:left w:type="dxa" w:w="120"/>
              <w:bottom w:type="dxa" w:w="100"/>
              <w:right w:type="dxa" w:w="120"/>
            </w:tcMar>
          </w:tcPr>
          <w:p>
            <w:r>
              <w:rPr>
                <w:rFonts w:ascii="Calibri" w:cs="Calibri" w:eastAsia="Calibri" w:hAnsi="Calibri"/>
                <w:sz w:val="20"/>
                <w:szCs w:val="20"/>
              </w:rPr>
              <w:t xml:space="preserve">Static prioritization rules that never improve</w:t>
            </w:r>
          </w:p>
        </w:tc>
        <w:tc>
          <w:tcPr>
            <w:tcW w:type="dxa" w:w="2400"/>
            <w:tcMar>
              <w:top w:type="dxa" w:w="100"/>
              <w:left w:type="dxa" w:w="120"/>
              <w:bottom w:type="dxa" w:w="100"/>
              <w:right w:type="dxa" w:w="120"/>
            </w:tcMar>
          </w:tcPr>
          <w:p>
            <w:r>
              <w:rPr>
                <w:rFonts w:ascii="Calibri" w:cs="Calibri" w:eastAsia="Calibri" w:hAnsi="Calibri"/>
                <w:sz w:val="20"/>
                <w:szCs w:val="20"/>
              </w:rPr>
              <w:t xml:space="preserve">Feedback loop from AIOps + Change closure data into the ML model</w:t>
            </w:r>
          </w:p>
        </w:tc>
      </w:tr>
    </w:tbl>
    <w:p>
      <w:pPr>
        <w:pStyle w:val="Heading1"/>
        <w:spacing w:after="160" w:before="360"/>
      </w:pPr>
      <w:r>
        <w:t xml:space="preserve">4. Why This Is Different From "Just Add AI to Patching"</w:t>
      </w:r>
    </w:p>
    <w:p>
      <w:pPr>
        <w:spacing w:after="160" w:line="276"/>
      </w:pPr>
      <w:r>
        <w:rPr>
          <w:rFonts w:ascii="Calibri" w:cs="Calibri" w:eastAsia="Calibri" w:hAnsi="Calibri"/>
          <w:sz w:val="22"/>
          <w:szCs w:val="22"/>
        </w:rPr>
        <w:t xml:space="preserve">The earlier patching design solved execution — how a patch physically gets from vendor to server safely, with ServiceNow tracking it. This proposal adds the decision layer in front of it — what to patch first, why, and how to explain that decision — which is where the actual analyst time and delay usually lives in real programs.</w:t>
      </w:r>
    </w:p>
    <w:p>
      <w:pPr>
        <w:spacing w:after="160" w:line="276"/>
      </w:pPr>
      <w:r>
        <w:rPr>
          <w:rFonts w:ascii="Calibri" w:cs="Calibri" w:eastAsia="Calibri" w:hAnsi="Calibri"/>
          <w:sz w:val="22"/>
          <w:szCs w:val="22"/>
        </w:rPr>
        <w:t xml:space="preserve">Concretely: EPSS-based scoring alone has been shown to prioritize far more efficiently than CVSS alone, because CVSS measures theoretical severity while EPSS estimates real-world exploitation probability. Patching the top tier by EPSS/exploit-intel score catches most active threats without wasting effort on the thousands of "critical" CVEs that are never actually exploited.</w:t>
      </w:r>
    </w:p>
    <w:p>
      <w:pPr>
        <w:pStyle w:val="Heading1"/>
        <w:spacing w:after="160" w:before="360"/>
      </w:pPr>
      <w:r>
        <w:t xml:space="preserve">5. Guardrails</w:t>
      </w:r>
    </w:p>
    <w:p>
      <w:pPr>
        <w:pStyle w:val="ListParagraph"/>
        <w:numPr>
          <w:ilvl w:val="0"/>
          <w:numId w:val="2"/>
        </w:numPr>
        <w:spacing w:after="80"/>
      </w:pPr>
      <w:r>
        <w:rPr>
          <w:rFonts w:ascii="Calibri" w:cs="Calibri" w:eastAsia="Calibri" w:hAnsi="Calibri"/>
          <w:sz w:val="22"/>
          <w:szCs w:val="22"/>
        </w:rPr>
        <w:t xml:space="preserve">AI prioritizes and drafts — a human still approves every Change for Tier 0/DMZ systems.</w:t>
      </w:r>
    </w:p>
    <w:p>
      <w:pPr>
        <w:pStyle w:val="ListParagraph"/>
        <w:numPr>
          <w:ilvl w:val="0"/>
          <w:numId w:val="2"/>
        </w:numPr>
        <w:spacing w:after="80"/>
      </w:pPr>
      <w:r>
        <w:rPr>
          <w:rFonts w:ascii="Calibri" w:cs="Calibri" w:eastAsia="Calibri" w:hAnsi="Calibri"/>
          <w:sz w:val="22"/>
          <w:szCs w:val="22"/>
        </w:rPr>
        <w:t xml:space="preserve">The ML risk-scoring model's inputs and outputs are logged for audit — you should be able to explain why a CVE was ranked where it was.</w:t>
      </w:r>
    </w:p>
    <w:p>
      <w:pPr>
        <w:pStyle w:val="ListParagraph"/>
        <w:numPr>
          <w:ilvl w:val="0"/>
          <w:numId w:val="2"/>
        </w:numPr>
        <w:spacing w:after="80"/>
      </w:pPr>
      <w:r>
        <w:rPr>
          <w:rFonts w:ascii="Calibri" w:cs="Calibri" w:eastAsia="Calibri" w:hAnsi="Calibri"/>
          <w:sz w:val="22"/>
          <w:szCs w:val="22"/>
        </w:rPr>
        <w:t xml:space="preserve">Full autonomous closed-loop remediation (AI scores → AI approves → AI deploys, no human) should be reserved, if ever, for the lowest-risk tier of assets only, after the model has a track record.</w:t>
      </w:r>
    </w:p>
    <w:p>
      <w:pPr>
        <w:pStyle w:val="Heading1"/>
        <w:spacing w:after="160" w:before="360"/>
      </w:pPr>
      <w:r>
        <w:t xml:space="preserve">6. Suggested Phasing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7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Scope</w:t>
            </w:r>
          </w:p>
        </w:tc>
      </w:tr>
      <w:tr>
        <w:tc>
          <w:tcPr>
            <w:tcW w:type="dxa" w:w="1800"/>
            <w:tcMar>
              <w:top w:type="dxa" w:w="100"/>
              <w:left w:type="dxa" w:w="120"/>
              <w:bottom w:type="dxa" w:w="100"/>
              <w:right w:type="dxa" w:w="120"/>
            </w:tcMar>
          </w:tcPr>
          <w:p>
            <w:r>
              <w:rPr>
                <w:rFonts w:ascii="Calibri" w:cs="Calibri" w:eastAsia="Calibri" w:hAnsi="Calibri"/>
                <w:sz w:val="20"/>
                <w:szCs w:val="20"/>
              </w:rPr>
              <w:t xml:space="preserve">Phase 1</w:t>
            </w:r>
          </w:p>
        </w:tc>
        <w:tc>
          <w:tcPr>
            <w:tcW w:type="dxa" w:w="7550"/>
            <w:tcMar>
              <w:top w:type="dxa" w:w="100"/>
              <w:left w:type="dxa" w:w="120"/>
              <w:bottom w:type="dxa" w:w="100"/>
              <w:right w:type="dxa" w:w="120"/>
            </w:tcMar>
          </w:tcPr>
          <w:p>
            <w:r>
              <w:rPr>
                <w:rFonts w:ascii="Calibri" w:cs="Calibri" w:eastAsia="Calibri" w:hAnsi="Calibri"/>
                <w:sz w:val="20"/>
                <w:szCs w:val="20"/>
              </w:rPr>
              <w:t xml:space="preserve">Stand up EPSS/exploit-intel-based risk scoring alongside existing CVSS scoring — low effort, immediately improves prioritization quality</w:t>
            </w:r>
          </w:p>
        </w:tc>
      </w:tr>
      <w:tr>
        <w:tc>
          <w:tcPr>
            <w:tcW w:type="dxa" w:w="1800"/>
            <w:tcMar>
              <w:top w:type="dxa" w:w="100"/>
              <w:left w:type="dxa" w:w="120"/>
              <w:bottom w:type="dxa" w:w="100"/>
              <w:right w:type="dxa" w:w="120"/>
            </w:tcMar>
          </w:tcPr>
          <w:p>
            <w:r>
              <w:rPr>
                <w:rFonts w:ascii="Calibri" w:cs="Calibri" w:eastAsia="Calibri" w:hAnsi="Calibri"/>
                <w:sz w:val="20"/>
                <w:szCs w:val="20"/>
              </w:rPr>
              <w:t xml:space="preserve">Phase 2</w:t>
            </w:r>
          </w:p>
        </w:tc>
        <w:tc>
          <w:tcPr>
            <w:tcW w:type="dxa" w:w="7550"/>
            <w:tcMar>
              <w:top w:type="dxa" w:w="100"/>
              <w:left w:type="dxa" w:w="120"/>
              <w:bottom w:type="dxa" w:w="100"/>
              <w:right w:type="dxa" w:w="120"/>
            </w:tcMar>
          </w:tcPr>
          <w:p>
            <w:r>
              <w:rPr>
                <w:rFonts w:ascii="Calibri" w:cs="Calibri" w:eastAsia="Calibri" w:hAnsi="Calibri"/>
                <w:sz w:val="20"/>
                <w:szCs w:val="20"/>
              </w:rPr>
              <w:t xml:space="preserve">Add GenAI Change drafting and CVE-to-patch NLP mapping — integrates with the orchestration layer already designed</w:t>
            </w:r>
          </w:p>
        </w:tc>
      </w:tr>
      <w:tr>
        <w:tc>
          <w:tcPr>
            <w:tcW w:type="dxa" w:w="1800"/>
            <w:tcMar>
              <w:top w:type="dxa" w:w="100"/>
              <w:left w:type="dxa" w:w="120"/>
              <w:bottom w:type="dxa" w:w="100"/>
              <w:right w:type="dxa" w:w="120"/>
            </w:tcMar>
          </w:tcPr>
          <w:p>
            <w:r>
              <w:rPr>
                <w:rFonts w:ascii="Calibri" w:cs="Calibri" w:eastAsia="Calibri" w:hAnsi="Calibri"/>
                <w:sz w:val="20"/>
                <w:szCs w:val="20"/>
              </w:rPr>
              <w:t xml:space="preserve">Phase 3</w:t>
            </w:r>
          </w:p>
        </w:tc>
        <w:tc>
          <w:tcPr>
            <w:tcW w:type="dxa" w:w="7550"/>
            <w:tcMar>
              <w:top w:type="dxa" w:w="100"/>
              <w:left w:type="dxa" w:w="120"/>
              <w:bottom w:type="dxa" w:w="100"/>
              <w:right w:type="dxa" w:w="120"/>
            </w:tcMar>
          </w:tcPr>
          <w:p>
            <w:r>
              <w:rPr>
                <w:rFonts w:ascii="Calibri" w:cs="Calibri" w:eastAsia="Calibri" w:hAnsi="Calibri"/>
                <w:sz w:val="20"/>
                <w:szCs w:val="20"/>
              </w:rPr>
              <w:t xml:space="preserve">Layer in AIOps validation and GenAI reporting</w:t>
            </w:r>
          </w:p>
        </w:tc>
      </w:tr>
      <w:tr>
        <w:tc>
          <w:tcPr>
            <w:tcW w:type="dxa" w:w="1800"/>
            <w:tcMar>
              <w:top w:type="dxa" w:w="100"/>
              <w:left w:type="dxa" w:w="120"/>
              <w:bottom w:type="dxa" w:w="100"/>
              <w:right w:type="dxa" w:w="120"/>
            </w:tcMar>
          </w:tcPr>
          <w:p>
            <w:r>
              <w:rPr>
                <w:rFonts w:ascii="Calibri" w:cs="Calibri" w:eastAsia="Calibri" w:hAnsi="Calibri"/>
                <w:sz w:val="20"/>
                <w:szCs w:val="20"/>
              </w:rPr>
              <w:t xml:space="preserve">Phase 4</w:t>
            </w:r>
          </w:p>
        </w:tc>
        <w:tc>
          <w:tcPr>
            <w:tcW w:type="dxa" w:w="7550"/>
            <w:tcMar>
              <w:top w:type="dxa" w:w="100"/>
              <w:left w:type="dxa" w:w="120"/>
              <w:bottom w:type="dxa" w:w="100"/>
              <w:right w:type="dxa" w:w="120"/>
            </w:tcMar>
          </w:tcPr>
          <w:p>
            <w:r>
              <w:rPr>
                <w:rFonts w:ascii="Calibri" w:cs="Calibri" w:eastAsia="Calibri" w:hAnsi="Calibri"/>
                <w:sz w:val="20"/>
                <w:szCs w:val="20"/>
              </w:rPr>
              <w:t xml:space="preserve">Begin collecting outcome data for the feedback loop; revisit a custom predictive model once 12+ months of clean data exists</w:t>
            </w:r>
          </w:p>
        </w:tc>
      </w:tr>
    </w:tbl>
    <w:p>
      <w:r>
        <w:br w:type="page"/>
      </w:r>
    </w:p>
    <w:p>
      <w:pPr>
        <w:spacing w:after="200"/>
        <w:jc w:val="center"/>
      </w:pPr>
      <w:r>
        <w:rPr>
          <w:rFonts w:ascii="Calibri" w:cs="Calibri" w:eastAsia="Calibri" w:hAnsi="Calibri"/>
          <w:b/>
          <w:bCs/>
          <w:color w:val="1F3864"/>
          <w:sz w:val="32"/>
          <w:szCs w:val="32"/>
        </w:rPr>
        <w:t xml:space="preserve">PART 2</w:t>
      </w:r>
    </w:p>
    <w:p>
      <w:pPr>
        <w:spacing w:after="400"/>
        <w:jc w:val="center"/>
      </w:pPr>
      <w:r>
        <w:rPr>
          <w:rFonts w:ascii="Calibri" w:cs="Calibri" w:eastAsia="Calibri" w:hAnsi="Calibri"/>
          <w:b/>
          <w:bCs/>
          <w:color w:val="2E74B5"/>
          <w:sz w:val="26"/>
          <w:szCs w:val="26"/>
        </w:rPr>
        <w:t xml:space="preserve">Off-the-Shelf AI Solutions Available in the Market</w:t>
      </w:r>
    </w:p>
    <w:p>
      <w:pPr>
        <w:spacing w:after="160" w:line="276"/>
      </w:pPr>
      <w:r>
        <w:rPr>
          <w:rFonts w:ascii="Calibri" w:cs="Calibri" w:eastAsia="Calibri" w:hAnsi="Calibri"/>
          <w:sz w:val="22"/>
          <w:szCs w:val="22"/>
        </w:rPr>
        <w:t xml:space="preserve">The market has moved quickly toward this exact pattern. Below is the current (2026) landscape, organized by which part of the architecture each product actually covers.</w:t>
      </w:r>
    </w:p>
    <w:p>
      <w:pPr>
        <w:pStyle w:val="Heading1"/>
        <w:spacing w:after="160" w:before="360"/>
      </w:pPr>
      <w:r>
        <w:t xml:space="preserve">1. Closest Single-Vendor Match to the Full Loop</w:t>
      </w:r>
    </w:p>
    <w:p>
      <w:pPr>
        <w:spacing w:after="160" w:line="276"/>
      </w:pPr>
      <w:r>
        <w:rPr>
          <w:rFonts w:ascii="Calibri" w:cs="Calibri" w:eastAsia="Calibri" w:hAnsi="Calibri"/>
          <w:sz w:val="22"/>
          <w:szCs w:val="22"/>
        </w:rPr>
        <w:t xml:space="preserve">Ivanti Neurons for Patch Management (Autonomous Endpoint Management) is currently the most complete off-the-shelf answer to the architecture in Part 1. It combines risk-based vulnerability prioritization (VRR), automated bot-driven workflows, and a unified system of record to deliver autonomous, risk-ordered patching across Windows, macOS, Linux, and third-party applications.</w:t>
      </w:r>
    </w:p>
    <w:p>
      <w:pPr>
        <w:pStyle w:val="ListParagraph"/>
        <w:numPr>
          <w:ilvl w:val="0"/>
          <w:numId w:val="2"/>
        </w:numPr>
        <w:spacing w:after="80"/>
      </w:pPr>
      <w:r>
        <w:rPr>
          <w:rFonts w:ascii="Calibri" w:cs="Calibri" w:eastAsia="Calibri" w:hAnsi="Calibri"/>
          <w:sz w:val="22"/>
          <w:szCs w:val="22"/>
        </w:rPr>
        <w:t xml:space="preserve">Its Vulnerability Risk Rating (VRR) combines exploit activity, CISA KEV data, asset criticality, and real-time threat intelligence, and is independent of NVD — so it isn't affected by NVD's enrichment backlog.</w:t>
      </w:r>
    </w:p>
    <w:p>
      <w:pPr>
        <w:pStyle w:val="ListParagraph"/>
        <w:numPr>
          <w:ilvl w:val="0"/>
          <w:numId w:val="2"/>
        </w:numPr>
        <w:spacing w:after="80"/>
      </w:pPr>
      <w:r>
        <w:rPr>
          <w:rFonts w:ascii="Calibri" w:cs="Calibri" w:eastAsia="Calibri" w:hAnsi="Calibri"/>
          <w:sz w:val="22"/>
          <w:szCs w:val="22"/>
        </w:rPr>
        <w:t xml:space="preserve">A July 2026 release added "predictive remediation," designed to help teams act on trusted data through governed, automated workflows with admin control.</w:t>
      </w:r>
    </w:p>
    <w:p>
      <w:pPr>
        <w:pStyle w:val="ListParagraph"/>
        <w:numPr>
          <w:ilvl w:val="0"/>
          <w:numId w:val="2"/>
        </w:numPr>
        <w:spacing w:after="80"/>
      </w:pPr>
      <w:r>
        <w:rPr>
          <w:rFonts w:ascii="Calibri" w:cs="Calibri" w:eastAsia="Calibri" w:hAnsi="Calibri"/>
          <w:sz w:val="22"/>
          <w:szCs w:val="22"/>
        </w:rPr>
        <w:t xml:space="preserve">Its "Continuous Compliance" framework auto-patches out-of-compliance endpoints outside scheduled windows, reducing manual follow-up.</w:t>
      </w:r>
    </w:p>
    <w:p>
      <w:pPr>
        <w:pStyle w:val="ListParagraph"/>
        <w:numPr>
          <w:ilvl w:val="0"/>
          <w:numId w:val="2"/>
        </w:numPr>
        <w:spacing w:after="80"/>
      </w:pPr>
      <w:r>
        <w:rPr>
          <w:rFonts w:ascii="Calibri" w:cs="Calibri" w:eastAsia="Calibri" w:hAnsi="Calibri"/>
          <w:sz w:val="22"/>
          <w:szCs w:val="22"/>
        </w:rPr>
        <w:t xml:space="preserve">Positioned explicitly around closing the "discovery-to-remediation gap" at machine speed, since AI is accelerating vulnerability discovery faster than manual triage can keep up.</w:t>
      </w:r>
    </w:p>
    <w:p>
      <w:pPr>
        <w:pStyle w:val="Heading1"/>
        <w:spacing w:after="160" w:before="360"/>
      </w:pPr>
      <w:r>
        <w:t xml:space="preserve">2. Vulnerability Scanning + AI Risk Prioritization (the "Front 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25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Product</w:t>
            </w:r>
          </w:p>
        </w:tc>
        <w:tc>
          <w:tcPr>
            <w:tcW w:type="dxa" w:w="5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AI Capability</w:t>
            </w:r>
          </w:p>
        </w:tc>
        <w:tc>
          <w:tcPr>
            <w:tcW w:type="dxa" w:w="22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Tenable One</w:t>
            </w:r>
          </w:p>
        </w:tc>
        <w:tc>
          <w:tcPr>
            <w:tcW w:type="dxa" w:w="5200"/>
            <w:tcMar>
              <w:top w:type="dxa" w:w="100"/>
              <w:left w:type="dxa" w:w="120"/>
              <w:bottom w:type="dxa" w:w="100"/>
              <w:right w:type="dxa" w:w="120"/>
            </w:tcMar>
          </w:tcPr>
          <w:p>
            <w:r>
              <w:rPr>
                <w:rFonts w:ascii="Calibri" w:cs="Calibri" w:eastAsia="Calibri" w:hAnsi="Calibri"/>
                <w:sz w:val="20"/>
                <w:szCs w:val="20"/>
              </w:rPr>
              <w:t xml:space="preserve">Exposure Response SLAs, prescriptive guidance, and attack path blocking across hybrid domains, with 250+ integrations</w:t>
            </w:r>
          </w:p>
        </w:tc>
        <w:tc>
          <w:tcPr>
            <w:tcW w:type="dxa" w:w="2250"/>
            <w:tcMar>
              <w:top w:type="dxa" w:w="100"/>
              <w:left w:type="dxa" w:w="120"/>
              <w:bottom w:type="dxa" w:w="100"/>
              <w:right w:type="dxa" w:w="120"/>
            </w:tcMar>
          </w:tcPr>
          <w:p>
            <w:r>
              <w:rPr>
                <w:rFonts w:ascii="Calibri" w:cs="Calibri" w:eastAsia="Calibri" w:hAnsi="Calibri"/>
                <w:sz w:val="20"/>
                <w:szCs w:val="20"/>
              </w:rPr>
              <w:t xml:space="preserve">Deep scanning (Nessus), broad but requires separate remediation tooling</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CrowdStrike Falcon (ExPRT.AI)</w:t>
            </w:r>
          </w:p>
        </w:tc>
        <w:tc>
          <w:tcPr>
            <w:tcW w:type="dxa" w:w="5200"/>
            <w:tcMar>
              <w:top w:type="dxa" w:w="100"/>
              <w:left w:type="dxa" w:w="120"/>
              <w:bottom w:type="dxa" w:w="100"/>
              <w:right w:type="dxa" w:w="120"/>
            </w:tcMar>
          </w:tcPr>
          <w:p>
            <w:r>
              <w:rPr>
                <w:rFonts w:ascii="Calibri" w:cs="Calibri" w:eastAsia="Calibri" w:hAnsi="Calibri"/>
                <w:sz w:val="20"/>
                <w:szCs w:val="20"/>
              </w:rPr>
              <w:t xml:space="preserve">Real-time exploitation activity and endpoint visibility that EPSS can't see, giving faster, more relevant prioritization within the Falcon platform</w:t>
            </w:r>
          </w:p>
        </w:tc>
        <w:tc>
          <w:tcPr>
            <w:tcW w:type="dxa" w:w="2250"/>
            <w:tcMar>
              <w:top w:type="dxa" w:w="100"/>
              <w:left w:type="dxa" w:w="120"/>
              <w:bottom w:type="dxa" w:w="100"/>
              <w:right w:type="dxa" w:w="120"/>
            </w:tcMar>
          </w:tcPr>
          <w:p>
            <w:r>
              <w:rPr>
                <w:rFonts w:ascii="Calibri" w:cs="Calibri" w:eastAsia="Calibri" w:hAnsi="Calibri"/>
                <w:sz w:val="20"/>
                <w:szCs w:val="20"/>
              </w:rPr>
              <w:t xml:space="preserve">Best if already a CrowdStrike/Falcon shop</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Rapid7 Command Platform</w:t>
            </w:r>
          </w:p>
        </w:tc>
        <w:tc>
          <w:tcPr>
            <w:tcW w:type="dxa" w:w="5200"/>
            <w:tcMar>
              <w:top w:type="dxa" w:w="100"/>
              <w:left w:type="dxa" w:w="120"/>
              <w:bottom w:type="dxa" w:w="100"/>
              <w:right w:type="dxa" w:w="120"/>
            </w:tcMar>
          </w:tcPr>
          <w:p>
            <w:r>
              <w:rPr>
                <w:rFonts w:ascii="Calibri" w:cs="Calibri" w:eastAsia="Calibri" w:hAnsi="Calibri"/>
                <w:sz w:val="20"/>
                <w:szCs w:val="20"/>
              </w:rPr>
              <w:t xml:space="preserve">AI-powered automated prioritization plus "Active Remediation" that can take action on the customer's behalf; InsightConnect offers 250+ orchestration plugins for ServiceNow/Jira/Slack, cited at ~75% faster remediation</w:t>
            </w:r>
          </w:p>
        </w:tc>
        <w:tc>
          <w:tcPr>
            <w:tcW w:type="dxa" w:w="2250"/>
            <w:tcMar>
              <w:top w:type="dxa" w:w="100"/>
              <w:left w:type="dxa" w:w="120"/>
              <w:bottom w:type="dxa" w:w="100"/>
              <w:right w:type="dxa" w:w="120"/>
            </w:tcMar>
          </w:tcPr>
          <w:p>
            <w:r>
              <w:rPr>
                <w:rFonts w:ascii="Calibri" w:cs="Calibri" w:eastAsia="Calibri" w:hAnsi="Calibri"/>
                <w:sz w:val="20"/>
                <w:szCs w:val="20"/>
              </w:rPr>
              <w:t xml:space="preserve">Strong on orchestration/automation speed</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Bitsight (DVE Score)</w:t>
            </w:r>
          </w:p>
        </w:tc>
        <w:tc>
          <w:tcPr>
            <w:tcW w:type="dxa" w:w="5200"/>
            <w:tcMar>
              <w:top w:type="dxa" w:w="100"/>
              <w:left w:type="dxa" w:w="120"/>
              <w:bottom w:type="dxa" w:w="100"/>
              <w:right w:type="dxa" w:w="120"/>
            </w:tcMar>
          </w:tcPr>
          <w:p>
            <w:r>
              <w:rPr>
                <w:rFonts w:ascii="Calibri" w:cs="Calibri" w:eastAsia="Calibri" w:hAnsi="Calibri"/>
                <w:sz w:val="20"/>
                <w:szCs w:val="20"/>
              </w:rPr>
              <w:t xml:space="preserve">Purpose-built exploitation prediction using external/underground intelligence, mapping CVEs to products/versions/exposed assets and aligning to MITRE ATT&amp;CK</w:t>
            </w:r>
          </w:p>
        </w:tc>
        <w:tc>
          <w:tcPr>
            <w:tcW w:type="dxa" w:w="2250"/>
            <w:tcMar>
              <w:top w:type="dxa" w:w="100"/>
              <w:left w:type="dxa" w:w="120"/>
              <w:bottom w:type="dxa" w:w="100"/>
              <w:right w:type="dxa" w:w="120"/>
            </w:tcMar>
          </w:tcPr>
          <w:p>
            <w:r>
              <w:rPr>
                <w:rFonts w:ascii="Calibri" w:cs="Calibri" w:eastAsia="Calibri" w:hAnsi="Calibri"/>
                <w:sz w:val="20"/>
                <w:szCs w:val="20"/>
              </w:rPr>
              <w:t xml:space="preserve">More of an external threat-intel layer than an execution platform</w:t>
            </w:r>
          </w:p>
        </w:tc>
      </w:tr>
      <w:tr>
        <w:tc>
          <w:tcPr>
            <w:tcW w:type="dxa" w:w="1900"/>
            <w:tcMar>
              <w:top w:type="dxa" w:w="100"/>
              <w:left w:type="dxa" w:w="120"/>
              <w:bottom w:type="dxa" w:w="100"/>
              <w:right w:type="dxa" w:w="120"/>
            </w:tcMar>
          </w:tcPr>
          <w:p>
            <w:r>
              <w:rPr>
                <w:rFonts w:ascii="Calibri" w:cs="Calibri" w:eastAsia="Calibri" w:hAnsi="Calibri"/>
                <w:sz w:val="20"/>
                <w:szCs w:val="20"/>
              </w:rPr>
              <w:t xml:space="preserve">Qualys VMDR</w:t>
            </w:r>
          </w:p>
        </w:tc>
        <w:tc>
          <w:tcPr>
            <w:tcW w:type="dxa" w:w="5200"/>
            <w:tcMar>
              <w:top w:type="dxa" w:w="100"/>
              <w:left w:type="dxa" w:w="120"/>
              <w:bottom w:type="dxa" w:w="100"/>
              <w:right w:type="dxa" w:w="120"/>
            </w:tcMar>
          </w:tcPr>
          <w:p>
            <w:r>
              <w:rPr>
                <w:rFonts w:ascii="Calibri" w:cs="Calibri" w:eastAsia="Calibri" w:hAnsi="Calibri"/>
                <w:sz w:val="20"/>
                <w:szCs w:val="20"/>
              </w:rPr>
              <w:t xml:space="preserve">Native patch-remediation capability built in, eliminating a separate patching toolchain if you don't already have one</w:t>
            </w:r>
          </w:p>
        </w:tc>
        <w:tc>
          <w:tcPr>
            <w:tcW w:type="dxa" w:w="2250"/>
            <w:tcMar>
              <w:top w:type="dxa" w:w="100"/>
              <w:left w:type="dxa" w:w="120"/>
              <w:bottom w:type="dxa" w:w="100"/>
              <w:right w:type="dxa" w:w="120"/>
            </w:tcMar>
          </w:tcPr>
          <w:p>
            <w:r>
              <w:rPr>
                <w:rFonts w:ascii="Calibri" w:cs="Calibri" w:eastAsia="Calibri" w:hAnsi="Calibri"/>
                <w:sz w:val="20"/>
                <w:szCs w:val="20"/>
              </w:rPr>
              <w:t xml:space="preserve">Best if you want scanning + patching from one vendor</w:t>
            </w:r>
          </w:p>
        </w:tc>
      </w:tr>
    </w:tbl>
    <w:p>
      <w:pPr>
        <w:pStyle w:val="Heading1"/>
        <w:spacing w:after="160" w:before="360"/>
      </w:pPr>
      <w:r>
        <w:t xml:space="preserve">3. Vendor-Agnostic Orchestration / Aggregation Layer</w:t>
      </w:r>
    </w:p>
    <w:p>
      <w:pPr>
        <w:spacing w:after="160" w:line="276"/>
      </w:pPr>
      <w:r>
        <w:rPr>
          <w:rFonts w:ascii="Calibri" w:cs="Calibri" w:eastAsia="Calibri" w:hAnsi="Calibri"/>
          <w:sz w:val="22"/>
          <w:szCs w:val="22"/>
        </w:rPr>
        <w:t xml:space="preserve">For organizations already running multiple scanners, Nucleus Security is the leading example of this category: rather than scanning itself, it aggregates findings from Tenable, Qualys, Rapid7, AWS Inspector, Microsoft Defender and others, normalizes and deduplicates them, applies risk-based prioritization, and orchestrates remediation with deep ITSM integration — creating tickets in ServiceNow/Jira with closure validation that confirms the vulnerability is actually fixed. Similar players in this category include Vulcan Cyber, Seemplicity, and Brinqa. This is the right category if your organization has scanner sprawl and needs a single prioritization/orchestration layer sitting above all of them.</w:t>
      </w:r>
    </w:p>
    <w:p>
      <w:pPr>
        <w:pStyle w:val="Heading1"/>
        <w:spacing w:after="160" w:before="360"/>
      </w:pPr>
      <w:r>
        <w:t xml:space="preserve">4. ITSM-Native (Fits Directly Into the Existing ServiceNow Architecture)</w:t>
      </w:r>
    </w:p>
    <w:p>
      <w:pPr>
        <w:spacing w:after="160" w:line="276"/>
      </w:pPr>
      <w:r>
        <w:rPr>
          <w:rFonts w:ascii="Calibri" w:cs="Calibri" w:eastAsia="Calibri" w:hAnsi="Calibri"/>
          <w:sz w:val="22"/>
          <w:szCs w:val="22"/>
        </w:rPr>
        <w:t xml:space="preserve">ServiceNow Vulnerability Response (SecOps) pulls vulnerability data from Qualys, Tenable, and Rapid7, matches findings to actual CMDB assets, groups related vulnerabilities into Remediation Tasks instead of flooding IT with thousands of tickets, and prioritizes based on business risk rather than raw severity. The Tenable/ServiceNow integration specifically supports bi-directional CMDB syncing and automated re-assessment to validate remediation, creating a full closed loop.</w:t>
      </w:r>
    </w:p>
    <w:p>
      <w:pPr>
        <w:spacing w:after="160" w:line="276"/>
      </w:pPr>
      <w:r>
        <w:rPr>
          <w:rFonts w:ascii="Calibri" w:cs="Calibri" w:eastAsia="Calibri" w:hAnsi="Calibri"/>
          <w:b/>
          <w:bCs/>
          <w:sz w:val="22"/>
          <w:szCs w:val="22"/>
        </w:rPr>
        <w:t xml:space="preserve">This is the most natural fit if you are already standardizing on ServiceNow as the system of record, since it avoids a separate integration layer. Pair it with ServiceNow Now Assist / Predictive Intelligence for the GenAI drafting and risk-scoring pieces described in Part 1.</w:t>
      </w:r>
    </w:p>
    <w:p>
      <w:pPr>
        <w:pStyle w:val="Heading1"/>
        <w:spacing w:after="160" w:before="360"/>
      </w:pPr>
      <w:r>
        <w:t xml:space="preserve">5. Lighter-Weight / Mid-Market Patch Automation With AI</w:t>
      </w:r>
    </w:p>
    <w:p>
      <w:pPr>
        <w:spacing w:after="160" w:line="276"/>
      </w:pPr>
      <w:r>
        <w:rPr>
          <w:rFonts w:ascii="Calibri" w:cs="Calibri" w:eastAsia="Calibri" w:hAnsi="Calibri"/>
          <w:sz w:val="22"/>
          <w:szCs w:val="22"/>
        </w:rPr>
        <w:t xml:space="preserve">Automox and Action1 are worth knowing as lighter, faster-to-deploy alternatives if Ivanti/Tenable/Qualys feel like too much platform for your scale. Action1 is positioned as a cloud-native alternative offering autonomous patching, vulnerability remediation, and real-time compliance reporting without requiring VPNs or on-prem infrastructure — which matters if your Tier 0/DMZ environment has connectivity constraints.</w:t>
      </w:r>
    </w:p>
    <w:p>
      <w:pPr>
        <w:pStyle w:val="Heading1"/>
        <w:spacing w:after="160" w:before="360"/>
      </w:pPr>
      <w:r>
        <w:t xml:space="preserve">6. Mapping Back to the Proposed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50"/>
        <w:gridCol w:w="38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Architecture Stage (Part 1)</w:t>
            </w:r>
          </w:p>
        </w:tc>
        <w:tc>
          <w:tcPr>
            <w:tcW w:type="dxa" w:w="29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Off-the-Shelf Product Category</w:t>
            </w:r>
          </w:p>
        </w:tc>
        <w:tc>
          <w:tcPr>
            <w:tcW w:type="dxa" w:w="3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Closest Match</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Discovery/Inventory</w:t>
            </w:r>
          </w:p>
        </w:tc>
        <w:tc>
          <w:tcPr>
            <w:tcW w:type="dxa" w:w="2950"/>
            <w:tcMar>
              <w:top w:type="dxa" w:w="100"/>
              <w:left w:type="dxa" w:w="120"/>
              <w:bottom w:type="dxa" w:w="100"/>
              <w:right w:type="dxa" w:w="120"/>
            </w:tcMar>
          </w:tcPr>
          <w:p>
            <w:r>
              <w:rPr>
                <w:rFonts w:ascii="Calibri" w:cs="Calibri" w:eastAsia="Calibri" w:hAnsi="Calibri"/>
                <w:sz w:val="20"/>
                <w:szCs w:val="20"/>
              </w:rPr>
              <w:t xml:space="preserve">Vuln scanner + CMDB reconciliation</w:t>
            </w:r>
          </w:p>
        </w:tc>
        <w:tc>
          <w:tcPr>
            <w:tcW w:type="dxa" w:w="3800"/>
            <w:tcMar>
              <w:top w:type="dxa" w:w="100"/>
              <w:left w:type="dxa" w:w="120"/>
              <w:bottom w:type="dxa" w:w="100"/>
              <w:right w:type="dxa" w:w="120"/>
            </w:tcMar>
          </w:tcPr>
          <w:p>
            <w:r>
              <w:rPr>
                <w:rFonts w:ascii="Calibri" w:cs="Calibri" w:eastAsia="Calibri" w:hAnsi="Calibri"/>
                <w:sz w:val="20"/>
                <w:szCs w:val="20"/>
              </w:rPr>
              <w:t xml:space="preserve">Tenable, Qualys, Ivanti Neurons Discovery</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AI Risk Prioritization</w:t>
            </w:r>
          </w:p>
        </w:tc>
        <w:tc>
          <w:tcPr>
            <w:tcW w:type="dxa" w:w="2950"/>
            <w:tcMar>
              <w:top w:type="dxa" w:w="100"/>
              <w:left w:type="dxa" w:w="120"/>
              <w:bottom w:type="dxa" w:w="100"/>
              <w:right w:type="dxa" w:w="120"/>
            </w:tcMar>
          </w:tcPr>
          <w:p>
            <w:r>
              <w:rPr>
                <w:rFonts w:ascii="Calibri" w:cs="Calibri" w:eastAsia="Calibri" w:hAnsi="Calibri"/>
                <w:sz w:val="20"/>
                <w:szCs w:val="20"/>
              </w:rPr>
              <w:t xml:space="preserve">EPSS/exploit-intel scoring engine</w:t>
            </w:r>
          </w:p>
        </w:tc>
        <w:tc>
          <w:tcPr>
            <w:tcW w:type="dxa" w:w="3800"/>
            <w:tcMar>
              <w:top w:type="dxa" w:w="100"/>
              <w:left w:type="dxa" w:w="120"/>
              <w:bottom w:type="dxa" w:w="100"/>
              <w:right w:type="dxa" w:w="120"/>
            </w:tcMar>
          </w:tcPr>
          <w:p>
            <w:r>
              <w:rPr>
                <w:rFonts w:ascii="Calibri" w:cs="Calibri" w:eastAsia="Calibri" w:hAnsi="Calibri"/>
                <w:sz w:val="20"/>
                <w:szCs w:val="20"/>
              </w:rPr>
              <w:t xml:space="preserve">Ivanti VRR, CrowdStrike ExPRT.AI, Bitsight DVE, Nucleus</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Change drafting / GenAI</w:t>
            </w:r>
          </w:p>
        </w:tc>
        <w:tc>
          <w:tcPr>
            <w:tcW w:type="dxa" w:w="2950"/>
            <w:tcMar>
              <w:top w:type="dxa" w:w="100"/>
              <w:left w:type="dxa" w:w="120"/>
              <w:bottom w:type="dxa" w:w="100"/>
              <w:right w:type="dxa" w:w="120"/>
            </w:tcMar>
          </w:tcPr>
          <w:p>
            <w:r>
              <w:rPr>
                <w:rFonts w:ascii="Calibri" w:cs="Calibri" w:eastAsia="Calibri" w:hAnsi="Calibri"/>
                <w:sz w:val="20"/>
                <w:szCs w:val="20"/>
              </w:rPr>
              <w:t xml:space="preserve">ITSM copilot</w:t>
            </w:r>
          </w:p>
        </w:tc>
        <w:tc>
          <w:tcPr>
            <w:tcW w:type="dxa" w:w="3800"/>
            <w:tcMar>
              <w:top w:type="dxa" w:w="100"/>
              <w:left w:type="dxa" w:w="120"/>
              <w:bottom w:type="dxa" w:w="100"/>
              <w:right w:type="dxa" w:w="120"/>
            </w:tcMar>
          </w:tcPr>
          <w:p>
            <w:r>
              <w:rPr>
                <w:rFonts w:ascii="Calibri" w:cs="Calibri" w:eastAsia="Calibri" w:hAnsi="Calibri"/>
                <w:sz w:val="20"/>
                <w:szCs w:val="20"/>
              </w:rPr>
              <w:t xml:space="preserve">ServiceNow Now Assist</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Orchestration/execution</w:t>
            </w:r>
          </w:p>
        </w:tc>
        <w:tc>
          <w:tcPr>
            <w:tcW w:type="dxa" w:w="2950"/>
            <w:tcMar>
              <w:top w:type="dxa" w:w="100"/>
              <w:left w:type="dxa" w:w="120"/>
              <w:bottom w:type="dxa" w:w="100"/>
              <w:right w:type="dxa" w:w="120"/>
            </w:tcMar>
          </w:tcPr>
          <w:p>
            <w:r>
              <w:rPr>
                <w:rFonts w:ascii="Calibri" w:cs="Calibri" w:eastAsia="Calibri" w:hAnsi="Calibri"/>
                <w:sz w:val="20"/>
                <w:szCs w:val="20"/>
              </w:rPr>
              <w:t xml:space="preserve">Patch deployment engine</w:t>
            </w:r>
          </w:p>
        </w:tc>
        <w:tc>
          <w:tcPr>
            <w:tcW w:type="dxa" w:w="3800"/>
            <w:tcMar>
              <w:top w:type="dxa" w:w="100"/>
              <w:left w:type="dxa" w:w="120"/>
              <w:bottom w:type="dxa" w:w="100"/>
              <w:right w:type="dxa" w:w="120"/>
            </w:tcMar>
          </w:tcPr>
          <w:p>
            <w:r>
              <w:rPr>
                <w:rFonts w:ascii="Calibri" w:cs="Calibri" w:eastAsia="Calibri" w:hAnsi="Calibri"/>
                <w:sz w:val="20"/>
                <w:szCs w:val="20"/>
              </w:rPr>
              <w:t xml:space="preserve">Ivanti Neurons, Ansible AAP, Automox, Action1</w:t>
            </w:r>
          </w:p>
        </w:tc>
      </w:tr>
      <w:tr>
        <w:tc>
          <w:tcPr>
            <w:tcW w:type="dxa" w:w="2600"/>
            <w:tcMar>
              <w:top w:type="dxa" w:w="100"/>
              <w:left w:type="dxa" w:w="120"/>
              <w:bottom w:type="dxa" w:w="100"/>
              <w:right w:type="dxa" w:w="120"/>
            </w:tcMar>
          </w:tcPr>
          <w:p>
            <w:r>
              <w:rPr>
                <w:rFonts w:ascii="Calibri" w:cs="Calibri" w:eastAsia="Calibri" w:hAnsi="Calibri"/>
                <w:sz w:val="20"/>
                <w:szCs w:val="20"/>
              </w:rPr>
              <w:t xml:space="preserve">Closed-loop validation</w:t>
            </w:r>
          </w:p>
        </w:tc>
        <w:tc>
          <w:tcPr>
            <w:tcW w:type="dxa" w:w="2950"/>
            <w:tcMar>
              <w:top w:type="dxa" w:w="100"/>
              <w:left w:type="dxa" w:w="120"/>
              <w:bottom w:type="dxa" w:w="100"/>
              <w:right w:type="dxa" w:w="120"/>
            </w:tcMar>
          </w:tcPr>
          <w:p>
            <w:r>
              <w:rPr>
                <w:rFonts w:ascii="Calibri" w:cs="Calibri" w:eastAsia="Calibri" w:hAnsi="Calibri"/>
                <w:sz w:val="20"/>
                <w:szCs w:val="20"/>
              </w:rPr>
              <w:t xml:space="preserve">Re-scan + closure verification</w:t>
            </w:r>
          </w:p>
        </w:tc>
        <w:tc>
          <w:tcPr>
            <w:tcW w:type="dxa" w:w="3800"/>
            <w:tcMar>
              <w:top w:type="dxa" w:w="100"/>
              <w:left w:type="dxa" w:w="120"/>
              <w:bottom w:type="dxa" w:w="100"/>
              <w:right w:type="dxa" w:w="120"/>
            </w:tcMar>
          </w:tcPr>
          <w:p>
            <w:r>
              <w:rPr>
                <w:rFonts w:ascii="Calibri" w:cs="Calibri" w:eastAsia="Calibri" w:hAnsi="Calibri"/>
                <w:sz w:val="20"/>
                <w:szCs w:val="20"/>
              </w:rPr>
              <w:t xml:space="preserve">Tenable-ServiceNow integration, Nucleus, Rapid7 InsightConnect</w:t>
            </w:r>
          </w:p>
        </w:tc>
      </w:tr>
    </w:tbl>
    <w:p>
      <w:pPr>
        <w:pStyle w:val="Heading1"/>
        <w:spacing w:after="160" w:before="360"/>
      </w:pPr>
      <w:r>
        <w:t xml:space="preserve">7. Practical Recommendation</w:t>
      </w:r>
    </w:p>
    <w:p>
      <w:pPr>
        <w:spacing w:after="160" w:line="276"/>
      </w:pPr>
      <w:r>
        <w:rPr>
          <w:rFonts w:ascii="Calibri" w:cs="Calibri" w:eastAsia="Calibri" w:hAnsi="Calibri"/>
          <w:b/>
          <w:bCs/>
          <w:sz w:val="22"/>
          <w:szCs w:val="22"/>
        </w:rPr>
        <w:t xml:space="preserve">If you are building on the ServiceNow-centric architecture already designed, the fastest path to "off-the-shelf" is: Tenable or Qualys (scanning) + ServiceNow Vulnerability Response + Now Assist (ITSM/GenAI layer) + Ansible Automation Platform (execution) — this reuses everything from the prior architecture rather than replacing it.</w:t>
      </w:r>
    </w:p>
    <w:p>
      <w:pPr>
        <w:spacing w:after="160" w:line="276"/>
      </w:pPr>
      <w:r>
        <w:rPr>
          <w:rFonts w:ascii="Calibri" w:cs="Calibri" w:eastAsia="Calibri" w:hAnsi="Calibri"/>
          <w:sz w:val="22"/>
          <w:szCs w:val="22"/>
        </w:rPr>
        <w:t xml:space="preserve">If you would rather consolidate vendors and accept more platform lock-in, Ivanti Neurons is the single product that claims to do the most of this end-to-end out of the box.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AI-Driven Vulnerability &amp; Patch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2026-07-27T13:13:49.866Z</dcterms:created>
  <dcterms:modified xsi:type="dcterms:W3CDTF">2026-07-27T13:13:49.891Z</dcterms:modified>
</cp:coreProperties>
</file>

<file path=docProps/custom.xml><?xml version="1.0" encoding="utf-8"?>
<Properties xmlns="http://schemas.openxmlformats.org/officeDocument/2006/custom-properties" xmlns:vt="http://schemas.openxmlformats.org/officeDocument/2006/docPropsVTypes"/>
</file>