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40"/>
        <w:jc w:val="center"/>
      </w:pPr>
      <w:r>
        <w:rPr>
          <w:rFonts w:ascii="Calibri" w:cs="Calibri" w:eastAsia="Calibri" w:hAnsi="Calibri"/>
          <w:b/>
          <w:bCs/>
          <w:color w:val="1F3864"/>
          <w:sz w:val="52"/>
          <w:szCs w:val="52"/>
        </w:rPr>
        <w:t xml:space="preserve">Automated Patch Management Solution</w:t>
      </w:r>
    </w:p>
    <w:p>
      <w:pPr>
        <w:spacing w:after="3200"/>
        <w:jc w:val="center"/>
      </w:pPr>
      <w:r>
        <w:rPr>
          <w:rFonts w:ascii="Calibri" w:cs="Calibri" w:eastAsia="Calibri" w:hAnsi="Calibri"/>
          <w:color w:val="2E74B5"/>
          <w:sz w:val="28"/>
          <w:szCs w:val="28"/>
        </w:rPr>
        <w:t xml:space="preserve">Enterprise Architecture — End-to-End Patching with ServiceNow ITSM Integration</w:t>
      </w:r>
    </w:p>
    <w:p>
      <w:pPr>
        <w:jc w:val="center"/>
      </w:pPr>
      <w:r>
        <w:rPr>
          <w:rFonts w:ascii="Calibri" w:cs="Calibri" w:eastAsia="Calibri" w:hAnsi="Calibri"/>
          <w:i/>
          <w:iCs/>
          <w:color w:val="666666"/>
          <w:sz w:val="20"/>
          <w:szCs w:val="20"/>
        </w:rPr>
        <w:t xml:space="preserve">Prepared as a Principal Infrastructure &amp; Cloud Architecture Design</w:t>
      </w:r>
    </w:p>
    <w:p>
      <w:r>
        <w:br w:type="page"/>
      </w:r>
    </w:p>
    <w:p>
      <w:pPr>
        <w:pStyle w:val="Heading1"/>
        <w:spacing w:after="160" w:before="360"/>
      </w:pPr>
      <w:r>
        <w:t xml:space="preserve">1. Executive Summary</w:t>
      </w:r>
    </w:p>
    <w:p>
      <w:pPr>
        <w:spacing w:after="160" w:line="276"/>
      </w:pPr>
      <w:r>
        <w:rPr>
          <w:rFonts w:ascii="Calibri" w:cs="Calibri" w:eastAsia="Calibri" w:hAnsi="Calibri"/>
          <w:sz w:val="22"/>
          <w:szCs w:val="22"/>
        </w:rPr>
        <w:t xml:space="preserve">This document defines an end-to-end automated patching solution covering inventory collection, ServiceNow change submission, patch acquisition, packaging, distribution, deployment, validation, and reporting — with ServiceNow updated at every stage.</w:t>
      </w:r>
    </w:p>
    <w:p>
      <w:pPr>
        <w:spacing w:after="160" w:line="276"/>
      </w:pPr>
      <w:r>
        <w:rPr>
          <w:rFonts w:ascii="Calibri" w:cs="Calibri" w:eastAsia="Calibri" w:hAnsi="Calibri"/>
          <w:sz w:val="22"/>
          <w:szCs w:val="22"/>
        </w:rPr>
        <w:t xml:space="preserve">The design gives special treatment to DMZ / Internet-facing servers, which carry the highest exposure risk. For these systems, Day-0 (critical/zero-day) vendor patches must be fully deployed within 3 calendar days of public release, which requires an expedited change model, pre-staged approvals, and a segmented distribution path that respects DMZ network isolation.</w:t>
      </w:r>
    </w:p>
    <w:p>
      <w:pPr>
        <w:spacing w:after="160" w:line="276"/>
      </w:pPr>
      <w:r>
        <w:rPr>
          <w:rFonts w:ascii="Calibri" w:cs="Calibri" w:eastAsia="Calibri" w:hAnsi="Calibri"/>
          <w:sz w:val="22"/>
          <w:szCs w:val="22"/>
        </w:rPr>
        <w:t xml:space="preserve">The solution is tool-agnostic at the orchestration layer (works with Ansible Automation Platform, Microsoft Configuration Manager/WSUS, Azure Update Manager, or Red Hat Satellite as the underlying patch engine) but is opinionated about workflow, control points, and ServiceNow integration pattern, which is where most patching programs actually fail in practice.</w:t>
      </w:r>
    </w:p>
    <w:p>
      <w:pPr>
        <w:pStyle w:val="Heading1"/>
        <w:spacing w:after="160" w:before="360"/>
      </w:pPr>
      <w:r>
        <w:t xml:space="preserve">2. Current State &amp; Assumptions</w:t>
      </w:r>
    </w:p>
    <w:p>
      <w:pPr>
        <w:spacing w:after="160" w:line="276"/>
      </w:pPr>
      <w:r>
        <w:rPr>
          <w:rFonts w:ascii="Calibri" w:cs="Calibri" w:eastAsia="Calibri" w:hAnsi="Calibri"/>
          <w:sz w:val="22"/>
          <w:szCs w:val="22"/>
        </w:rPr>
        <w:t xml:space="preserve">Since no environment discovery was provided, this design assumes a typical hybrid enterprise estate and calls out where assumptions would need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050"/>
      </w:tblGrid>
      <w:tr>
        <w:trPr>
          <w:tblHeader/>
        </w:trPr>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Area</w:t>
            </w:r>
          </w:p>
        </w:tc>
        <w:tc>
          <w:tcPr>
            <w:tcW w:type="dxa" w:w="4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Assumption</w:t>
            </w:r>
          </w:p>
        </w:tc>
        <w:tc>
          <w:tcPr>
            <w:tcW w:type="dxa" w:w="30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Validate During Discovery</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Estate</w:t>
            </w:r>
          </w:p>
        </w:tc>
        <w:tc>
          <w:tcPr>
            <w:tcW w:type="dxa" w:w="4300"/>
            <w:tcMar>
              <w:top w:type="dxa" w:w="100"/>
              <w:left w:type="dxa" w:w="120"/>
              <w:bottom w:type="dxa" w:w="100"/>
              <w:right w:type="dxa" w:w="120"/>
            </w:tcMar>
          </w:tcPr>
          <w:p>
            <w:r>
              <w:rPr>
                <w:rFonts w:ascii="Calibri" w:cs="Calibri" w:eastAsia="Calibri" w:hAnsi="Calibri"/>
                <w:sz w:val="20"/>
                <w:szCs w:val="20"/>
              </w:rPr>
              <w:t xml:space="preserve">Mixed Windows Server + Linux (RHEL/Ubuntu), on-prem + cloud (Azure/AWS)</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OS mix, count, cloud vs on-prem split</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DMZ</w:t>
            </w:r>
          </w:p>
        </w:tc>
        <w:tc>
          <w:tcPr>
            <w:tcW w:type="dxa" w:w="4300"/>
            <w:tcMar>
              <w:top w:type="dxa" w:w="100"/>
              <w:left w:type="dxa" w:w="120"/>
              <w:bottom w:type="dxa" w:w="100"/>
              <w:right w:type="dxa" w:w="120"/>
            </w:tcMar>
          </w:tcPr>
          <w:p>
            <w:r>
              <w:rPr>
                <w:rFonts w:ascii="Calibri" w:cs="Calibri" w:eastAsia="Calibri" w:hAnsi="Calibri"/>
                <w:sz w:val="20"/>
                <w:szCs w:val="20"/>
              </w:rPr>
              <w:t xml:space="preserve">Physically/logically segmented network, no direct inbound internet management access</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firewall zones, jump host availability</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CMDB</w:t>
            </w:r>
          </w:p>
        </w:tc>
        <w:tc>
          <w:tcPr>
            <w:tcW w:type="dxa" w:w="4300"/>
            <w:tcMar>
              <w:top w:type="dxa" w:w="100"/>
              <w:left w:type="dxa" w:w="120"/>
              <w:bottom w:type="dxa" w:w="100"/>
              <w:right w:type="dxa" w:w="120"/>
            </w:tcMar>
          </w:tcPr>
          <w:p>
            <w:r>
              <w:rPr>
                <w:rFonts w:ascii="Calibri" w:cs="Calibri" w:eastAsia="Calibri" w:hAnsi="Calibri"/>
                <w:sz w:val="20"/>
                <w:szCs w:val="20"/>
              </w:rPr>
              <w:t xml:space="preserve">ServiceNow CMDB exists but may be incomplete/stale</w:t>
            </w:r>
          </w:p>
        </w:tc>
        <w:tc>
          <w:tcPr>
            <w:tcW w:type="dxa" w:w="3050"/>
            <w:tcMar>
              <w:top w:type="dxa" w:w="100"/>
              <w:left w:type="dxa" w:w="120"/>
              <w:bottom w:type="dxa" w:w="100"/>
              <w:right w:type="dxa" w:w="120"/>
            </w:tcMar>
          </w:tcPr>
          <w:p>
            <w:r>
              <w:rPr>
                <w:rFonts w:ascii="Calibri" w:cs="Calibri" w:eastAsia="Calibri" w:hAnsi="Calibri"/>
                <w:sz w:val="20"/>
                <w:szCs w:val="20"/>
              </w:rPr>
              <w:t xml:space="preserve">Data quality audit required before go-live</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Change process</w:t>
            </w:r>
          </w:p>
        </w:tc>
        <w:tc>
          <w:tcPr>
            <w:tcW w:type="dxa" w:w="4300"/>
            <w:tcMar>
              <w:top w:type="dxa" w:w="100"/>
              <w:left w:type="dxa" w:w="120"/>
              <w:bottom w:type="dxa" w:w="100"/>
              <w:right w:type="dxa" w:w="120"/>
            </w:tcMar>
          </w:tcPr>
          <w:p>
            <w:r>
              <w:rPr>
                <w:rFonts w:ascii="Calibri" w:cs="Calibri" w:eastAsia="Calibri" w:hAnsi="Calibri"/>
                <w:sz w:val="20"/>
                <w:szCs w:val="20"/>
              </w:rPr>
              <w:t xml:space="preserve">Standard/Normal/Emergency change types exist in ServiceNow</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current change model, approval matrix</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Patch sources</w:t>
            </w:r>
          </w:p>
        </w:tc>
        <w:tc>
          <w:tcPr>
            <w:tcW w:type="dxa" w:w="4300"/>
            <w:tcMar>
              <w:top w:type="dxa" w:w="100"/>
              <w:left w:type="dxa" w:w="120"/>
              <w:bottom w:type="dxa" w:w="100"/>
              <w:right w:type="dxa" w:w="120"/>
            </w:tcMar>
          </w:tcPr>
          <w:p>
            <w:r>
              <w:rPr>
                <w:rFonts w:ascii="Calibri" w:cs="Calibri" w:eastAsia="Calibri" w:hAnsi="Calibri"/>
                <w:sz w:val="20"/>
                <w:szCs w:val="20"/>
              </w:rPr>
              <w:t xml:space="preserve">Microsoft WSUS/Windows Update, vendor repos (Red Hat Satellite, apt), third-party</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which sources are in scope</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Maintenance windows</w:t>
            </w:r>
          </w:p>
        </w:tc>
        <w:tc>
          <w:tcPr>
            <w:tcW w:type="dxa" w:w="4300"/>
            <w:tcMar>
              <w:top w:type="dxa" w:w="100"/>
              <w:left w:type="dxa" w:w="120"/>
              <w:bottom w:type="dxa" w:w="100"/>
              <w:right w:type="dxa" w:w="120"/>
            </w:tcMar>
          </w:tcPr>
          <w:p>
            <w:r>
              <w:rPr>
                <w:rFonts w:ascii="Calibri" w:cs="Calibri" w:eastAsia="Calibri" w:hAnsi="Calibri"/>
                <w:sz w:val="20"/>
                <w:szCs w:val="20"/>
              </w:rPr>
              <w:t xml:space="preserve">Defined per environment/business unit</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windows, blackout periods</w:t>
            </w:r>
          </w:p>
        </w:tc>
      </w:tr>
      <w:tr>
        <w:tc>
          <w:tcPr>
            <w:tcW w:type="dxa" w:w="2000"/>
            <w:tcMar>
              <w:top w:type="dxa" w:w="100"/>
              <w:left w:type="dxa" w:w="120"/>
              <w:bottom w:type="dxa" w:w="100"/>
              <w:right w:type="dxa" w:w="120"/>
            </w:tcMar>
          </w:tcPr>
          <w:p>
            <w:r>
              <w:rPr>
                <w:rFonts w:ascii="Calibri" w:cs="Calibri" w:eastAsia="Calibri" w:hAnsi="Calibri"/>
                <w:sz w:val="20"/>
                <w:szCs w:val="20"/>
              </w:rPr>
              <w:t xml:space="preserve">Credentials</w:t>
            </w:r>
          </w:p>
        </w:tc>
        <w:tc>
          <w:tcPr>
            <w:tcW w:type="dxa" w:w="4300"/>
            <w:tcMar>
              <w:top w:type="dxa" w:w="100"/>
              <w:left w:type="dxa" w:w="120"/>
              <w:bottom w:type="dxa" w:w="100"/>
              <w:right w:type="dxa" w:w="120"/>
            </w:tcMar>
          </w:tcPr>
          <w:p>
            <w:r>
              <w:rPr>
                <w:rFonts w:ascii="Calibri" w:cs="Calibri" w:eastAsia="Calibri" w:hAnsi="Calibri"/>
                <w:sz w:val="20"/>
                <w:szCs w:val="20"/>
              </w:rPr>
              <w:t xml:space="preserve">Centralized secrets vault available (CyberArk/Azure Key Vault/HashiCorp Vault)</w:t>
            </w:r>
          </w:p>
        </w:tc>
        <w:tc>
          <w:tcPr>
            <w:tcW w:type="dxa" w:w="3050"/>
            <w:tcMar>
              <w:top w:type="dxa" w:w="100"/>
              <w:left w:type="dxa" w:w="120"/>
              <w:bottom w:type="dxa" w:w="100"/>
              <w:right w:type="dxa" w:w="120"/>
            </w:tcMar>
          </w:tcPr>
          <w:p>
            <w:r>
              <w:rPr>
                <w:rFonts w:ascii="Calibri" w:cs="Calibri" w:eastAsia="Calibri" w:hAnsi="Calibri"/>
                <w:sz w:val="20"/>
                <w:szCs w:val="20"/>
              </w:rPr>
              <w:t xml:space="preserve">Confirm vaulting solution in place</w:t>
            </w:r>
          </w:p>
        </w:tc>
      </w:tr>
    </w:tbl>
    <w:p>
      <w:pPr>
        <w:pStyle w:val="Heading1"/>
        <w:spacing w:after="160" w:before="360"/>
      </w:pPr>
      <w:r>
        <w:t xml:space="preserve">3. Recommended Architecture</w:t>
      </w:r>
    </w:p>
    <w:p>
      <w:pPr>
        <w:pStyle w:val="Heading2"/>
        <w:spacing w:after="120" w:before="280"/>
      </w:pPr>
      <w:r>
        <w:t xml:space="preserve">3.1 High-Level Component View</w:t>
      </w:r>
    </w:p>
    <w:p>
      <w:pPr>
        <w:spacing w:after="160" w:line="276"/>
      </w:pPr>
      <w:r>
        <w:rPr>
          <w:rFonts w:ascii="Calibri" w:cs="Calibri" w:eastAsia="Calibri" w:hAnsi="Calibri"/>
          <w:sz w:val="22"/>
          <w:szCs w:val="22"/>
        </w:rPr>
        <w:t xml:space="preserve">The architecture separates three planes: ServiceNow (system of record), the Patch Orchestration Layer (does the work), and the network zones being patched (Trusted internal zone and DMZ).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ServiceNow ITSM  &lt;-- CMDB / Change Mgmt / Reporting --&gt;</w:t>
            </w:r>
          </w:p>
          <w:p>
            <w:pPr>
              <w:spacing w:after="40"/>
            </w:pPr>
            <w:r>
              <w:rPr>
                <w:rFonts w:ascii="Consolas" w:cs="Consolas" w:eastAsia="Consolas" w:hAnsi="Consolas"/>
                <w:color w:val="2B3A55"/>
                <w:sz w:val="19"/>
                <w:szCs w:val="19"/>
              </w:rPr>
              <w:t xml:space="preserve">        ^                                     |</w:t>
            </w:r>
          </w:p>
          <w:p>
            <w:pPr>
              <w:spacing w:after="40"/>
            </w:pPr>
            <w:r>
              <w:rPr>
                <w:rFonts w:ascii="Consolas" w:cs="Consolas" w:eastAsia="Consolas" w:hAnsi="Consolas"/>
                <w:color w:val="2B3A55"/>
                <w:sz w:val="19"/>
                <w:szCs w:val="19"/>
              </w:rPr>
              <w:t xml:space="preserve">        | CI + compliance data                | Change status updates</w:t>
            </w:r>
          </w:p>
          <w:p>
            <w:pPr>
              <w:spacing w:after="40"/>
            </w:pPr>
            <w:r>
              <w:rPr>
                <w:rFonts w:ascii="Consolas" w:cs="Consolas" w:eastAsia="Consolas" w:hAnsi="Consolas"/>
                <w:color w:val="2B3A55"/>
                <w:sz w:val="19"/>
                <w:szCs w:val="19"/>
              </w:rPr>
              <w:t xml:space="preserve">        |                                     v</w:t>
            </w:r>
          </w:p>
          <w:p>
            <w:pPr>
              <w:spacing w:after="40"/>
            </w:pPr>
            <w:r>
              <w:rPr>
                <w:rFonts w:ascii="Consolas" w:cs="Consolas" w:eastAsia="Consolas" w:hAnsi="Consolas"/>
                <w:color w:val="2B3A55"/>
                <w:sz w:val="19"/>
                <w:szCs w:val="19"/>
              </w:rPr>
              <w:t xml:space="preserve">Inventory Collector -&gt; Scheduler -&gt; Change Request (auto-created)</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(Approved)</w:t>
            </w:r>
          </w:p>
          <w:p>
            <w:pPr>
              <w:spacing w:after="40"/>
            </w:pPr>
            <w:r>
              <w:rPr>
                <w:rFonts w:ascii="Consolas" w:cs="Consolas" w:eastAsia="Consolas" w:hAnsi="Consolas"/>
                <w:color w:val="2B3A55"/>
                <w:sz w:val="19"/>
                <w:szCs w:val="19"/>
              </w:rPr>
              <w:t xml:space="preserve">                                          v</w:t>
            </w:r>
          </w:p>
          <w:p>
            <w:pPr>
              <w:spacing w:after="40"/>
            </w:pPr>
            <w:r>
              <w:rPr>
                <w:rFonts w:ascii="Consolas" w:cs="Consolas" w:eastAsia="Consolas" w:hAnsi="Consolas"/>
                <w:color w:val="2B3A55"/>
                <w:sz w:val="19"/>
                <w:szCs w:val="19"/>
              </w:rPr>
              <w:t xml:space="preserve">        Patch Download &lt;- MS WSUS / Linux Repos / 3rd-Party Vendors</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Package Builder</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Staging Repository (Trusted Zone)</w:t>
            </w:r>
          </w:p>
          <w:p>
            <w:pPr>
              <w:spacing w:after="40"/>
            </w:pPr>
            <w:r>
              <w:rPr>
                <w:rFonts w:ascii="Consolas" w:cs="Consolas" w:eastAsia="Consolas" w:hAnsi="Consolas"/>
                <w:color w:val="2B3A55"/>
                <w:sz w:val="19"/>
                <w:szCs w:val="19"/>
              </w:rPr>
              <w:t xml:space="preserve">            /                \</w:t>
            </w:r>
          </w:p>
          <w:p>
            <w:pPr>
              <w:spacing w:after="40"/>
            </w:pPr>
            <w:r>
              <w:rPr>
                <w:rFonts w:ascii="Consolas" w:cs="Consolas" w:eastAsia="Consolas" w:hAnsi="Consolas"/>
                <w:color w:val="2B3A55"/>
                <w:sz w:val="19"/>
                <w:szCs w:val="19"/>
              </w:rPr>
              <w:t xml:space="preserve">   Trusted Zone Servers      Jump Server (one-way push)</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DMZ Patch Relay</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DMZ / Internet-Facing Servers</w:t>
            </w:r>
          </w:p>
          <w:p>
            <w:pPr>
              <w:spacing w:after="40"/>
            </w:pPr>
            <w:r>
              <w:rPr>
                <w:rFonts w:ascii="Consolas" w:cs="Consolas" w:eastAsia="Consolas" w:hAnsi="Consolas"/>
                <w:color w:val="2B3A55"/>
                <w:sz w:val="19"/>
                <w:szCs w:val="19"/>
              </w:rPr>
              <w:t xml:space="preserve">                |                                |</w:t>
            </w:r>
          </w:p>
          <w:p>
            <w:pPr>
              <w:spacing w:after="40"/>
            </w:pPr>
            <w:r>
              <w:rPr>
                <w:rFonts w:ascii="Consolas" w:cs="Consolas" w:eastAsia="Consolas" w:hAnsi="Consolas"/>
                <w:color w:val="2B3A55"/>
                <w:sz w:val="19"/>
                <w:szCs w:val="19"/>
              </w:rPr>
              <w:t xml:space="preserve">         Deployment Engine &lt;---------------------+</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Validation / Confirmation</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Report Generator ---&gt; ServiceNow (attach + close Change)</w:t>
            </w:r>
          </w:p>
        </w:tc>
      </w:tr>
    </w:tbl>
    <w:p>
      <w:pPr>
        <w:pStyle w:val="Heading2"/>
        <w:spacing w:after="120" w:before="280"/>
      </w:pPr>
      <w:r>
        <w:t xml:space="preserve">3.2 Why This Shape</w:t>
      </w:r>
    </w:p>
    <w:p>
      <w:pPr>
        <w:pStyle w:val="ListParagraph"/>
        <w:numPr>
          <w:ilvl w:val="0"/>
          <w:numId w:val="2"/>
        </w:numPr>
        <w:spacing w:after="80"/>
      </w:pPr>
      <w:r>
        <w:rPr>
          <w:rFonts w:ascii="Calibri" w:cs="Calibri" w:eastAsia="Calibri" w:hAnsi="Calibri"/>
          <w:sz w:val="22"/>
          <w:szCs w:val="22"/>
        </w:rPr>
        <w:t xml:space="preserve">ServiceNow is the system of record for approval and status, never the execution engine. The orchestration layer (Ansible/SCCM/Azure Update Manager) does the actual work and reports state back via REST API. This avoids turning ServiceNow into a fragile execution engine and keeps the audit trail clean.</w:t>
      </w:r>
    </w:p>
    <w:p>
      <w:pPr>
        <w:pStyle w:val="ListParagraph"/>
        <w:numPr>
          <w:ilvl w:val="0"/>
          <w:numId w:val="2"/>
        </w:numPr>
        <w:spacing w:after="80"/>
      </w:pPr>
      <w:r>
        <w:rPr>
          <w:rFonts w:ascii="Calibri" w:cs="Calibri" w:eastAsia="Calibri" w:hAnsi="Calibri"/>
          <w:sz w:val="22"/>
          <w:szCs w:val="22"/>
        </w:rPr>
        <w:t xml:space="preserve">DMZ never initiates a pull from the trusted zone or the internet directly. A DMZ patch relay receives packages via a one-way, firewall-brokered push from a jump server in the trusted zone. This preserves the "no direct internet access from DMZ management plane" control that most security teams mandate.</w:t>
      </w:r>
    </w:p>
    <w:p>
      <w:pPr>
        <w:pStyle w:val="ListParagraph"/>
        <w:numPr>
          <w:ilvl w:val="0"/>
          <w:numId w:val="2"/>
        </w:numPr>
        <w:spacing w:after="80"/>
      </w:pPr>
      <w:r>
        <w:rPr>
          <w:rFonts w:ascii="Calibri" w:cs="Calibri" w:eastAsia="Calibri" w:hAnsi="Calibri"/>
          <w:sz w:val="22"/>
          <w:szCs w:val="22"/>
        </w:rPr>
        <w:t xml:space="preserve">Inventory drives everything. You cannot patch, scope a change, or report accurately without accurate CI-level inventory reconciled against CMDB first.</w:t>
      </w:r>
    </w:p>
    <w:p>
      <w:pPr>
        <w:pStyle w:val="Heading1"/>
        <w:spacing w:after="160" w:before="360"/>
      </w:pPr>
      <w:r>
        <w:t xml:space="preserve">4. End-to-End Workflow</w:t>
      </w:r>
    </w:p>
    <w:p>
      <w:pPr>
        <w:spacing w:after="160" w:line="276"/>
      </w:pPr>
      <w:r>
        <w:rPr>
          <w:rFonts w:ascii="Calibri" w:cs="Calibri" w:eastAsia="Calibri" w:hAnsi="Calibri"/>
          <w:sz w:val="22"/>
          <w:szCs w:val="22"/>
        </w:rPr>
        <w:t xml:space="preserve">The sequence below shows how a patch moves from vendor release through to ServiceNow change closure: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1. Orchestration -&gt; Collect/refresh inventory -&gt; ServiceNow CMDB</w:t>
            </w:r>
          </w:p>
          <w:p>
            <w:pPr>
              <w:spacing w:after="40"/>
            </w:pPr>
            <w:r>
              <w:rPr>
                <w:rFonts w:ascii="Consolas" w:cs="Consolas" w:eastAsia="Consolas" w:hAnsi="Consolas"/>
                <w:color w:val="2B3A55"/>
                <w:sz w:val="19"/>
                <w:szCs w:val="19"/>
              </w:rPr>
              <w:t xml:space="preserve">2. Orchestration -&gt; Auto-create Change Request -&gt; ServiceNow Change</w:t>
            </w:r>
          </w:p>
          <w:p>
            <w:pPr>
              <w:spacing w:after="40"/>
            </w:pPr>
            <w:r>
              <w:rPr>
                <w:rFonts w:ascii="Consolas" w:cs="Consolas" w:eastAsia="Consolas" w:hAnsi="Consolas"/>
                <w:color w:val="2B3A55"/>
                <w:sz w:val="19"/>
                <w:szCs w:val="19"/>
              </w:rPr>
              <w:t xml:space="preserve">   (Change approved / pre-approved template applied)</w:t>
            </w:r>
          </w:p>
          <w:p>
            <w:pPr>
              <w:spacing w:after="40"/>
            </w:pPr>
            <w:r>
              <w:rPr>
                <w:rFonts w:ascii="Consolas" w:cs="Consolas" w:eastAsia="Consolas" w:hAnsi="Consolas"/>
                <w:color w:val="2B3A55"/>
                <w:sz w:val="19"/>
                <w:szCs w:val="19"/>
              </w:rPr>
              <w:t xml:space="preserve">3. Vendor publishes new patch/advisory -&gt; Orchestration classifies severity</w:t>
            </w:r>
          </w:p>
          <w:p>
            <w:pPr>
              <w:spacing w:after="40"/>
            </w:pPr>
            <w:r>
              <w:rPr>
                <w:rFonts w:ascii="Consolas" w:cs="Consolas" w:eastAsia="Consolas" w:hAnsi="Consolas"/>
                <w:color w:val="2B3A55"/>
                <w:sz w:val="19"/>
                <w:szCs w:val="19"/>
              </w:rPr>
              <w:t xml:space="preserve">4. Orchestration downloads patch (checksum + signature verified)</w:t>
            </w:r>
          </w:p>
          <w:p>
            <w:pPr>
              <w:spacing w:after="40"/>
            </w:pPr>
            <w:r>
              <w:rPr>
                <w:rFonts w:ascii="Consolas" w:cs="Consolas" w:eastAsia="Consolas" w:hAnsi="Consolas"/>
                <w:color w:val="2B3A55"/>
                <w:sz w:val="19"/>
                <w:szCs w:val="19"/>
              </w:rPr>
              <w:t xml:space="preserve">5. Orchestration builds package (bundle + rollback script) -&gt; Staging Repo</w:t>
            </w:r>
          </w:p>
          <w:p>
            <w:pPr>
              <w:spacing w:after="40"/>
            </w:pPr>
            <w:r>
              <w:rPr>
                <w:rFonts w:ascii="Consolas" w:cs="Consolas" w:eastAsia="Consolas" w:hAnsi="Consolas"/>
                <w:color w:val="2B3A55"/>
                <w:sz w:val="19"/>
                <w:szCs w:val="19"/>
              </w:rPr>
              <w:t xml:space="preserve">6. Staging Repo -&gt; copies to DMZ Relay (one-way) AND Internal Targets</w:t>
            </w:r>
          </w:p>
          <w:p>
            <w:pPr>
              <w:spacing w:after="40"/>
            </w:pPr>
            <w:r>
              <w:rPr>
                <w:rFonts w:ascii="Consolas" w:cs="Consolas" w:eastAsia="Consolas" w:hAnsi="Consolas"/>
                <w:color w:val="2B3A55"/>
                <w:sz w:val="19"/>
                <w:szCs w:val="19"/>
              </w:rPr>
              <w:t xml:space="preserve">7. Orchestration deploys: Pilot ring -&gt; Prod ring -&gt; DMZ/Internet-facing ring</w:t>
            </w:r>
          </w:p>
          <w:p>
            <w:pPr>
              <w:spacing w:after="40"/>
            </w:pPr>
            <w:r>
              <w:rPr>
                <w:rFonts w:ascii="Consolas" w:cs="Consolas" w:eastAsia="Consolas" w:hAnsi="Consolas"/>
                <w:color w:val="2B3A55"/>
                <w:sz w:val="19"/>
                <w:szCs w:val="19"/>
              </w:rPr>
              <w:t xml:space="preserve">8. Target servers confirm: patch applied, reboot done, services healthy</w:t>
            </w:r>
          </w:p>
          <w:p>
            <w:pPr>
              <w:spacing w:after="40"/>
            </w:pPr>
            <w:r>
              <w:rPr>
                <w:rFonts w:ascii="Consolas" w:cs="Consolas" w:eastAsia="Consolas" w:hAnsi="Consolas"/>
                <w:color w:val="2B3A55"/>
                <w:sz w:val="19"/>
                <w:szCs w:val="19"/>
              </w:rPr>
              <w:t xml:space="preserve">9. Orchestration generates compliance report</w:t>
            </w:r>
          </w:p>
          <w:p>
            <w:pPr>
              <w:spacing w:after="40"/>
            </w:pPr>
            <w:r>
              <w:rPr>
                <w:rFonts w:ascii="Consolas" w:cs="Consolas" w:eastAsia="Consolas" w:hAnsi="Consolas"/>
                <w:color w:val="2B3A55"/>
                <w:sz w:val="19"/>
                <w:szCs w:val="19"/>
              </w:rPr>
              <w:t xml:space="preserve">10. Orchestration updates ServiceNow Change with per-CI status + report</w:t>
            </w:r>
          </w:p>
          <w:p>
            <w:pPr>
              <w:spacing w:after="40"/>
            </w:pPr>
            <w:r>
              <w:rPr>
                <w:rFonts w:ascii="Consolas" w:cs="Consolas" w:eastAsia="Consolas" w:hAnsi="Consolas"/>
                <w:color w:val="2B3A55"/>
                <w:sz w:val="19"/>
                <w:szCs w:val="19"/>
              </w:rPr>
              <w:t xml:space="preserve">    -&gt; Auto-close if 100% success, else flag exceptions</w:t>
            </w:r>
          </w:p>
        </w:tc>
      </w:tr>
    </w:tbl>
    <w:p>
      <w:pPr>
        <w:pStyle w:val="Heading2"/>
        <w:spacing w:after="120" w:before="280"/>
      </w:pPr>
      <w:r>
        <w:t xml:space="preserve">4.1 Step-by-Step Detail</w:t>
      </w:r>
    </w:p>
    <w:p>
      <w:pPr>
        <w:pStyle w:val="Heading3"/>
        <w:spacing w:after="100" w:before="200"/>
      </w:pPr>
      <w:r>
        <w:t xml:space="preserve">Step 1 — Inventory Collection</w:t>
      </w:r>
    </w:p>
    <w:p>
      <w:pPr>
        <w:pStyle w:val="ListParagraph"/>
        <w:numPr>
          <w:ilvl w:val="0"/>
          <w:numId w:val="2"/>
        </w:numPr>
        <w:spacing w:after="80"/>
      </w:pPr>
      <w:r>
        <w:rPr>
          <w:rFonts w:ascii="Calibri" w:cs="Calibri" w:eastAsia="Calibri" w:hAnsi="Calibri"/>
          <w:sz w:val="22"/>
          <w:szCs w:val="22"/>
        </w:rPr>
        <w:t xml:space="preserve">Agent-based (SCCM client / Ansible facts / Azure Arc agent) or agentless (WinRM/SSH scan) sweep, scheduled daily and on-demand before every patch cycle.</w:t>
      </w:r>
    </w:p>
    <w:p>
      <w:pPr>
        <w:pStyle w:val="ListParagraph"/>
        <w:numPr>
          <w:ilvl w:val="0"/>
          <w:numId w:val="2"/>
        </w:numPr>
        <w:spacing w:after="80"/>
      </w:pPr>
      <w:r>
        <w:rPr>
          <w:rFonts w:ascii="Calibri" w:cs="Calibri" w:eastAsia="Calibri" w:hAnsi="Calibri"/>
          <w:sz w:val="22"/>
          <w:szCs w:val="22"/>
        </w:rPr>
        <w:t xml:space="preserve">Reconciles discovered CIs against ServiceNow CMDB; flags drift (unmanaged/rogue servers) as a separate exception queue.</w:t>
      </w:r>
    </w:p>
    <w:p>
      <w:pPr>
        <w:pStyle w:val="ListParagraph"/>
        <w:numPr>
          <w:ilvl w:val="0"/>
          <w:numId w:val="2"/>
        </w:numPr>
        <w:spacing w:after="80"/>
      </w:pPr>
      <w:r>
        <w:rPr>
          <w:rFonts w:ascii="Calibri" w:cs="Calibri" w:eastAsia="Calibri" w:hAnsi="Calibri"/>
          <w:sz w:val="22"/>
          <w:szCs w:val="22"/>
        </w:rPr>
        <w:t xml:space="preserve">Tags every CI with network_zone (DMZ / Internal / Cloud) and internet_facing = true/false — this attribute drives the entire SLA logic downstream.</w:t>
      </w:r>
    </w:p>
    <w:p>
      <w:pPr>
        <w:pStyle w:val="ListParagraph"/>
        <w:numPr>
          <w:ilvl w:val="0"/>
          <w:numId w:val="2"/>
        </w:numPr>
        <w:spacing w:after="80"/>
      </w:pPr>
      <w:r>
        <w:rPr>
          <w:rFonts w:ascii="Calibri" w:cs="Calibri" w:eastAsia="Calibri" w:hAnsi="Calibri"/>
          <w:sz w:val="22"/>
          <w:szCs w:val="22"/>
        </w:rPr>
        <w:t xml:space="preserve">Captures current patch level, OS build, reboot-pending state.</w:t>
      </w:r>
    </w:p>
    <w:p>
      <w:pPr>
        <w:pStyle w:val="Heading3"/>
        <w:spacing w:after="100" w:before="200"/>
      </w:pPr>
      <w:r>
        <w:t xml:space="preserve">Step 2 — ServiceNow Change Submission</w:t>
      </w:r>
    </w:p>
    <w:p>
      <w:pPr>
        <w:pStyle w:val="ListParagraph"/>
        <w:numPr>
          <w:ilvl w:val="0"/>
          <w:numId w:val="2"/>
        </w:numPr>
        <w:spacing w:after="80"/>
      </w:pPr>
      <w:r>
        <w:rPr>
          <w:rFonts w:ascii="Calibri" w:cs="Calibri" w:eastAsia="Calibri" w:hAnsi="Calibri"/>
          <w:sz w:val="22"/>
          <w:szCs w:val="22"/>
        </w:rPr>
        <w:t xml:space="preserve">Orchestration platform calls the ServiceNow Table API / Flow Designer action to auto-create a Change Request per patch cycle, pre-populated with affected CI list, patch/KB details, CVE references, severity, proposed maintenance window, and an auto-scored risk assessment (Internet-facing = higher risk weight).</w:t>
      </w:r>
    </w:p>
    <w:p>
      <w:pPr>
        <w:pStyle w:val="ListParagraph"/>
        <w:numPr>
          <w:ilvl w:val="0"/>
          <w:numId w:val="2"/>
        </w:numPr>
        <w:spacing w:after="80"/>
      </w:pPr>
      <w:r>
        <w:rPr>
          <w:rFonts w:ascii="Calibri" w:cs="Calibri" w:eastAsia="Calibri" w:hAnsi="Calibri"/>
          <w:sz w:val="22"/>
          <w:szCs w:val="22"/>
        </w:rPr>
        <w:t xml:space="preserve">The change model varies by patch class (see Section 4.2) — this is the key control that makes the 3-day DMZ SLA achievable without breaking governance.</w:t>
      </w:r>
    </w:p>
    <w:p>
      <w:pPr>
        <w:pStyle w:val="Heading3"/>
        <w:spacing w:after="100" w:before="200"/>
      </w:pPr>
      <w:r>
        <w:t xml:space="preserve">Steps 3–5 — Download &amp; Package</w:t>
      </w:r>
    </w:p>
    <w:p>
      <w:pPr>
        <w:pStyle w:val="ListParagraph"/>
        <w:numPr>
          <w:ilvl w:val="0"/>
          <w:numId w:val="2"/>
        </w:numPr>
        <w:spacing w:after="80"/>
      </w:pPr>
      <w:r>
        <w:rPr>
          <w:rFonts w:ascii="Calibri" w:cs="Calibri" w:eastAsia="Calibri" w:hAnsi="Calibri"/>
          <w:sz w:val="22"/>
          <w:szCs w:val="22"/>
        </w:rPr>
        <w:t xml:space="preserve">Download from authoritative source only (WSUS upstream sync, Red Hat Satellite sync, vendor-signed feeds).</w:t>
      </w:r>
    </w:p>
    <w:p>
      <w:pPr>
        <w:pStyle w:val="ListParagraph"/>
        <w:numPr>
          <w:ilvl w:val="0"/>
          <w:numId w:val="2"/>
        </w:numPr>
        <w:spacing w:after="80"/>
      </w:pPr>
      <w:r>
        <w:rPr>
          <w:rFonts w:ascii="Calibri" w:cs="Calibri" w:eastAsia="Calibri" w:hAnsi="Calibri"/>
          <w:sz w:val="22"/>
          <w:szCs w:val="22"/>
        </w:rPr>
        <w:t xml:space="preserve">Verify checksum/digital signature before use — never deploy an unverified binary.</w:t>
      </w:r>
    </w:p>
    <w:p>
      <w:pPr>
        <w:pStyle w:val="ListParagraph"/>
        <w:numPr>
          <w:ilvl w:val="0"/>
          <w:numId w:val="2"/>
        </w:numPr>
        <w:spacing w:after="80"/>
      </w:pPr>
      <w:r>
        <w:rPr>
          <w:rFonts w:ascii="Calibri" w:cs="Calibri" w:eastAsia="Calibri" w:hAnsi="Calibri"/>
          <w:sz w:val="22"/>
          <w:szCs w:val="22"/>
        </w:rPr>
        <w:t xml:space="preserve">Build a deployment package containing: the patch, a pre-check script, the install command, a post-check/validation script, and an automated rollback script.</w:t>
      </w:r>
    </w:p>
    <w:p>
      <w:pPr>
        <w:pStyle w:val="ListParagraph"/>
        <w:numPr>
          <w:ilvl w:val="0"/>
          <w:numId w:val="2"/>
        </w:numPr>
        <w:spacing w:after="80"/>
      </w:pPr>
      <w:r>
        <w:rPr>
          <w:rFonts w:ascii="Calibri" w:cs="Calibri" w:eastAsia="Calibri" w:hAnsi="Calibri"/>
          <w:sz w:val="22"/>
          <w:szCs w:val="22"/>
        </w:rPr>
        <w:t xml:space="preserve">Package versioning and immutability: every package gets a unique ID logged against the Change Request.</w:t>
      </w:r>
    </w:p>
    <w:p>
      <w:pPr>
        <w:pStyle w:val="Heading3"/>
        <w:spacing w:after="100" w:before="200"/>
      </w:pPr>
      <w:r>
        <w:t xml:space="preserve">Step 6 — Copy to Target / DMZ Relay</w:t>
      </w:r>
    </w:p>
    <w:p>
      <w:pPr>
        <w:pStyle w:val="ListParagraph"/>
        <w:numPr>
          <w:ilvl w:val="0"/>
          <w:numId w:val="2"/>
        </w:numPr>
        <w:spacing w:after="80"/>
      </w:pPr>
      <w:r>
        <w:rPr>
          <w:rFonts w:ascii="Calibri" w:cs="Calibri" w:eastAsia="Calibri" w:hAnsi="Calibri"/>
          <w:sz w:val="22"/>
          <w:szCs w:val="22"/>
        </w:rPr>
        <w:t xml:space="preserve">Internal servers: package pulled from staging repo over the standard management VLAN.</w:t>
      </w:r>
    </w:p>
    <w:p>
      <w:pPr>
        <w:pStyle w:val="ListParagraph"/>
        <w:numPr>
          <w:ilvl w:val="0"/>
          <w:numId w:val="2"/>
        </w:numPr>
        <w:spacing w:after="80"/>
      </w:pPr>
      <w:r>
        <w:rPr>
          <w:rFonts w:ascii="Calibri" w:cs="Calibri" w:eastAsia="Calibri" w:hAnsi="Calibri"/>
          <w:sz w:val="22"/>
          <w:szCs w:val="22"/>
        </w:rPr>
        <w:t xml:space="preserve">DMZ servers: package pushed by a jump server across a tightly scoped firewall rule (single port, single direction, source/destination IP restricted) to a DMZ-resident relay/staging node. DMZ servers then pull locally from the relay — they never reach out to the internet or the internal trusted zone directly.</w:t>
      </w:r>
    </w:p>
    <w:p>
      <w:pPr>
        <w:pStyle w:val="Heading3"/>
        <w:spacing w:after="100" w:before="200"/>
      </w:pPr>
      <w:r>
        <w:t xml:space="preserve">Step 7 — Deploy</w:t>
      </w:r>
    </w:p>
    <w:p>
      <w:pPr>
        <w:pStyle w:val="ListParagraph"/>
        <w:numPr>
          <w:ilvl w:val="0"/>
          <w:numId w:val="2"/>
        </w:numPr>
        <w:spacing w:after="80"/>
      </w:pPr>
      <w:r>
        <w:rPr>
          <w:rFonts w:ascii="Calibri" w:cs="Calibri" w:eastAsia="Calibri" w:hAnsi="Calibri"/>
          <w:sz w:val="22"/>
          <w:szCs w:val="22"/>
        </w:rPr>
        <w:t xml:space="preserve">Ring-based rollout: Pilot/Canary → Non-Prod → Prod (non-DMZ) → DMZ/Internet-facing (or DMZ first if the vulnerability is actively exploited — decide per advisory).</w:t>
      </w:r>
    </w:p>
    <w:p>
      <w:pPr>
        <w:pStyle w:val="ListParagraph"/>
        <w:numPr>
          <w:ilvl w:val="0"/>
          <w:numId w:val="2"/>
        </w:numPr>
        <w:spacing w:after="80"/>
      </w:pPr>
      <w:r>
        <w:rPr>
          <w:rFonts w:ascii="Calibri" w:cs="Calibri" w:eastAsia="Calibri" w:hAnsi="Calibri"/>
          <w:sz w:val="22"/>
          <w:szCs w:val="22"/>
        </w:rPr>
        <w:t xml:space="preserve">Pre-checks (disk space, pending reboot, dependent service state) run automatically; deployment aborts and flags exception if pre-checks fail.</w:t>
      </w:r>
    </w:p>
    <w:p>
      <w:pPr>
        <w:pStyle w:val="ListParagraph"/>
        <w:numPr>
          <w:ilvl w:val="0"/>
          <w:numId w:val="2"/>
        </w:numPr>
        <w:spacing w:after="80"/>
      </w:pPr>
      <w:r>
        <w:rPr>
          <w:rFonts w:ascii="Calibri" w:cs="Calibri" w:eastAsia="Calibri" w:hAnsi="Calibri"/>
          <w:sz w:val="22"/>
          <w:szCs w:val="22"/>
        </w:rPr>
        <w:t xml:space="preserve">Maintenance-window aware: deployment engine only executes within the approved window from the Change Request.</w:t>
      </w:r>
    </w:p>
    <w:p>
      <w:pPr>
        <w:pStyle w:val="Heading3"/>
        <w:spacing w:after="100" w:before="200"/>
      </w:pPr>
      <w:r>
        <w:t xml:space="preserve">Step 8 — Confirm</w:t>
      </w:r>
    </w:p>
    <w:p>
      <w:pPr>
        <w:pStyle w:val="ListParagraph"/>
        <w:numPr>
          <w:ilvl w:val="0"/>
          <w:numId w:val="2"/>
        </w:numPr>
        <w:spacing w:after="80"/>
      </w:pPr>
      <w:r>
        <w:rPr>
          <w:rFonts w:ascii="Calibri" w:cs="Calibri" w:eastAsia="Calibri" w:hAnsi="Calibri"/>
          <w:sz w:val="22"/>
          <w:szCs w:val="22"/>
        </w:rPr>
        <w:t xml:space="preserve">Post-deployment validation: patch/KB presence check, service health check, application smoke test (where defined), reboot confirmation.</w:t>
      </w:r>
    </w:p>
    <w:p>
      <w:pPr>
        <w:pStyle w:val="ListParagraph"/>
        <w:numPr>
          <w:ilvl w:val="0"/>
          <w:numId w:val="2"/>
        </w:numPr>
        <w:spacing w:after="80"/>
      </w:pPr>
      <w:r>
        <w:rPr>
          <w:rFonts w:ascii="Calibri" w:cs="Calibri" w:eastAsia="Calibri" w:hAnsi="Calibri"/>
          <w:sz w:val="22"/>
          <w:szCs w:val="22"/>
        </w:rPr>
        <w:t xml:space="preserve">Any failure triggers an automatic rollback attempt, then escalation if rollback also fails.</w:t>
      </w:r>
    </w:p>
    <w:p>
      <w:pPr>
        <w:pStyle w:val="Heading3"/>
        <w:spacing w:after="100" w:before="200"/>
      </w:pPr>
      <w:r>
        <w:t xml:space="preserve">Step 9 — Generate Report</w:t>
      </w:r>
    </w:p>
    <w:p>
      <w:pPr>
        <w:pStyle w:val="ListParagraph"/>
        <w:numPr>
          <w:ilvl w:val="0"/>
          <w:numId w:val="2"/>
        </w:numPr>
        <w:spacing w:after="80"/>
      </w:pPr>
      <w:r>
        <w:rPr>
          <w:rFonts w:ascii="Calibri" w:cs="Calibri" w:eastAsia="Calibri" w:hAnsi="Calibri"/>
          <w:sz w:val="22"/>
          <w:szCs w:val="22"/>
        </w:rPr>
        <w:t xml:space="preserve">Per-cycle compliance report: % patched, list of exceptions, time-to-patch metrics, SLA adherence (especially the DMZ 3-day metric).</w:t>
      </w:r>
    </w:p>
    <w:p>
      <w:pPr>
        <w:pStyle w:val="ListParagraph"/>
        <w:numPr>
          <w:ilvl w:val="0"/>
          <w:numId w:val="2"/>
        </w:numPr>
        <w:spacing w:after="80"/>
      </w:pPr>
      <w:r>
        <w:rPr>
          <w:rFonts w:ascii="Calibri" w:cs="Calibri" w:eastAsia="Calibri" w:hAnsi="Calibri"/>
          <w:sz w:val="22"/>
          <w:szCs w:val="22"/>
        </w:rPr>
        <w:t xml:space="preserve">Delivered as a dashboard (Power BI / ServiceNow Performance Analytics) and as a document attached to the Change Request.</w:t>
      </w:r>
    </w:p>
    <w:p>
      <w:pPr>
        <w:pStyle w:val="Heading3"/>
        <w:spacing w:after="100" w:before="200"/>
      </w:pPr>
      <w:r>
        <w:t xml:space="preserve">Step 10 — Update ServiceNow Change</w:t>
      </w:r>
    </w:p>
    <w:p>
      <w:pPr>
        <w:pStyle w:val="ListParagraph"/>
        <w:numPr>
          <w:ilvl w:val="0"/>
          <w:numId w:val="2"/>
        </w:numPr>
        <w:spacing w:after="80"/>
      </w:pPr>
      <w:r>
        <w:rPr>
          <w:rFonts w:ascii="Calibri" w:cs="Calibri" w:eastAsia="Calibri" w:hAnsi="Calibri"/>
          <w:sz w:val="22"/>
          <w:szCs w:val="22"/>
        </w:rPr>
        <w:t xml:space="preserve">Orchestration platform updates the Change Request work notes / custom fields in near-real-time as each stage completes (not just at the end) — see Section 4.3.</w:t>
      </w:r>
    </w:p>
    <w:p>
      <w:pPr>
        <w:pStyle w:val="ListParagraph"/>
        <w:numPr>
          <w:ilvl w:val="0"/>
          <w:numId w:val="2"/>
        </w:numPr>
        <w:spacing w:after="80"/>
      </w:pPr>
      <w:r>
        <w:rPr>
          <w:rFonts w:ascii="Calibri" w:cs="Calibri" w:eastAsia="Calibri" w:hAnsi="Calibri"/>
          <w:sz w:val="22"/>
          <w:szCs w:val="22"/>
        </w:rPr>
        <w:t xml:space="preserve">Final state: Change auto-closes as Successful if 100% compliant within SLA, or moves to Successful with Issues with exception CIs itemized, or Unsuccessful with rollback evidence.</w:t>
      </w:r>
    </w:p>
    <w:p>
      <w:pPr>
        <w:pStyle w:val="Heading2"/>
        <w:spacing w:after="120" w:before="280"/>
      </w:pPr>
      <w:r>
        <w:t xml:space="preserve">4.2 Change Model by Patch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2600"/>
        <w:gridCol w:w="2100"/>
        <w:gridCol w:w="1900"/>
        <w:gridCol w:w="1000"/>
      </w:tblGrid>
      <w:tr>
        <w:trPr>
          <w:tblHeader/>
        </w:trPr>
        <w:tc>
          <w:tcPr>
            <w:tcW w:type="dxa" w:w="17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Patch Class</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c>
          <w:tcPr>
            <w:tcW w:type="dxa" w:w="2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Change Type</w:t>
            </w:r>
          </w:p>
        </w:tc>
        <w:tc>
          <w:tcPr>
            <w:tcW w:type="dxa" w:w="1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Approval Model</w:t>
            </w:r>
          </w:p>
        </w:tc>
        <w:tc>
          <w:tcPr>
            <w:tcW w:type="dxa" w:w="1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Target SLA</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Day-0 / Actively Exploited</w:t>
            </w:r>
          </w:p>
        </w:tc>
        <w:tc>
          <w:tcPr>
            <w:tcW w:type="dxa" w:w="2600"/>
            <w:tcMar>
              <w:top w:type="dxa" w:w="100"/>
              <w:left w:type="dxa" w:w="120"/>
              <w:bottom w:type="dxa" w:w="100"/>
              <w:right w:type="dxa" w:w="120"/>
            </w:tcMar>
          </w:tcPr>
          <w:p>
            <w:r>
              <w:rPr>
                <w:rFonts w:ascii="Calibri" w:cs="Calibri" w:eastAsia="Calibri" w:hAnsi="Calibri"/>
                <w:sz w:val="20"/>
                <w:szCs w:val="20"/>
              </w:rPr>
              <w:t xml:space="preserve">Zero-day, actively exploited in the wild, vendor emergency advisory</w:t>
            </w:r>
          </w:p>
        </w:tc>
        <w:tc>
          <w:tcPr>
            <w:tcW w:type="dxa" w:w="2100"/>
            <w:tcMar>
              <w:top w:type="dxa" w:w="100"/>
              <w:left w:type="dxa" w:w="120"/>
              <w:bottom w:type="dxa" w:w="100"/>
              <w:right w:type="dxa" w:w="120"/>
            </w:tcMar>
          </w:tcPr>
          <w:p>
            <w:r>
              <w:rPr>
                <w:rFonts w:ascii="Calibri" w:cs="Calibri" w:eastAsia="Calibri" w:hAnsi="Calibri"/>
                <w:sz w:val="20"/>
                <w:szCs w:val="20"/>
              </w:rPr>
              <w:t xml:space="preserve">Emergency Change (pre-approved template)</w:t>
            </w:r>
          </w:p>
        </w:tc>
        <w:tc>
          <w:tcPr>
            <w:tcW w:type="dxa" w:w="1900"/>
            <w:tcMar>
              <w:top w:type="dxa" w:w="100"/>
              <w:left w:type="dxa" w:w="120"/>
              <w:bottom w:type="dxa" w:w="100"/>
              <w:right w:type="dxa" w:w="120"/>
            </w:tcMar>
          </w:tcPr>
          <w:p>
            <w:r>
              <w:rPr>
                <w:rFonts w:ascii="Calibri" w:cs="Calibri" w:eastAsia="Calibri" w:hAnsi="Calibri"/>
                <w:sz w:val="20"/>
                <w:szCs w:val="20"/>
              </w:rPr>
              <w:t xml:space="preserve">CAB notified, not blocking — Emergency Change Manager approves within hours</w:t>
            </w:r>
          </w:p>
        </w:tc>
        <w:tc>
          <w:tcPr>
            <w:tcW w:type="dxa" w:w="1000"/>
            <w:tcMar>
              <w:top w:type="dxa" w:w="100"/>
              <w:left w:type="dxa" w:w="120"/>
              <w:bottom w:type="dxa" w:w="100"/>
              <w:right w:type="dxa" w:w="120"/>
            </w:tcMar>
          </w:tcPr>
          <w:p>
            <w:r>
              <w:rPr>
                <w:rFonts w:ascii="Calibri" w:cs="Calibri" w:eastAsia="Calibri" w:hAnsi="Calibri"/>
                <w:sz w:val="20"/>
                <w:szCs w:val="20"/>
              </w:rPr>
              <w:t xml:space="preserve">DMZ: 3 days from release. Internal: 7 days</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Critical (CVSS 9+)</w:t>
            </w:r>
          </w:p>
        </w:tc>
        <w:tc>
          <w:tcPr>
            <w:tcW w:type="dxa" w:w="2600"/>
            <w:tcMar>
              <w:top w:type="dxa" w:w="100"/>
              <w:left w:type="dxa" w:w="120"/>
              <w:bottom w:type="dxa" w:w="100"/>
              <w:right w:type="dxa" w:w="120"/>
            </w:tcMar>
          </w:tcPr>
          <w:p>
            <w:r>
              <w:rPr>
                <w:rFonts w:ascii="Calibri" w:cs="Calibri" w:eastAsia="Calibri" w:hAnsi="Calibri"/>
                <w:sz w:val="20"/>
                <w:szCs w:val="20"/>
              </w:rPr>
              <w:t xml:space="preserve">Critical severity, not yet actively exploited</w:t>
            </w:r>
          </w:p>
        </w:tc>
        <w:tc>
          <w:tcPr>
            <w:tcW w:type="dxa" w:w="2100"/>
            <w:tcMar>
              <w:top w:type="dxa" w:w="100"/>
              <w:left w:type="dxa" w:w="120"/>
              <w:bottom w:type="dxa" w:w="100"/>
              <w:right w:type="dxa" w:w="120"/>
            </w:tcMar>
          </w:tcPr>
          <w:p>
            <w:r>
              <w:rPr>
                <w:rFonts w:ascii="Calibri" w:cs="Calibri" w:eastAsia="Calibri" w:hAnsi="Calibri"/>
                <w:sz w:val="20"/>
                <w:szCs w:val="20"/>
              </w:rPr>
              <w:t xml:space="preserve">Expedited Standard Change (pre-approved template, auto-scheduled)</w:t>
            </w:r>
          </w:p>
        </w:tc>
        <w:tc>
          <w:tcPr>
            <w:tcW w:type="dxa" w:w="1900"/>
            <w:tcMar>
              <w:top w:type="dxa" w:w="100"/>
              <w:left w:type="dxa" w:w="120"/>
              <w:bottom w:type="dxa" w:w="100"/>
              <w:right w:type="dxa" w:w="120"/>
            </w:tcMar>
          </w:tcPr>
          <w:p>
            <w:r>
              <w:rPr>
                <w:rFonts w:ascii="Calibri" w:cs="Calibri" w:eastAsia="Calibri" w:hAnsi="Calibri"/>
                <w:sz w:val="20"/>
                <w:szCs w:val="20"/>
              </w:rPr>
              <w:t xml:space="preserve">Auto-approved against pre-agreed criteria; CAB informed</w:t>
            </w:r>
          </w:p>
        </w:tc>
        <w:tc>
          <w:tcPr>
            <w:tcW w:type="dxa" w:w="1000"/>
            <w:tcMar>
              <w:top w:type="dxa" w:w="100"/>
              <w:left w:type="dxa" w:w="120"/>
              <w:bottom w:type="dxa" w:w="100"/>
              <w:right w:type="dxa" w:w="120"/>
            </w:tcMar>
          </w:tcPr>
          <w:p>
            <w:r>
              <w:rPr>
                <w:rFonts w:ascii="Calibri" w:cs="Calibri" w:eastAsia="Calibri" w:hAnsi="Calibri"/>
                <w:sz w:val="20"/>
                <w:szCs w:val="20"/>
              </w:rPr>
              <w:t xml:space="preserve">DMZ: 7 days. Internal: 14 days</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Important (CVSS 7-8.9)</w:t>
            </w:r>
          </w:p>
        </w:tc>
        <w:tc>
          <w:tcPr>
            <w:tcW w:type="dxa" w:w="2600"/>
            <w:tcMar>
              <w:top w:type="dxa" w:w="100"/>
              <w:left w:type="dxa" w:w="120"/>
              <w:bottom w:type="dxa" w:w="100"/>
              <w:right w:type="dxa" w:w="120"/>
            </w:tcMar>
          </w:tcPr>
          <w:p>
            <w:r>
              <w:rPr>
                <w:rFonts w:ascii="Calibri" w:cs="Calibri" w:eastAsia="Calibri" w:hAnsi="Calibri"/>
                <w:sz w:val="20"/>
                <w:szCs w:val="20"/>
              </w:rPr>
              <w:t xml:space="preserve">High severity, routine urgency</w:t>
            </w:r>
          </w:p>
        </w:tc>
        <w:tc>
          <w:tcPr>
            <w:tcW w:type="dxa" w:w="2100"/>
            <w:tcMar>
              <w:top w:type="dxa" w:w="100"/>
              <w:left w:type="dxa" w:w="120"/>
              <w:bottom w:type="dxa" w:w="100"/>
              <w:right w:type="dxa" w:w="120"/>
            </w:tcMar>
          </w:tcPr>
          <w:p>
            <w:r>
              <w:rPr>
                <w:rFonts w:ascii="Calibri" w:cs="Calibri" w:eastAsia="Calibri" w:hAnsi="Calibri"/>
                <w:sz w:val="20"/>
                <w:szCs w:val="20"/>
              </w:rPr>
              <w:t xml:space="preserve">Standard Change</w:t>
            </w:r>
          </w:p>
        </w:tc>
        <w:tc>
          <w:tcPr>
            <w:tcW w:type="dxa" w:w="1900"/>
            <w:tcMar>
              <w:top w:type="dxa" w:w="100"/>
              <w:left w:type="dxa" w:w="120"/>
              <w:bottom w:type="dxa" w:w="100"/>
              <w:right w:type="dxa" w:w="120"/>
            </w:tcMar>
          </w:tcPr>
          <w:p>
            <w:r>
              <w:rPr>
                <w:rFonts w:ascii="Calibri" w:cs="Calibri" w:eastAsia="Calibri" w:hAnsi="Calibri"/>
                <w:sz w:val="20"/>
                <w:szCs w:val="20"/>
              </w:rPr>
              <w:t xml:space="preserve">Auto-approved via template</w:t>
            </w:r>
          </w:p>
        </w:tc>
        <w:tc>
          <w:tcPr>
            <w:tcW w:type="dxa" w:w="1000"/>
            <w:tcMar>
              <w:top w:type="dxa" w:w="100"/>
              <w:left w:type="dxa" w:w="120"/>
              <w:bottom w:type="dxa" w:w="100"/>
              <w:right w:type="dxa" w:w="120"/>
            </w:tcMar>
          </w:tcPr>
          <w:p>
            <w:r>
              <w:rPr>
                <w:rFonts w:ascii="Calibri" w:cs="Calibri" w:eastAsia="Calibri" w:hAnsi="Calibri"/>
                <w:sz w:val="20"/>
                <w:szCs w:val="20"/>
              </w:rPr>
              <w:t xml:space="preserve">30 days (next standard cycle)</w:t>
            </w:r>
          </w:p>
        </w:tc>
      </w:tr>
      <w:tr>
        <w:tc>
          <w:tcPr>
            <w:tcW w:type="dxa" w:w="1750"/>
            <w:tcMar>
              <w:top w:type="dxa" w:w="100"/>
              <w:left w:type="dxa" w:w="120"/>
              <w:bottom w:type="dxa" w:w="100"/>
              <w:right w:type="dxa" w:w="120"/>
            </w:tcMar>
          </w:tcPr>
          <w:p>
            <w:r>
              <w:rPr>
                <w:rFonts w:ascii="Calibri" w:cs="Calibri" w:eastAsia="Calibri" w:hAnsi="Calibri"/>
                <w:sz w:val="20"/>
                <w:szCs w:val="20"/>
              </w:rPr>
              <w:t xml:space="preserve">Routine / Low</w:t>
            </w:r>
          </w:p>
        </w:tc>
        <w:tc>
          <w:tcPr>
            <w:tcW w:type="dxa" w:w="2600"/>
            <w:tcMar>
              <w:top w:type="dxa" w:w="100"/>
              <w:left w:type="dxa" w:w="120"/>
              <w:bottom w:type="dxa" w:w="100"/>
              <w:right w:type="dxa" w:w="120"/>
            </w:tcMar>
          </w:tcPr>
          <w:p>
            <w:r>
              <w:rPr>
                <w:rFonts w:ascii="Calibri" w:cs="Calibri" w:eastAsia="Calibri" w:hAnsi="Calibri"/>
                <w:sz w:val="20"/>
                <w:szCs w:val="20"/>
              </w:rPr>
              <w:t xml:space="preserve">Monthly patch Tuesday, low-severity</w:t>
            </w:r>
          </w:p>
        </w:tc>
        <w:tc>
          <w:tcPr>
            <w:tcW w:type="dxa" w:w="2100"/>
            <w:tcMar>
              <w:top w:type="dxa" w:w="100"/>
              <w:left w:type="dxa" w:w="120"/>
              <w:bottom w:type="dxa" w:w="100"/>
              <w:right w:type="dxa" w:w="120"/>
            </w:tcMar>
          </w:tcPr>
          <w:p>
            <w:r>
              <w:rPr>
                <w:rFonts w:ascii="Calibri" w:cs="Calibri" w:eastAsia="Calibri" w:hAnsi="Calibri"/>
                <w:sz w:val="20"/>
                <w:szCs w:val="20"/>
              </w:rPr>
              <w:t xml:space="preserve">Standard Change</w:t>
            </w:r>
          </w:p>
        </w:tc>
        <w:tc>
          <w:tcPr>
            <w:tcW w:type="dxa" w:w="1900"/>
            <w:tcMar>
              <w:top w:type="dxa" w:w="100"/>
              <w:left w:type="dxa" w:w="120"/>
              <w:bottom w:type="dxa" w:w="100"/>
              <w:right w:type="dxa" w:w="120"/>
            </w:tcMar>
          </w:tcPr>
          <w:p>
            <w:r>
              <w:rPr>
                <w:rFonts w:ascii="Calibri" w:cs="Calibri" w:eastAsia="Calibri" w:hAnsi="Calibri"/>
                <w:sz w:val="20"/>
                <w:szCs w:val="20"/>
              </w:rPr>
              <w:t xml:space="preserve">Auto-approved via template</w:t>
            </w:r>
          </w:p>
        </w:tc>
        <w:tc>
          <w:tcPr>
            <w:tcW w:type="dxa" w:w="1000"/>
            <w:tcMar>
              <w:top w:type="dxa" w:w="100"/>
              <w:left w:type="dxa" w:w="120"/>
              <w:bottom w:type="dxa" w:w="100"/>
              <w:right w:type="dxa" w:w="120"/>
            </w:tcMar>
          </w:tcPr>
          <w:p>
            <w:r>
              <w:rPr>
                <w:rFonts w:ascii="Calibri" w:cs="Calibri" w:eastAsia="Calibri" w:hAnsi="Calibri"/>
                <w:sz w:val="20"/>
                <w:szCs w:val="20"/>
              </w:rPr>
              <w:t xml:space="preserve">Next monthly maintenance window</w:t>
            </w:r>
          </w:p>
        </w:tc>
      </w:tr>
    </w:tbl>
    <w:p>
      <w:pPr>
        <w:spacing w:after="160" w:line="276"/>
      </w:pPr>
      <w:r>
        <w:rPr>
          <w:rFonts w:ascii="Calibri" w:cs="Calibri" w:eastAsia="Calibri" w:hAnsi="Calibri"/>
          <w:i/>
          <w:iCs/>
          <w:sz w:val="22"/>
          <w:szCs w:val="22"/>
        </w:rPr>
        <w:t xml:space="preserve">Key governance point: the "Emergency Change, pre-approved template" model is what makes a 3-day DMZ SLA realistic. If every Day-0 patch has to wait for a live CAB meeting, you will miss the SLA almost every time. The template is pre-approved once by the CAB/security leadership; each invocation is a notification with veto rights, not a request for permission.</w:t>
      </w:r>
    </w:p>
    <w:p>
      <w:pPr>
        <w:pStyle w:val="Heading2"/>
        <w:spacing w:after="120" w:before="280"/>
      </w:pPr>
      <w:r>
        <w:t xml:space="preserve">4.3 ServiceNow Change Record — Field/State Update Pattern</w:t>
      </w:r>
    </w:p>
    <w:p>
      <w:pPr>
        <w:spacing w:after="160" w:line="276"/>
      </w:pPr>
      <w:r>
        <w:rPr>
          <w:rFonts w:ascii="Calibri" w:cs="Calibri" w:eastAsia="Calibri" w:hAnsi="Calibri"/>
          <w:sz w:val="22"/>
          <w:szCs w:val="22"/>
        </w:rPr>
        <w:t xml:space="preserve">Recommend extending the standard Change Request table with custom fields (or a related "Patch Deployment" child record per CI) so the record tells the full story without digging through work notes: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3850"/>
        <w:gridCol w:w="250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Field</w:t>
            </w:r>
          </w:p>
        </w:tc>
        <w:tc>
          <w:tcPr>
            <w:tcW w:type="dxa" w:w="38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Example Value</w:t>
            </w:r>
          </w:p>
        </w:tc>
        <w:tc>
          <w:tcPr>
            <w:tcW w:type="dxa" w:w="25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Updated At</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u_patch_classification</w:t>
            </w:r>
          </w:p>
        </w:tc>
        <w:tc>
          <w:tcPr>
            <w:tcW w:type="dxa" w:w="3850"/>
            <w:tcMar>
              <w:top w:type="dxa" w:w="100"/>
              <w:left w:type="dxa" w:w="120"/>
              <w:bottom w:type="dxa" w:w="100"/>
              <w:right w:type="dxa" w:w="120"/>
            </w:tcMar>
          </w:tcPr>
          <w:p>
            <w:r>
              <w:rPr>
                <w:rFonts w:ascii="Calibri" w:cs="Calibri" w:eastAsia="Calibri" w:hAnsi="Calibri"/>
                <w:sz w:val="20"/>
                <w:szCs w:val="20"/>
              </w:rPr>
              <w:t xml:space="preserve">Day-0 / Critical / Important / Routine</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u_cve_reference</w:t>
            </w:r>
          </w:p>
        </w:tc>
        <w:tc>
          <w:tcPr>
            <w:tcW w:type="dxa" w:w="3850"/>
            <w:tcMar>
              <w:top w:type="dxa" w:w="100"/>
              <w:left w:type="dxa" w:w="120"/>
              <w:bottom w:type="dxa" w:w="100"/>
              <w:right w:type="dxa" w:w="120"/>
            </w:tcMar>
          </w:tcPr>
          <w:p>
            <w:r>
              <w:rPr>
                <w:rFonts w:ascii="Calibri" w:cs="Calibri" w:eastAsia="Calibri" w:hAnsi="Calibri"/>
                <w:sz w:val="20"/>
                <w:szCs w:val="20"/>
              </w:rPr>
              <w:t xml:space="preserve">CVE-2026-XXXXX</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u_network_zone</w:t>
            </w:r>
          </w:p>
        </w:tc>
        <w:tc>
          <w:tcPr>
            <w:tcW w:type="dxa" w:w="3850"/>
            <w:tcMar>
              <w:top w:type="dxa" w:w="100"/>
              <w:left w:type="dxa" w:w="120"/>
              <w:bottom w:type="dxa" w:w="100"/>
              <w:right w:type="dxa" w:w="120"/>
            </w:tcMar>
          </w:tcPr>
          <w:p>
            <w:r>
              <w:rPr>
                <w:rFonts w:ascii="Calibri" w:cs="Calibri" w:eastAsia="Calibri" w:hAnsi="Calibri"/>
                <w:sz w:val="20"/>
                <w:szCs w:val="20"/>
              </w:rPr>
              <w:t xml:space="preserve">DMZ / Internal / Cloud</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u_sla_deadline</w:t>
            </w:r>
          </w:p>
        </w:tc>
        <w:tc>
          <w:tcPr>
            <w:tcW w:type="dxa" w:w="3850"/>
            <w:tcMar>
              <w:top w:type="dxa" w:w="100"/>
              <w:left w:type="dxa" w:w="120"/>
              <w:bottom w:type="dxa" w:w="100"/>
              <w:right w:type="dxa" w:w="120"/>
            </w:tcMar>
          </w:tcPr>
          <w:p>
            <w:r>
              <w:rPr>
                <w:rFonts w:ascii="Calibri" w:cs="Calibri" w:eastAsia="Calibri" w:hAnsi="Calibri"/>
                <w:sz w:val="20"/>
                <w:szCs w:val="20"/>
              </w:rPr>
              <w:t xml:space="preserve">Auto-calculated: release date + 3 days (DMZ Day-0)</w:t>
            </w:r>
          </w:p>
        </w:tc>
        <w:tc>
          <w:tcPr>
            <w:tcW w:type="dxa" w:w="2500"/>
            <w:tcMar>
              <w:top w:type="dxa" w:w="100"/>
              <w:left w:type="dxa" w:w="120"/>
              <w:bottom w:type="dxa" w:w="100"/>
              <w:right w:type="dxa" w:w="120"/>
            </w:tcMar>
          </w:tcPr>
          <w:p>
            <w:r>
              <w:rPr>
                <w:rFonts w:ascii="Calibri" w:cs="Calibri" w:eastAsia="Calibri" w:hAnsi="Calibri"/>
                <w:sz w:val="20"/>
                <w:szCs w:val="20"/>
              </w:rPr>
              <w:t xml:space="preserve">Change creation</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u_download_status</w:t>
            </w:r>
          </w:p>
        </w:tc>
        <w:tc>
          <w:tcPr>
            <w:tcW w:type="dxa" w:w="3850"/>
            <w:tcMar>
              <w:top w:type="dxa" w:w="100"/>
              <w:left w:type="dxa" w:w="120"/>
              <w:bottom w:type="dxa" w:w="100"/>
              <w:right w:type="dxa" w:w="120"/>
            </w:tcMar>
          </w:tcPr>
          <w:p>
            <w:r>
              <w:rPr>
                <w:rFonts w:ascii="Calibri" w:cs="Calibri" w:eastAsia="Calibri" w:hAnsi="Calibri"/>
                <w:sz w:val="20"/>
                <w:szCs w:val="20"/>
              </w:rPr>
              <w:t xml:space="preserve">Completed / Failed</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4</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u_package_status</w:t>
            </w:r>
          </w:p>
        </w:tc>
        <w:tc>
          <w:tcPr>
            <w:tcW w:type="dxa" w:w="3850"/>
            <w:tcMar>
              <w:top w:type="dxa" w:w="100"/>
              <w:left w:type="dxa" w:w="120"/>
              <w:bottom w:type="dxa" w:w="100"/>
              <w:right w:type="dxa" w:w="120"/>
            </w:tcMar>
          </w:tcPr>
          <w:p>
            <w:r>
              <w:rPr>
                <w:rFonts w:ascii="Calibri" w:cs="Calibri" w:eastAsia="Calibri" w:hAnsi="Calibri"/>
                <w:sz w:val="20"/>
                <w:szCs w:val="20"/>
              </w:rPr>
              <w:t xml:space="preserve">Built / Verified</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5</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u_deployment_status</w:t>
            </w:r>
          </w:p>
        </w:tc>
        <w:tc>
          <w:tcPr>
            <w:tcW w:type="dxa" w:w="3850"/>
            <w:tcMar>
              <w:top w:type="dxa" w:w="100"/>
              <w:left w:type="dxa" w:w="120"/>
              <w:bottom w:type="dxa" w:w="100"/>
              <w:right w:type="dxa" w:w="120"/>
            </w:tcMar>
          </w:tcPr>
          <w:p>
            <w:r>
              <w:rPr>
                <w:rFonts w:ascii="Calibri" w:cs="Calibri" w:eastAsia="Calibri" w:hAnsi="Calibri"/>
                <w:sz w:val="20"/>
                <w:szCs w:val="20"/>
              </w:rPr>
              <w:t xml:space="preserve">Not Started / In Progress / Completed / Failed</w:t>
            </w:r>
          </w:p>
        </w:tc>
        <w:tc>
          <w:tcPr>
            <w:tcW w:type="dxa" w:w="2500"/>
            <w:tcMar>
              <w:top w:type="dxa" w:w="100"/>
              <w:left w:type="dxa" w:w="120"/>
              <w:bottom w:type="dxa" w:w="100"/>
              <w:right w:type="dxa" w:w="120"/>
            </w:tcMar>
          </w:tcPr>
          <w:p>
            <w:r>
              <w:rPr>
                <w:rFonts w:ascii="Calibri" w:cs="Calibri" w:eastAsia="Calibri" w:hAnsi="Calibri"/>
                <w:sz w:val="20"/>
                <w:szCs w:val="20"/>
              </w:rPr>
              <w:t xml:space="preserve">Live during Step 7</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u_ci_success_count / u_ci_failure_count</w:t>
            </w:r>
          </w:p>
        </w:tc>
        <w:tc>
          <w:tcPr>
            <w:tcW w:type="dxa" w:w="3850"/>
            <w:tcMar>
              <w:top w:type="dxa" w:w="100"/>
              <w:left w:type="dxa" w:w="120"/>
              <w:bottom w:type="dxa" w:w="100"/>
              <w:right w:type="dxa" w:w="120"/>
            </w:tcMar>
          </w:tcPr>
          <w:p>
            <w:r>
              <w:rPr>
                <w:rFonts w:ascii="Calibri" w:cs="Calibri" w:eastAsia="Calibri" w:hAnsi="Calibri"/>
                <w:sz w:val="20"/>
                <w:szCs w:val="20"/>
              </w:rPr>
              <w:t xml:space="preserve">47/50</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8</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u_sla_met</w:t>
            </w:r>
          </w:p>
        </w:tc>
        <w:tc>
          <w:tcPr>
            <w:tcW w:type="dxa" w:w="3850"/>
            <w:tcMar>
              <w:top w:type="dxa" w:w="100"/>
              <w:left w:type="dxa" w:w="120"/>
              <w:bottom w:type="dxa" w:w="100"/>
              <w:right w:type="dxa" w:w="120"/>
            </w:tcMar>
          </w:tcPr>
          <w:p>
            <w:r>
              <w:rPr>
                <w:rFonts w:ascii="Calibri" w:cs="Calibri" w:eastAsia="Calibri" w:hAnsi="Calibri"/>
                <w:sz w:val="20"/>
                <w:szCs w:val="20"/>
              </w:rPr>
              <w:t xml:space="preserve">Yes / No / At Risk</w:t>
            </w:r>
          </w:p>
        </w:tc>
        <w:tc>
          <w:tcPr>
            <w:tcW w:type="dxa" w:w="2500"/>
            <w:tcMar>
              <w:top w:type="dxa" w:w="100"/>
              <w:left w:type="dxa" w:w="120"/>
              <w:bottom w:type="dxa" w:w="100"/>
              <w:right w:type="dxa" w:w="120"/>
            </w:tcMar>
          </w:tcPr>
          <w:p>
            <w:r>
              <w:rPr>
                <w:rFonts w:ascii="Calibri" w:cs="Calibri" w:eastAsia="Calibri" w:hAnsi="Calibri"/>
                <w:sz w:val="20"/>
                <w:szCs w:val="20"/>
              </w:rPr>
              <w:t xml:space="preserve">Continuously recalculated</w:t>
            </w:r>
          </w:p>
        </w:tc>
      </w:tr>
      <w:tr>
        <w:tc>
          <w:tcPr>
            <w:tcW w:type="dxa" w:w="3000"/>
            <w:tcMar>
              <w:top w:type="dxa" w:w="100"/>
              <w:left w:type="dxa" w:w="120"/>
              <w:bottom w:type="dxa" w:w="100"/>
              <w:right w:type="dxa" w:w="120"/>
            </w:tcMar>
          </w:tcPr>
          <w:p>
            <w:r>
              <w:rPr>
                <w:rFonts w:ascii="Calibri" w:cs="Calibri" w:eastAsia="Calibri" w:hAnsi="Calibri"/>
                <w:sz w:val="20"/>
                <w:szCs w:val="20"/>
              </w:rPr>
              <w:t xml:space="preserve">close_notes</w:t>
            </w:r>
          </w:p>
        </w:tc>
        <w:tc>
          <w:tcPr>
            <w:tcW w:type="dxa" w:w="3850"/>
            <w:tcMar>
              <w:top w:type="dxa" w:w="100"/>
              <w:left w:type="dxa" w:w="120"/>
              <w:bottom w:type="dxa" w:w="100"/>
              <w:right w:type="dxa" w:w="120"/>
            </w:tcMar>
          </w:tcPr>
          <w:p>
            <w:r>
              <w:rPr>
                <w:rFonts w:ascii="Calibri" w:cs="Calibri" w:eastAsia="Calibri" w:hAnsi="Calibri"/>
                <w:sz w:val="20"/>
                <w:szCs w:val="20"/>
              </w:rPr>
              <w:t xml:space="preserve">Auto-generated summary + link to report</w:t>
            </w:r>
          </w:p>
        </w:tc>
        <w:tc>
          <w:tcPr>
            <w:tcW w:type="dxa" w:w="2500"/>
            <w:tcMar>
              <w:top w:type="dxa" w:w="100"/>
              <w:left w:type="dxa" w:w="120"/>
              <w:bottom w:type="dxa" w:w="100"/>
              <w:right w:type="dxa" w:w="120"/>
            </w:tcMar>
          </w:tcPr>
          <w:p>
            <w:r>
              <w:rPr>
                <w:rFonts w:ascii="Calibri" w:cs="Calibri" w:eastAsia="Calibri" w:hAnsi="Calibri"/>
                <w:sz w:val="20"/>
                <w:szCs w:val="20"/>
              </w:rPr>
              <w:t xml:space="preserve">After Step 10</w:t>
            </w:r>
          </w:p>
        </w:tc>
      </w:tr>
    </w:tbl>
    <w:p>
      <w:pPr>
        <w:spacing w:after="160" w:line="276"/>
      </w:pPr>
      <w:r>
        <w:rPr>
          <w:rFonts w:ascii="Calibri" w:cs="Calibri" w:eastAsia="Calibri" w:hAnsi="Calibri"/>
          <w:sz w:val="22"/>
          <w:szCs w:val="22"/>
        </w:rPr>
        <w:t xml:space="preserve">Integration is via ServiceNow REST Table API (or IntegrationHub / Orchestration spokes if you want low-code) called from the orchestration platform's post-job webhook — not a ServiceNow-side scheduled pull, since push-on-event keeps the record current within seconds of each stage completing.</w:t>
      </w:r>
    </w:p>
    <w:p>
      <w:pPr>
        <w:pStyle w:val="Heading1"/>
        <w:spacing w:after="160" w:before="360"/>
      </w:pPr>
      <w:r>
        <w:t xml:space="preserve">5. Alternative Options — Orchestration Engine Choice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900"/>
        <w:gridCol w:w="1350"/>
      </w:tblGrid>
      <w:tr>
        <w:trPr>
          <w:tblHeader/>
        </w:trPr>
        <w:tc>
          <w:tcPr>
            <w:tcW w:type="dxa" w:w="2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Option</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Strengths</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Weaknesses</w:t>
            </w:r>
          </w:p>
        </w:tc>
        <w:tc>
          <w:tcPr>
            <w:tcW w:type="dxa" w:w="13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Fit</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Ansible Automation Platform (AAP)</w:t>
            </w:r>
          </w:p>
        </w:tc>
        <w:tc>
          <w:tcPr>
            <w:tcW w:type="dxa" w:w="2900"/>
            <w:tcMar>
              <w:top w:type="dxa" w:w="100"/>
              <w:left w:type="dxa" w:w="120"/>
              <w:bottom w:type="dxa" w:w="100"/>
              <w:right w:type="dxa" w:w="120"/>
            </w:tcMar>
          </w:tcPr>
          <w:p>
            <w:r>
              <w:rPr>
                <w:rFonts w:ascii="Calibri" w:cs="Calibri" w:eastAsia="Calibri" w:hAnsi="Calibri"/>
                <w:sz w:val="20"/>
                <w:szCs w:val="20"/>
              </w:rPr>
              <w:t xml:space="preserve">Agentless (SSH/WinRM), strong ServiceNow certified integration (Change/CMDB), cross-OS, good for hybrid + DMZ relay pattern via bastion/execution nodes</w:t>
            </w:r>
          </w:p>
        </w:tc>
        <w:tc>
          <w:tcPr>
            <w:tcW w:type="dxa" w:w="2900"/>
            <w:tcMar>
              <w:top w:type="dxa" w:w="100"/>
              <w:left w:type="dxa" w:w="120"/>
              <w:bottom w:type="dxa" w:w="100"/>
              <w:right w:type="dxa" w:w="120"/>
            </w:tcMar>
          </w:tcPr>
          <w:p>
            <w:r>
              <w:rPr>
                <w:rFonts w:ascii="Calibri" w:cs="Calibri" w:eastAsia="Calibri" w:hAnsi="Calibri"/>
                <w:sz w:val="20"/>
                <w:szCs w:val="20"/>
              </w:rPr>
              <w:t xml:space="preserve">Requires playbook development effort, licensing cost at scale</w:t>
            </w:r>
          </w:p>
        </w:tc>
        <w:tc>
          <w:tcPr>
            <w:tcW w:type="dxa" w:w="1350"/>
            <w:tcMar>
              <w:top w:type="dxa" w:w="100"/>
              <w:left w:type="dxa" w:w="120"/>
              <w:bottom w:type="dxa" w:w="100"/>
              <w:right w:type="dxa" w:w="120"/>
            </w:tcMar>
          </w:tcPr>
          <w:p>
            <w:r>
              <w:rPr>
                <w:rFonts w:ascii="Calibri" w:cs="Calibri" w:eastAsia="Calibri" w:hAnsi="Calibri"/>
                <w:sz w:val="20"/>
                <w:szCs w:val="20"/>
              </w:rPr>
              <w:t xml:space="preserve">Recommended default for mixed Windows/Linux + hybrid cloud estates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Microsoft Configuration Manager (SCCM/MECM) + WSUS</w:t>
            </w:r>
          </w:p>
        </w:tc>
        <w:tc>
          <w:tcPr>
            <w:tcW w:type="dxa" w:w="2900"/>
            <w:tcMar>
              <w:top w:type="dxa" w:w="100"/>
              <w:left w:type="dxa" w:w="120"/>
              <w:bottom w:type="dxa" w:w="100"/>
              <w:right w:type="dxa" w:w="120"/>
            </w:tcMar>
          </w:tcPr>
          <w:p>
            <w:r>
              <w:rPr>
                <w:rFonts w:ascii="Calibri" w:cs="Calibri" w:eastAsia="Calibri" w:hAnsi="Calibri"/>
                <w:sz w:val="20"/>
                <w:szCs w:val="20"/>
              </w:rPr>
              <w:t xml:space="preserve">Native for large Windows estates, mature software distribution, well-understood by most enterprise ops teams</w:t>
            </w:r>
          </w:p>
        </w:tc>
        <w:tc>
          <w:tcPr>
            <w:tcW w:type="dxa" w:w="2900"/>
            <w:tcMar>
              <w:top w:type="dxa" w:w="100"/>
              <w:left w:type="dxa" w:w="120"/>
              <w:bottom w:type="dxa" w:w="100"/>
              <w:right w:type="dxa" w:w="120"/>
            </w:tcMar>
          </w:tcPr>
          <w:p>
            <w:r>
              <w:rPr>
                <w:rFonts w:ascii="Calibri" w:cs="Calibri" w:eastAsia="Calibri" w:hAnsi="Calibri"/>
                <w:sz w:val="20"/>
                <w:szCs w:val="20"/>
              </w:rPr>
              <w:t xml:space="preserve">Windows-centric (Linux needs a second tool), less natural DMZ relay model (needs a remote Distribution Point in DMZ with careful hardening)</w:t>
            </w:r>
          </w:p>
        </w:tc>
        <w:tc>
          <w:tcPr>
            <w:tcW w:type="dxa" w:w="1350"/>
            <w:tcMar>
              <w:top w:type="dxa" w:w="100"/>
              <w:left w:type="dxa" w:w="120"/>
              <w:bottom w:type="dxa" w:w="100"/>
              <w:right w:type="dxa" w:w="120"/>
            </w:tcMar>
          </w:tcPr>
          <w:p>
            <w:r>
              <w:rPr>
                <w:rFonts w:ascii="Calibri" w:cs="Calibri" w:eastAsia="Calibri" w:hAnsi="Calibri"/>
                <w:sz w:val="20"/>
                <w:szCs w:val="20"/>
              </w:rPr>
              <w:t xml:space="preserve">Windows-heavy on-prem estates already invested in SCCM</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Azure Update Manager (+ Arc for on-prem/multi-cloud)</w:t>
            </w:r>
          </w:p>
        </w:tc>
        <w:tc>
          <w:tcPr>
            <w:tcW w:type="dxa" w:w="2900"/>
            <w:tcMar>
              <w:top w:type="dxa" w:w="100"/>
              <w:left w:type="dxa" w:w="120"/>
              <w:bottom w:type="dxa" w:w="100"/>
              <w:right w:type="dxa" w:w="120"/>
            </w:tcMar>
          </w:tcPr>
          <w:p>
            <w:r>
              <w:rPr>
                <w:rFonts w:ascii="Calibri" w:cs="Calibri" w:eastAsia="Calibri" w:hAnsi="Calibri"/>
                <w:sz w:val="20"/>
                <w:szCs w:val="20"/>
              </w:rPr>
              <w:t xml:space="preserve">SaaS-delivered, native Azure/Arc integration, good for cloud-first estates, built-in scheduling and reporting</w:t>
            </w:r>
          </w:p>
        </w:tc>
        <w:tc>
          <w:tcPr>
            <w:tcW w:type="dxa" w:w="2900"/>
            <w:tcMar>
              <w:top w:type="dxa" w:w="100"/>
              <w:left w:type="dxa" w:w="120"/>
              <w:bottom w:type="dxa" w:w="100"/>
              <w:right w:type="dxa" w:w="120"/>
            </w:tcMar>
          </w:tcPr>
          <w:p>
            <w:r>
              <w:rPr>
                <w:rFonts w:ascii="Calibri" w:cs="Calibri" w:eastAsia="Calibri" w:hAnsi="Calibri"/>
                <w:sz w:val="20"/>
                <w:szCs w:val="20"/>
              </w:rPr>
              <w:t xml:space="preserve">Less mature ServiceNow-native integration (needs Logic Apps/Azure Functions bridge), less control over air-gapped DMZ patterns</w:t>
            </w:r>
          </w:p>
        </w:tc>
        <w:tc>
          <w:tcPr>
            <w:tcW w:type="dxa" w:w="1350"/>
            <w:tcMar>
              <w:top w:type="dxa" w:w="100"/>
              <w:left w:type="dxa" w:w="120"/>
              <w:bottom w:type="dxa" w:w="100"/>
              <w:right w:type="dxa" w:w="120"/>
            </w:tcMar>
          </w:tcPr>
          <w:p>
            <w:r>
              <w:rPr>
                <w:rFonts w:ascii="Calibri" w:cs="Calibri" w:eastAsia="Calibri" w:hAnsi="Calibri"/>
                <w:sz w:val="20"/>
                <w:szCs w:val="20"/>
              </w:rPr>
              <w:t xml:space="preserve">Azure/Arc-centric hybrid estates</w:t>
            </w:r>
          </w:p>
        </w:tc>
      </w:tr>
      <w:tr>
        <w:tc>
          <w:tcPr>
            <w:tcW w:type="dxa" w:w="2200"/>
            <w:tcMar>
              <w:top w:type="dxa" w:w="100"/>
              <w:left w:type="dxa" w:w="120"/>
              <w:bottom w:type="dxa" w:w="100"/>
              <w:right w:type="dxa" w:w="120"/>
            </w:tcMar>
          </w:tcPr>
          <w:p>
            <w:r>
              <w:rPr>
                <w:rFonts w:ascii="Calibri" w:cs="Calibri" w:eastAsia="Calibri" w:hAnsi="Calibri"/>
                <w:sz w:val="20"/>
                <w:szCs w:val="20"/>
              </w:rPr>
              <w:t xml:space="preserve">Red Hat Satellite + Ansible</w:t>
            </w:r>
          </w:p>
        </w:tc>
        <w:tc>
          <w:tcPr>
            <w:tcW w:type="dxa" w:w="2900"/>
            <w:tcMar>
              <w:top w:type="dxa" w:w="100"/>
              <w:left w:type="dxa" w:w="120"/>
              <w:bottom w:type="dxa" w:w="100"/>
              <w:right w:type="dxa" w:w="120"/>
            </w:tcMar>
          </w:tcPr>
          <w:p>
            <w:r>
              <w:rPr>
                <w:rFonts w:ascii="Calibri" w:cs="Calibri" w:eastAsia="Calibri" w:hAnsi="Calibri"/>
                <w:sz w:val="20"/>
                <w:szCs w:val="20"/>
              </w:rPr>
              <w:t xml:space="preserve">Best-in-class for RHEL-heavy estates, content views give strong Day-0 patch staging control</w:t>
            </w:r>
          </w:p>
        </w:tc>
        <w:tc>
          <w:tcPr>
            <w:tcW w:type="dxa" w:w="2900"/>
            <w:tcMar>
              <w:top w:type="dxa" w:w="100"/>
              <w:left w:type="dxa" w:w="120"/>
              <w:bottom w:type="dxa" w:w="100"/>
              <w:right w:type="dxa" w:w="120"/>
            </w:tcMar>
          </w:tcPr>
          <w:p>
            <w:r>
              <w:rPr>
                <w:rFonts w:ascii="Calibri" w:cs="Calibri" w:eastAsia="Calibri" w:hAnsi="Calibri"/>
                <w:sz w:val="20"/>
                <w:szCs w:val="20"/>
              </w:rPr>
              <w:t xml:space="preserve">Linux-only; still needs a Windows-side tool alongside it</w:t>
            </w:r>
          </w:p>
        </w:tc>
        <w:tc>
          <w:tcPr>
            <w:tcW w:type="dxa" w:w="1350"/>
            <w:tcMar>
              <w:top w:type="dxa" w:w="100"/>
              <w:left w:type="dxa" w:w="120"/>
              <w:bottom w:type="dxa" w:w="100"/>
              <w:right w:type="dxa" w:w="120"/>
            </w:tcMar>
          </w:tcPr>
          <w:p>
            <w:r>
              <w:rPr>
                <w:rFonts w:ascii="Calibri" w:cs="Calibri" w:eastAsia="Calibri" w:hAnsi="Calibri"/>
                <w:sz w:val="20"/>
                <w:szCs w:val="20"/>
              </w:rPr>
              <w:t xml:space="preserve">Linux/RHEL-dominant estates</w:t>
            </w:r>
          </w:p>
        </w:tc>
      </w:tr>
    </w:tbl>
    <w:p>
      <w:pPr>
        <w:spacing w:after="160" w:line="276"/>
      </w:pPr>
      <w:r>
        <w:rPr>
          <w:rFonts w:ascii="Calibri" w:cs="Calibri" w:eastAsia="Calibri" w:hAnsi="Calibri"/>
          <w:b/>
          <w:bCs/>
          <w:sz w:val="22"/>
          <w:szCs w:val="22"/>
        </w:rPr>
        <w:t xml:space="preserve">Recommendation: Ansible Automation Platform as the orchestration and deployment layer (cross-platform, strong ServiceNow certified content collection), with SCCM/WSUS and Red Hat Satellite/Foreman as the underlying patch-source/distribution mechanisms it drives for Windows and Linux respectively. This gives one control plane and one ServiceNow integration pattern regardless of OS.</w:t>
      </w:r>
    </w:p>
    <w:p>
      <w:pPr>
        <w:pStyle w:val="Heading1"/>
        <w:spacing w:after="160" w:before="360"/>
      </w:pPr>
      <w:r>
        <w:t xml:space="preserve">6. Security &amp; Compliance</w:t>
      </w:r>
    </w:p>
    <w:p>
      <w:pPr>
        <w:pStyle w:val="ListParagraph"/>
        <w:numPr>
          <w:ilvl w:val="0"/>
          <w:numId w:val="2"/>
        </w:numPr>
        <w:spacing w:after="80"/>
      </w:pPr>
      <w:r>
        <w:rPr>
          <w:rFonts w:ascii="Calibri" w:cs="Calibri" w:eastAsia="Calibri" w:hAnsi="Calibri"/>
          <w:sz w:val="22"/>
          <w:szCs w:val="22"/>
        </w:rPr>
        <w:t xml:space="preserve">Package integrity: every downloaded patch is verified against vendor checksum/digital signature before it enters the staging repository. Reject and alert on mismatch — never deploy an unverified binary.</w:t>
      </w:r>
    </w:p>
    <w:p>
      <w:pPr>
        <w:pStyle w:val="ListParagraph"/>
        <w:numPr>
          <w:ilvl w:val="0"/>
          <w:numId w:val="2"/>
        </w:numPr>
        <w:spacing w:after="80"/>
      </w:pPr>
      <w:r>
        <w:rPr>
          <w:rFonts w:ascii="Calibri" w:cs="Calibri" w:eastAsia="Calibri" w:hAnsi="Calibri"/>
          <w:sz w:val="22"/>
          <w:szCs w:val="22"/>
        </w:rPr>
        <w:t xml:space="preserve">DMZ network control: the DMZ relay accepts inbound only from the designated jump server, on a single restricted port, with mutual TLS or signed package transfer. DMZ servers have no outbound internet access for patching — they always pull from the DMZ-local relay.</w:t>
      </w:r>
    </w:p>
    <w:p>
      <w:pPr>
        <w:pStyle w:val="ListParagraph"/>
        <w:numPr>
          <w:ilvl w:val="0"/>
          <w:numId w:val="2"/>
        </w:numPr>
        <w:spacing w:after="80"/>
      </w:pPr>
      <w:r>
        <w:rPr>
          <w:rFonts w:ascii="Calibri" w:cs="Calibri" w:eastAsia="Calibri" w:hAnsi="Calibri"/>
          <w:sz w:val="22"/>
          <w:szCs w:val="22"/>
        </w:rPr>
        <w:t xml:space="preserve">Least privilege service accounts: orchestration platform uses scoped service accounts per zone (one for internal, a separate, more tightly scoped one for DMZ) stored in a secrets vault (CyberArk/Azure Key Vault/HashiCorp Vault) with just-in-time credential checkout, not static stored passwords.</w:t>
      </w:r>
    </w:p>
    <w:p>
      <w:pPr>
        <w:pStyle w:val="ListParagraph"/>
        <w:numPr>
          <w:ilvl w:val="0"/>
          <w:numId w:val="2"/>
        </w:numPr>
        <w:spacing w:after="80"/>
      </w:pPr>
      <w:r>
        <w:rPr>
          <w:rFonts w:ascii="Calibri" w:cs="Calibri" w:eastAsia="Calibri" w:hAnsi="Calibri"/>
          <w:sz w:val="22"/>
          <w:szCs w:val="22"/>
        </w:rPr>
        <w:t xml:space="preserve">Segregation of duties: the account that approves the Change in ServiceNow is never the same account that executes the deployment — enforced via role-based access in both ServiceNow and the orchestration platform.</w:t>
      </w:r>
    </w:p>
    <w:p>
      <w:pPr>
        <w:pStyle w:val="ListParagraph"/>
        <w:numPr>
          <w:ilvl w:val="0"/>
          <w:numId w:val="2"/>
        </w:numPr>
        <w:spacing w:after="80"/>
      </w:pPr>
      <w:r>
        <w:rPr>
          <w:rFonts w:ascii="Calibri" w:cs="Calibri" w:eastAsia="Calibri" w:hAnsi="Calibri"/>
          <w:sz w:val="22"/>
          <w:szCs w:val="22"/>
        </w:rPr>
        <w:t xml:space="preserve">Immutable audit trail: every package build, deployment run, and validation result is logged with timestamp, operator/service account, and CI list, and referenced back to the Change Request number for full ITIL traceability.</w:t>
      </w:r>
    </w:p>
    <w:p>
      <w:pPr>
        <w:pStyle w:val="ListParagraph"/>
        <w:numPr>
          <w:ilvl w:val="0"/>
          <w:numId w:val="2"/>
        </w:numPr>
        <w:spacing w:after="80"/>
      </w:pPr>
      <w:r>
        <w:rPr>
          <w:rFonts w:ascii="Calibri" w:cs="Calibri" w:eastAsia="Calibri" w:hAnsi="Calibri"/>
          <w:sz w:val="22"/>
          <w:szCs w:val="22"/>
        </w:rPr>
        <w:t xml:space="preserve">Compliance mapping: this workflow directly supports audit evidence for PCI-DSS (Req. 6.3.3/11.3), ISO 27001 (A.12.6.1), and NIST 800-53 (SI-2) patch management controls — the ServiceNow Change record plus attached report becomes the audit artifact per patch cycle.</w:t>
      </w:r>
    </w:p>
    <w:p>
      <w:pPr>
        <w:pStyle w:val="Heading1"/>
        <w:spacing w:after="160" w:before="360"/>
      </w:pPr>
      <w:r>
        <w:t xml:space="preserve">7. Network &amp; Connectivity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9D6E8" w:sz="4"/>
              <w:left w:val="single" w:color="C9D6E8" w:sz="4"/>
              <w:bottom w:val="single" w:color="C9D6E8" w:sz="4"/>
              <w:right w:val="single" w:color="C9D6E8" w:sz="4"/>
            </w:tcBorders>
            <w:shd w:fill="F7F9FC" w:val="clear"/>
            <w:tcMar>
              <w:top w:type="dxa" w:w="160"/>
              <w:left w:type="dxa" w:w="200"/>
              <w:bottom w:type="dxa" w:w="160"/>
              <w:right w:type="dxa" w:w="200"/>
            </w:tcMar>
          </w:tcPr>
          <w:p>
            <w:pPr>
              <w:spacing w:after="40"/>
            </w:pPr>
            <w:r>
              <w:rPr>
                <w:rFonts w:ascii="Consolas" w:cs="Consolas" w:eastAsia="Consolas" w:hAnsi="Consolas"/>
                <w:color w:val="2B3A55"/>
                <w:sz w:val="19"/>
                <w:szCs w:val="19"/>
              </w:rPr>
              <w:t xml:space="preserve">Internet --(outbound HTTPS, vendor feeds only)--&gt; Staging/Download Node (Trusted Zone)</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internal mgmt VLAN  |  single brokered port</w:t>
            </w:r>
          </w:p>
          <w:p>
            <w:pPr>
              <w:spacing w:after="40"/>
            </w:pPr>
            <w:r>
              <w:rPr>
                <w:rFonts w:ascii="Consolas" w:cs="Consolas" w:eastAsia="Consolas" w:hAnsi="Consolas"/>
                <w:color w:val="2B3A55"/>
                <w:sz w:val="19"/>
                <w:szCs w:val="19"/>
              </w:rPr>
              <w:t xml:space="preserve">                                                          |         |</w:t>
            </w:r>
          </w:p>
          <w:p>
            <w:pPr>
              <w:spacing w:after="40"/>
            </w:pPr>
            <w:r>
              <w:rPr>
                <w:rFonts w:ascii="Consolas" w:cs="Consolas" w:eastAsia="Consolas" w:hAnsi="Consolas"/>
                <w:color w:val="2B3A55"/>
                <w:sz w:val="19"/>
                <w:szCs w:val="19"/>
              </w:rPr>
              <w:t xml:space="preserve">                                                   Internal Servers  Jump Server (Trusted Zone)</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firewall rule: Jump -&gt; Relay only</w:t>
            </w:r>
          </w:p>
          <w:p>
            <w:pPr>
              <w:spacing w:after="40"/>
            </w:pPr>
            <w:r>
              <w:rPr>
                <w:rFonts w:ascii="Consolas" w:cs="Consolas" w:eastAsia="Consolas" w:hAnsi="Consolas"/>
                <w:color w:val="2B3A55"/>
                <w:sz w:val="19"/>
                <w:szCs w:val="19"/>
              </w:rPr>
              <w:t xml:space="preserve">                                                                          v</w:t>
            </w:r>
          </w:p>
          <w:p>
            <w:pPr>
              <w:spacing w:after="40"/>
            </w:pPr>
            <w:r>
              <w:rPr>
                <w:rFonts w:ascii="Consolas" w:cs="Consolas" w:eastAsia="Consolas" w:hAnsi="Consolas"/>
                <w:color w:val="2B3A55"/>
                <w:sz w:val="19"/>
                <w:szCs w:val="19"/>
              </w:rPr>
              <w:t xml:space="preserve">                                                                    DMZ Patch Relay</w:t>
            </w:r>
          </w:p>
          <w:p>
            <w:pPr>
              <w:spacing w:after="40"/>
            </w:pPr>
            <w:r>
              <w:rPr>
                <w:rFonts w:ascii="Consolas" w:cs="Consolas" w:eastAsia="Consolas" w:hAnsi="Consolas"/>
                <w:color w:val="2B3A55"/>
                <w:sz w:val="19"/>
                <w:szCs w:val="19"/>
              </w:rPr>
              <w:t xml:space="preserve">                                                                          |</w:t>
            </w:r>
          </w:p>
          <w:p>
            <w:pPr>
              <w:spacing w:after="40"/>
            </w:pPr>
            <w:r>
              <w:rPr>
                <w:rFonts w:ascii="Consolas" w:cs="Consolas" w:eastAsia="Consolas" w:hAnsi="Consolas"/>
                <w:color w:val="2B3A55"/>
                <w:sz w:val="19"/>
                <w:szCs w:val="19"/>
              </w:rPr>
              <w:t xml:space="preserve">                                                        local pull, DMZ-internal only</w:t>
            </w:r>
          </w:p>
          <w:p>
            <w:pPr>
              <w:spacing w:after="40"/>
            </w:pPr>
            <w:r>
              <w:rPr>
                <w:rFonts w:ascii="Consolas" w:cs="Consolas" w:eastAsia="Consolas" w:hAnsi="Consolas"/>
                <w:color w:val="2B3A55"/>
                <w:sz w:val="19"/>
                <w:szCs w:val="19"/>
              </w:rPr>
              <w:t xml:space="preserve">                                                                          v</w:t>
            </w:r>
          </w:p>
          <w:p>
            <w:pPr>
              <w:spacing w:after="40"/>
            </w:pPr>
            <w:r>
              <w:rPr>
                <w:rFonts w:ascii="Consolas" w:cs="Consolas" w:eastAsia="Consolas" w:hAnsi="Consolas"/>
                <w:color w:val="2B3A55"/>
                <w:sz w:val="19"/>
                <w:szCs w:val="19"/>
              </w:rPr>
              <w:t xml:space="preserve">                                                         DMZ / Internet-Facing Servers</w:t>
            </w:r>
          </w:p>
          <w:p>
            <w:pPr>
              <w:spacing w:after="40"/>
            </w:pPr>
            <w:r>
              <w:rPr>
                <w:rFonts w:ascii="Consolas" w:cs="Consolas" w:eastAsia="Consolas" w:hAnsi="Consolas"/>
                <w:color w:val="2B3A55"/>
                <w:sz w:val="19"/>
                <w:szCs w:val="19"/>
              </w:rPr>
              <w:t xml:space="preserve">                                                                          x</w:t>
            </w:r>
          </w:p>
          <w:p>
            <w:pPr>
              <w:spacing w:after="40"/>
            </w:pPr>
            <w:r>
              <w:rPr>
                <w:rFonts w:ascii="Consolas" w:cs="Consolas" w:eastAsia="Consolas" w:hAnsi="Consolas"/>
                <w:color w:val="2B3A55"/>
                <w:sz w:val="19"/>
                <w:szCs w:val="19"/>
              </w:rPr>
              <w:t xml:space="preserve">                                                     BLOCKED: no direct internet / trusted-zone access</w:t>
            </w:r>
          </w:p>
        </w:tc>
      </w:tr>
    </w:tbl>
    <w:p>
      <w:pPr>
        <w:spacing w:after="160" w:line="276"/>
      </w:pPr>
      <w:r>
        <w:rPr>
          <w:rFonts w:ascii="Calibri" w:cs="Calibri" w:eastAsia="Calibri" w:hAnsi="Calibri"/>
          <w:sz w:val="22"/>
          <w:szCs w:val="22"/>
        </w:rPr>
        <w:t xml:space="preserve">Firewall rule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100"/>
        <w:gridCol w:w="1450"/>
        <w:gridCol w:w="1100"/>
      </w:tblGrid>
      <w:tr>
        <w:trPr>
          <w:tblHeader/>
        </w:trPr>
        <w:tc>
          <w:tcPr>
            <w:tcW w:type="dxa" w:w="2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Source</w:t>
            </w:r>
          </w:p>
        </w:tc>
        <w:tc>
          <w:tcPr>
            <w:tcW w:type="dxa" w:w="2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Destination</w:t>
            </w:r>
          </w:p>
        </w:tc>
        <w:tc>
          <w:tcPr>
            <w:tcW w:type="dxa" w:w="2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Port/Protocol</w:t>
            </w:r>
          </w:p>
        </w:tc>
        <w:tc>
          <w:tcPr>
            <w:tcW w:type="dxa" w:w="14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Direction</w:t>
            </w:r>
          </w:p>
        </w:tc>
        <w:tc>
          <w:tcPr>
            <w:tcW w:type="dxa" w:w="11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Purpose</w:t>
            </w:r>
          </w:p>
        </w:tc>
      </w:tr>
      <w:tr>
        <w:tc>
          <w:tcPr>
            <w:tcW w:type="dxa" w:w="2100"/>
            <w:tcMar>
              <w:top w:type="dxa" w:w="100"/>
              <w:left w:type="dxa" w:w="120"/>
              <w:bottom w:type="dxa" w:w="100"/>
              <w:right w:type="dxa" w:w="120"/>
            </w:tcMar>
          </w:tcPr>
          <w:p>
            <w:r>
              <w:rPr>
                <w:rFonts w:ascii="Calibri" w:cs="Calibri" w:eastAsia="Calibri" w:hAnsi="Calibri"/>
                <w:sz w:val="20"/>
                <w:szCs w:val="20"/>
              </w:rPr>
              <w:t xml:space="preserve">Staging/Download Node</w:t>
            </w:r>
          </w:p>
        </w:tc>
        <w:tc>
          <w:tcPr>
            <w:tcW w:type="dxa" w:w="2600"/>
            <w:tcMar>
              <w:top w:type="dxa" w:w="100"/>
              <w:left w:type="dxa" w:w="120"/>
              <w:bottom w:type="dxa" w:w="100"/>
              <w:right w:type="dxa" w:w="120"/>
            </w:tcMar>
          </w:tcPr>
          <w:p>
            <w:r>
              <w:rPr>
                <w:rFonts w:ascii="Calibri" w:cs="Calibri" w:eastAsia="Calibri" w:hAnsi="Calibri"/>
                <w:sz w:val="20"/>
                <w:szCs w:val="20"/>
              </w:rPr>
              <w:t xml:space="preserve">Internet (vendor CDNs only, allow-listed)</w:t>
            </w:r>
          </w:p>
        </w:tc>
        <w:tc>
          <w:tcPr>
            <w:tcW w:type="dxa" w:w="2100"/>
            <w:tcMar>
              <w:top w:type="dxa" w:w="100"/>
              <w:left w:type="dxa" w:w="120"/>
              <w:bottom w:type="dxa" w:w="100"/>
              <w:right w:type="dxa" w:w="120"/>
            </w:tcMar>
          </w:tcPr>
          <w:p>
            <w:r>
              <w:rPr>
                <w:rFonts w:ascii="Calibri" w:cs="Calibri" w:eastAsia="Calibri" w:hAnsi="Calibri"/>
                <w:sz w:val="20"/>
                <w:szCs w:val="20"/>
              </w:rPr>
              <w:t xml:space="preserve">443/HTTPS</w:t>
            </w:r>
          </w:p>
        </w:tc>
        <w:tc>
          <w:tcPr>
            <w:tcW w:type="dxa" w:w="1450"/>
            <w:tcMar>
              <w:top w:type="dxa" w:w="100"/>
              <w:left w:type="dxa" w:w="120"/>
              <w:bottom w:type="dxa" w:w="100"/>
              <w:right w:type="dxa" w:w="120"/>
            </w:tcMar>
          </w:tcPr>
          <w:p>
            <w:r>
              <w:rPr>
                <w:rFonts w:ascii="Calibri" w:cs="Calibri" w:eastAsia="Calibri" w:hAnsi="Calibri"/>
                <w:sz w:val="20"/>
                <w:szCs w:val="20"/>
              </w:rPr>
              <w:t xml:space="preserve">Outbound only</w:t>
            </w:r>
          </w:p>
        </w:tc>
        <w:tc>
          <w:tcPr>
            <w:tcW w:type="dxa" w:w="1100"/>
            <w:tcMar>
              <w:top w:type="dxa" w:w="100"/>
              <w:left w:type="dxa" w:w="120"/>
              <w:bottom w:type="dxa" w:w="100"/>
              <w:right w:type="dxa" w:w="120"/>
            </w:tcMar>
          </w:tcPr>
          <w:p>
            <w:r>
              <w:rPr>
                <w:rFonts w:ascii="Calibri" w:cs="Calibri" w:eastAsia="Calibri" w:hAnsi="Calibri"/>
                <w:sz w:val="20"/>
                <w:szCs w:val="20"/>
              </w:rPr>
              <w:t xml:space="preserve">Patch acquisition</w:t>
            </w:r>
          </w:p>
        </w:tc>
      </w:tr>
      <w:tr>
        <w:tc>
          <w:tcPr>
            <w:tcW w:type="dxa" w:w="2100"/>
            <w:tcMar>
              <w:top w:type="dxa" w:w="100"/>
              <w:left w:type="dxa" w:w="120"/>
              <w:bottom w:type="dxa" w:w="100"/>
              <w:right w:type="dxa" w:w="120"/>
            </w:tcMar>
          </w:tcPr>
          <w:p>
            <w:r>
              <w:rPr>
                <w:rFonts w:ascii="Calibri" w:cs="Calibri" w:eastAsia="Calibri" w:hAnsi="Calibri"/>
                <w:sz w:val="20"/>
                <w:szCs w:val="20"/>
              </w:rPr>
              <w:t xml:space="preserve">Jump Server (Trusted)</w:t>
            </w:r>
          </w:p>
        </w:tc>
        <w:tc>
          <w:tcPr>
            <w:tcW w:type="dxa" w:w="2600"/>
            <w:tcMar>
              <w:top w:type="dxa" w:w="100"/>
              <w:left w:type="dxa" w:w="120"/>
              <w:bottom w:type="dxa" w:w="100"/>
              <w:right w:type="dxa" w:w="120"/>
            </w:tcMar>
          </w:tcPr>
          <w:p>
            <w:r>
              <w:rPr>
                <w:rFonts w:ascii="Calibri" w:cs="Calibri" w:eastAsia="Calibri" w:hAnsi="Calibri"/>
                <w:sz w:val="20"/>
                <w:szCs w:val="20"/>
              </w:rPr>
              <w:t xml:space="preserve">DMZ Relay</w:t>
            </w:r>
          </w:p>
        </w:tc>
        <w:tc>
          <w:tcPr>
            <w:tcW w:type="dxa" w:w="2100"/>
            <w:tcMar>
              <w:top w:type="dxa" w:w="100"/>
              <w:left w:type="dxa" w:w="120"/>
              <w:bottom w:type="dxa" w:w="100"/>
              <w:right w:type="dxa" w:w="120"/>
            </w:tcMar>
          </w:tcPr>
          <w:p>
            <w:r>
              <w:rPr>
                <w:rFonts w:ascii="Calibri" w:cs="Calibri" w:eastAsia="Calibri" w:hAnsi="Calibri"/>
                <w:sz w:val="20"/>
                <w:szCs w:val="20"/>
              </w:rPr>
              <w:t xml:space="preserve">Restricted (e.g., 445/SSH-only, package transfer)</w:t>
            </w:r>
          </w:p>
        </w:tc>
        <w:tc>
          <w:tcPr>
            <w:tcW w:type="dxa" w:w="1450"/>
            <w:tcMar>
              <w:top w:type="dxa" w:w="100"/>
              <w:left w:type="dxa" w:w="120"/>
              <w:bottom w:type="dxa" w:w="100"/>
              <w:right w:type="dxa" w:w="120"/>
            </w:tcMar>
          </w:tcPr>
          <w:p>
            <w:r>
              <w:rPr>
                <w:rFonts w:ascii="Calibri" w:cs="Calibri" w:eastAsia="Calibri" w:hAnsi="Calibri"/>
                <w:sz w:val="20"/>
                <w:szCs w:val="20"/>
              </w:rPr>
              <w:t xml:space="preserve">One-way, Trusted→DMZ</w:t>
            </w:r>
          </w:p>
        </w:tc>
        <w:tc>
          <w:tcPr>
            <w:tcW w:type="dxa" w:w="1100"/>
            <w:tcMar>
              <w:top w:type="dxa" w:w="100"/>
              <w:left w:type="dxa" w:w="120"/>
              <w:bottom w:type="dxa" w:w="100"/>
              <w:right w:type="dxa" w:w="120"/>
            </w:tcMar>
          </w:tcPr>
          <w:p>
            <w:r>
              <w:rPr>
                <w:rFonts w:ascii="Calibri" w:cs="Calibri" w:eastAsia="Calibri" w:hAnsi="Calibri"/>
                <w:sz w:val="20"/>
                <w:szCs w:val="20"/>
              </w:rPr>
              <w:t xml:space="preserve">Package delivery</w:t>
            </w:r>
          </w:p>
        </w:tc>
      </w:tr>
      <w:tr>
        <w:tc>
          <w:tcPr>
            <w:tcW w:type="dxa" w:w="2100"/>
            <w:tcMar>
              <w:top w:type="dxa" w:w="100"/>
              <w:left w:type="dxa" w:w="120"/>
              <w:bottom w:type="dxa" w:w="100"/>
              <w:right w:type="dxa" w:w="120"/>
            </w:tcMar>
          </w:tcPr>
          <w:p>
            <w:r>
              <w:rPr>
                <w:rFonts w:ascii="Calibri" w:cs="Calibri" w:eastAsia="Calibri" w:hAnsi="Calibri"/>
                <w:sz w:val="20"/>
                <w:szCs w:val="20"/>
              </w:rPr>
              <w:t xml:space="preserve">DMZ Servers</w:t>
            </w:r>
          </w:p>
        </w:tc>
        <w:tc>
          <w:tcPr>
            <w:tcW w:type="dxa" w:w="2600"/>
            <w:tcMar>
              <w:top w:type="dxa" w:w="100"/>
              <w:left w:type="dxa" w:w="120"/>
              <w:bottom w:type="dxa" w:w="100"/>
              <w:right w:type="dxa" w:w="120"/>
            </w:tcMar>
          </w:tcPr>
          <w:p>
            <w:r>
              <w:rPr>
                <w:rFonts w:ascii="Calibri" w:cs="Calibri" w:eastAsia="Calibri" w:hAnsi="Calibri"/>
                <w:sz w:val="20"/>
                <w:szCs w:val="20"/>
              </w:rPr>
              <w:t xml:space="preserve">DMZ Relay</w:t>
            </w:r>
          </w:p>
        </w:tc>
        <w:tc>
          <w:tcPr>
            <w:tcW w:type="dxa" w:w="2100"/>
            <w:tcMar>
              <w:top w:type="dxa" w:w="100"/>
              <w:left w:type="dxa" w:w="120"/>
              <w:bottom w:type="dxa" w:w="100"/>
              <w:right w:type="dxa" w:w="120"/>
            </w:tcMar>
          </w:tcPr>
          <w:p>
            <w:r>
              <w:rPr>
                <w:rFonts w:ascii="Calibri" w:cs="Calibri" w:eastAsia="Calibri" w:hAnsi="Calibri"/>
                <w:sz w:val="20"/>
                <w:szCs w:val="20"/>
              </w:rPr>
              <w:t xml:space="preserve">Local mgmt port</w:t>
            </w:r>
          </w:p>
        </w:tc>
        <w:tc>
          <w:tcPr>
            <w:tcW w:type="dxa" w:w="1450"/>
            <w:tcMar>
              <w:top w:type="dxa" w:w="100"/>
              <w:left w:type="dxa" w:w="120"/>
              <w:bottom w:type="dxa" w:w="100"/>
              <w:right w:type="dxa" w:w="120"/>
            </w:tcMar>
          </w:tcPr>
          <w:p>
            <w:r>
              <w:rPr>
                <w:rFonts w:ascii="Calibri" w:cs="Calibri" w:eastAsia="Calibri" w:hAnsi="Calibri"/>
                <w:sz w:val="20"/>
                <w:szCs w:val="20"/>
              </w:rPr>
              <w:t xml:space="preserve">Internal to DMZ only</w:t>
            </w:r>
          </w:p>
        </w:tc>
        <w:tc>
          <w:tcPr>
            <w:tcW w:type="dxa" w:w="1100"/>
            <w:tcMar>
              <w:top w:type="dxa" w:w="100"/>
              <w:left w:type="dxa" w:w="120"/>
              <w:bottom w:type="dxa" w:w="100"/>
              <w:right w:type="dxa" w:w="120"/>
            </w:tcMar>
          </w:tcPr>
          <w:p>
            <w:r>
              <w:rPr>
                <w:rFonts w:ascii="Calibri" w:cs="Calibri" w:eastAsia="Calibri" w:hAnsi="Calibri"/>
                <w:sz w:val="20"/>
                <w:szCs w:val="20"/>
              </w:rPr>
              <w:t xml:space="preserve">Patch pull/install</w:t>
            </w:r>
          </w:p>
        </w:tc>
      </w:tr>
      <w:tr>
        <w:tc>
          <w:tcPr>
            <w:tcW w:type="dxa" w:w="2100"/>
            <w:tcMar>
              <w:top w:type="dxa" w:w="100"/>
              <w:left w:type="dxa" w:w="120"/>
              <w:bottom w:type="dxa" w:w="100"/>
              <w:right w:type="dxa" w:w="120"/>
            </w:tcMar>
          </w:tcPr>
          <w:p>
            <w:r>
              <w:rPr>
                <w:rFonts w:ascii="Calibri" w:cs="Calibri" w:eastAsia="Calibri" w:hAnsi="Calibri"/>
                <w:sz w:val="20"/>
                <w:szCs w:val="20"/>
              </w:rPr>
              <w:t xml:space="preserve">DMZ Servers</w:t>
            </w:r>
          </w:p>
        </w:tc>
        <w:tc>
          <w:tcPr>
            <w:tcW w:type="dxa" w:w="2600"/>
            <w:tcMar>
              <w:top w:type="dxa" w:w="100"/>
              <w:left w:type="dxa" w:w="120"/>
              <w:bottom w:type="dxa" w:w="100"/>
              <w:right w:type="dxa" w:w="120"/>
            </w:tcMar>
          </w:tcPr>
          <w:p>
            <w:r>
              <w:rPr>
                <w:rFonts w:ascii="Calibri" w:cs="Calibri" w:eastAsia="Calibri" w:hAnsi="Calibri"/>
                <w:sz w:val="20"/>
                <w:szCs w:val="20"/>
              </w:rPr>
              <w:t xml:space="preserve">Internet</w:t>
            </w:r>
          </w:p>
        </w:tc>
        <w:tc>
          <w:tcPr>
            <w:tcW w:type="dxa" w:w="2100"/>
            <w:tcMar>
              <w:top w:type="dxa" w:w="100"/>
              <w:left w:type="dxa" w:w="120"/>
              <w:bottom w:type="dxa" w:w="100"/>
              <w:right w:type="dxa" w:w="120"/>
            </w:tcMar>
          </w:tcPr>
          <w:p>
            <w:r>
              <w:rPr>
                <w:rFonts w:ascii="Calibri" w:cs="Calibri" w:eastAsia="Calibri" w:hAnsi="Calibri"/>
                <w:sz w:val="20"/>
                <w:szCs w:val="20"/>
              </w:rPr>
              <w:t xml:space="preserve">—</w:t>
            </w:r>
          </w:p>
        </w:tc>
        <w:tc>
          <w:tcPr>
            <w:tcW w:type="dxa" w:w="1450"/>
            <w:tcMar>
              <w:top w:type="dxa" w:w="100"/>
              <w:left w:type="dxa" w:w="120"/>
              <w:bottom w:type="dxa" w:w="100"/>
              <w:right w:type="dxa" w:w="120"/>
            </w:tcMar>
          </w:tcPr>
          <w:p>
            <w:r>
              <w:rPr>
                <w:rFonts w:ascii="Calibri" w:cs="Calibri" w:eastAsia="Calibri" w:hAnsi="Calibri"/>
                <w:sz w:val="20"/>
                <w:szCs w:val="20"/>
              </w:rPr>
              <w:t xml:space="preserve">Explicitly blocked</w:t>
            </w:r>
          </w:p>
        </w:tc>
        <w:tc>
          <w:tcPr>
            <w:tcW w:type="dxa" w:w="1100"/>
            <w:tcMar>
              <w:top w:type="dxa" w:w="100"/>
              <w:left w:type="dxa" w:w="120"/>
              <w:bottom w:type="dxa" w:w="100"/>
              <w:right w:type="dxa" w:w="120"/>
            </w:tcMar>
          </w:tcPr>
          <w:p>
            <w:r>
              <w:rPr>
                <w:rFonts w:ascii="Calibri" w:cs="Calibri" w:eastAsia="Calibri" w:hAnsi="Calibri"/>
                <w:sz w:val="20"/>
                <w:szCs w:val="20"/>
              </w:rPr>
              <w:t xml:space="preserve">Prevent direct patching bypass and reduce attack surface</w:t>
            </w:r>
          </w:p>
        </w:tc>
      </w:tr>
      <w:tr>
        <w:tc>
          <w:tcPr>
            <w:tcW w:type="dxa" w:w="2100"/>
            <w:tcMar>
              <w:top w:type="dxa" w:w="100"/>
              <w:left w:type="dxa" w:w="120"/>
              <w:bottom w:type="dxa" w:w="100"/>
              <w:right w:type="dxa" w:w="120"/>
            </w:tcMar>
          </w:tcPr>
          <w:p>
            <w:r>
              <w:rPr>
                <w:rFonts w:ascii="Calibri" w:cs="Calibri" w:eastAsia="Calibri" w:hAnsi="Calibri"/>
                <w:sz w:val="20"/>
                <w:szCs w:val="20"/>
              </w:rPr>
              <w:t xml:space="preserve">Orchestration Platform</w:t>
            </w:r>
          </w:p>
        </w:tc>
        <w:tc>
          <w:tcPr>
            <w:tcW w:type="dxa" w:w="2600"/>
            <w:tcMar>
              <w:top w:type="dxa" w:w="100"/>
              <w:left w:type="dxa" w:w="120"/>
              <w:bottom w:type="dxa" w:w="100"/>
              <w:right w:type="dxa" w:w="120"/>
            </w:tcMar>
          </w:tcPr>
          <w:p>
            <w:r>
              <w:rPr>
                <w:rFonts w:ascii="Calibri" w:cs="Calibri" w:eastAsia="Calibri" w:hAnsi="Calibri"/>
                <w:sz w:val="20"/>
                <w:szCs w:val="20"/>
              </w:rPr>
              <w:t xml:space="preserve">ServiceNow instance</w:t>
            </w:r>
          </w:p>
        </w:tc>
        <w:tc>
          <w:tcPr>
            <w:tcW w:type="dxa" w:w="2100"/>
            <w:tcMar>
              <w:top w:type="dxa" w:w="100"/>
              <w:left w:type="dxa" w:w="120"/>
              <w:bottom w:type="dxa" w:w="100"/>
              <w:right w:type="dxa" w:w="120"/>
            </w:tcMar>
          </w:tcPr>
          <w:p>
            <w:r>
              <w:rPr>
                <w:rFonts w:ascii="Calibri" w:cs="Calibri" w:eastAsia="Calibri" w:hAnsi="Calibri"/>
                <w:sz w:val="20"/>
                <w:szCs w:val="20"/>
              </w:rPr>
              <w:t xml:space="preserve">443/HTTPS (REST API)</w:t>
            </w:r>
          </w:p>
        </w:tc>
        <w:tc>
          <w:tcPr>
            <w:tcW w:type="dxa" w:w="1450"/>
            <w:tcMar>
              <w:top w:type="dxa" w:w="100"/>
              <w:left w:type="dxa" w:w="120"/>
              <w:bottom w:type="dxa" w:w="100"/>
              <w:right w:type="dxa" w:w="120"/>
            </w:tcMar>
          </w:tcPr>
          <w:p>
            <w:r>
              <w:rPr>
                <w:rFonts w:ascii="Calibri" w:cs="Calibri" w:eastAsia="Calibri" w:hAnsi="Calibri"/>
                <w:sz w:val="20"/>
                <w:szCs w:val="20"/>
              </w:rPr>
              <w:t xml:space="preserve">Outbound only</w:t>
            </w:r>
          </w:p>
        </w:tc>
        <w:tc>
          <w:tcPr>
            <w:tcW w:type="dxa" w:w="1100"/>
            <w:tcMar>
              <w:top w:type="dxa" w:w="100"/>
              <w:left w:type="dxa" w:w="120"/>
              <w:bottom w:type="dxa" w:w="100"/>
              <w:right w:type="dxa" w:w="120"/>
            </w:tcMar>
          </w:tcPr>
          <w:p>
            <w:r>
              <w:rPr>
                <w:rFonts w:ascii="Calibri" w:cs="Calibri" w:eastAsia="Calibri" w:hAnsi="Calibri"/>
                <w:sz w:val="20"/>
                <w:szCs w:val="20"/>
              </w:rPr>
              <w:t xml:space="preserve">Change/CMDB updates</w:t>
            </w:r>
          </w:p>
        </w:tc>
      </w:tr>
    </w:tbl>
    <w:p>
      <w:pPr>
        <w:spacing w:after="160" w:line="276"/>
      </w:pPr>
      <w:r>
        <w:rPr>
          <w:rFonts w:ascii="Calibri" w:cs="Calibri" w:eastAsia="Calibri" w:hAnsi="Calibri"/>
          <w:sz w:val="22"/>
          <w:szCs w:val="22"/>
        </w:rPr>
        <w:t xml:space="preserve">Bandwidth/latency note: for large patch bundles (e.g., cumulative Windows updates, 500MB–2GB), stage once centrally and fan out locally per zone rather than re-downloading per server — this matters especially for DMZ relay sizing and for remote/branch sites on constrained links.</w:t>
      </w:r>
    </w:p>
    <w:p>
      <w:pPr>
        <w:pStyle w:val="Heading1"/>
        <w:spacing w:after="160" w:before="360"/>
      </w:pPr>
      <w:r>
        <w:t xml:space="preserve">8. Operations &amp; Monitoring</w:t>
      </w:r>
    </w:p>
    <w:p>
      <w:pPr>
        <w:pStyle w:val="ListParagraph"/>
        <w:numPr>
          <w:ilvl w:val="0"/>
          <w:numId w:val="2"/>
        </w:numPr>
        <w:spacing w:after="80"/>
      </w:pPr>
      <w:r>
        <w:rPr>
          <w:rFonts w:ascii="Calibri" w:cs="Calibri" w:eastAsia="Calibri" w:hAnsi="Calibri"/>
          <w:sz w:val="22"/>
          <w:szCs w:val="22"/>
        </w:rPr>
        <w:t xml:space="preserve">Real-time dashboard (Power BI or ServiceNow Performance Analytics) showing: patch compliance % by zone, SLA countdown timers for open Day-0/Critical changes, exception list with owner and reason.</w:t>
      </w:r>
    </w:p>
    <w:p>
      <w:pPr>
        <w:pStyle w:val="ListParagraph"/>
        <w:numPr>
          <w:ilvl w:val="0"/>
          <w:numId w:val="2"/>
        </w:numPr>
        <w:spacing w:after="80"/>
      </w:pPr>
      <w:r>
        <w:rPr>
          <w:rFonts w:ascii="Calibri" w:cs="Calibri" w:eastAsia="Calibri" w:hAnsi="Calibri"/>
          <w:sz w:val="22"/>
          <w:szCs w:val="22"/>
        </w:rPr>
        <w:t xml:space="preserve">Alerting: automated alert (Teams/Slack/email + ServiceNow notification) when a DMZ Day-0 change is within 24 hours of its 3-day SLA deadline and not yet 100% deployed.</w:t>
      </w:r>
    </w:p>
    <w:p>
      <w:pPr>
        <w:pStyle w:val="ListParagraph"/>
        <w:numPr>
          <w:ilvl w:val="0"/>
          <w:numId w:val="2"/>
        </w:numPr>
        <w:spacing w:after="80"/>
      </w:pPr>
      <w:r>
        <w:rPr>
          <w:rFonts w:ascii="Calibri" w:cs="Calibri" w:eastAsia="Calibri" w:hAnsi="Calibri"/>
          <w:sz w:val="22"/>
          <w:szCs w:val="22"/>
        </w:rPr>
        <w:t xml:space="preserve">Exception handling workflow: any CI that fails deployment or validation automatically spins off an Incident linked to the parent Change, assigned to the CI owner, with the failure log attached — it does not silently sit in a spreadsheet.</w:t>
      </w:r>
    </w:p>
    <w:p>
      <w:pPr>
        <w:pStyle w:val="ListParagraph"/>
        <w:numPr>
          <w:ilvl w:val="0"/>
          <w:numId w:val="2"/>
        </w:numPr>
        <w:spacing w:after="80"/>
      </w:pPr>
      <w:r>
        <w:rPr>
          <w:rFonts w:ascii="Calibri" w:cs="Calibri" w:eastAsia="Calibri" w:hAnsi="Calibri"/>
          <w:sz w:val="22"/>
          <w:szCs w:val="22"/>
        </w:rPr>
        <w:t xml:space="preserve">Weekly/Monthly patch compliance report to security leadership, split by zone, with trend of mean-time-to-patch for DMZ vs internal.</w:t>
      </w:r>
    </w:p>
    <w:p>
      <w:pPr>
        <w:pStyle w:val="ListParagraph"/>
        <w:numPr>
          <w:ilvl w:val="0"/>
          <w:numId w:val="2"/>
        </w:numPr>
        <w:spacing w:after="80"/>
      </w:pPr>
      <w:r>
        <w:rPr>
          <w:rFonts w:ascii="Calibri" w:cs="Calibri" w:eastAsia="Calibri" w:hAnsi="Calibri"/>
          <w:sz w:val="22"/>
          <w:szCs w:val="22"/>
        </w:rPr>
        <w:t xml:space="preserve">Drift detection: daily inventory re-scan compares against the "should be patched by" list from CMDB and flags any server that fell out of compliance post-deployment (e.g., due to being offline during the window).</w:t>
      </w:r>
    </w:p>
    <w:p>
      <w:pPr>
        <w:pStyle w:val="Heading1"/>
        <w:spacing w:after="160" w:before="360"/>
      </w:pPr>
      <w:r>
        <w:t xml:space="preserve">9. Risks &amp; Mitigations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Risk</w:t>
            </w:r>
          </w:p>
        </w:tc>
        <w:tc>
          <w:tcPr>
            <w:tcW w:type="dxa" w:w="29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Impact</w:t>
            </w:r>
          </w:p>
        </w:tc>
        <w:tc>
          <w:tcPr>
            <w:tcW w:type="dxa" w:w="35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Mitigation</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DMZ 3-day SLA missed due to CAB delay</w:t>
            </w:r>
          </w:p>
        </w:tc>
        <w:tc>
          <w:tcPr>
            <w:tcW w:type="dxa" w:w="2900"/>
            <w:tcMar>
              <w:top w:type="dxa" w:w="100"/>
              <w:left w:type="dxa" w:w="120"/>
              <w:bottom w:type="dxa" w:w="100"/>
              <w:right w:type="dxa" w:w="120"/>
            </w:tcMar>
          </w:tcPr>
          <w:p>
            <w:r>
              <w:rPr>
                <w:rFonts w:ascii="Calibri" w:cs="Calibri" w:eastAsia="Calibri" w:hAnsi="Calibri"/>
                <w:sz w:val="20"/>
                <w:szCs w:val="20"/>
              </w:rPr>
              <w:t xml:space="preserve">Extended exposure window on internet-facing assets</w:t>
            </w:r>
          </w:p>
        </w:tc>
        <w:tc>
          <w:tcPr>
            <w:tcW w:type="dxa" w:w="3550"/>
            <w:tcMar>
              <w:top w:type="dxa" w:w="100"/>
              <w:left w:type="dxa" w:w="120"/>
              <w:bottom w:type="dxa" w:w="100"/>
              <w:right w:type="dxa" w:w="120"/>
            </w:tcMar>
          </w:tcPr>
          <w:p>
            <w:r>
              <w:rPr>
                <w:rFonts w:ascii="Calibri" w:cs="Calibri" w:eastAsia="Calibri" w:hAnsi="Calibri"/>
                <w:sz w:val="20"/>
                <w:szCs w:val="20"/>
              </w:rPr>
              <w:t xml:space="preserve">Pre-approved Emergency Change template; CAB notified not gated</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Patch breaks application/service on Internet-facing server</w:t>
            </w:r>
          </w:p>
        </w:tc>
        <w:tc>
          <w:tcPr>
            <w:tcW w:type="dxa" w:w="2900"/>
            <w:tcMar>
              <w:top w:type="dxa" w:w="100"/>
              <w:left w:type="dxa" w:w="120"/>
              <w:bottom w:type="dxa" w:w="100"/>
              <w:right w:type="dxa" w:w="120"/>
            </w:tcMar>
          </w:tcPr>
          <w:p>
            <w:r>
              <w:rPr>
                <w:rFonts w:ascii="Calibri" w:cs="Calibri" w:eastAsia="Calibri" w:hAnsi="Calibri"/>
                <w:sz w:val="20"/>
                <w:szCs w:val="20"/>
              </w:rPr>
              <w:t xml:space="preserve">Outage on customer-facing system</w:t>
            </w:r>
          </w:p>
        </w:tc>
        <w:tc>
          <w:tcPr>
            <w:tcW w:type="dxa" w:w="3550"/>
            <w:tcMar>
              <w:top w:type="dxa" w:w="100"/>
              <w:left w:type="dxa" w:w="120"/>
              <w:bottom w:type="dxa" w:w="100"/>
              <w:right w:type="dxa" w:w="120"/>
            </w:tcMar>
          </w:tcPr>
          <w:p>
            <w:r>
              <w:rPr>
                <w:rFonts w:ascii="Calibri" w:cs="Calibri" w:eastAsia="Calibri" w:hAnsi="Calibri"/>
                <w:sz w:val="20"/>
                <w:szCs w:val="20"/>
              </w:rPr>
              <w:t xml:space="preserve">Mandatory pilot/canary ring even for Day-0 (compress to hours, not days); automated rollback script bundled in every package</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Stale/incomplete CMDB misses a DMZ server entirely</w:t>
            </w:r>
          </w:p>
        </w:tc>
        <w:tc>
          <w:tcPr>
            <w:tcW w:type="dxa" w:w="2900"/>
            <w:tcMar>
              <w:top w:type="dxa" w:w="100"/>
              <w:left w:type="dxa" w:w="120"/>
              <w:bottom w:type="dxa" w:w="100"/>
              <w:right w:type="dxa" w:w="120"/>
            </w:tcMar>
          </w:tcPr>
          <w:p>
            <w:r>
              <w:rPr>
                <w:rFonts w:ascii="Calibri" w:cs="Calibri" w:eastAsia="Calibri" w:hAnsi="Calibri"/>
                <w:sz w:val="20"/>
                <w:szCs w:val="20"/>
              </w:rPr>
              <w:t xml:space="preserve">Unpatched server sits exposed, invisible to the process</w:t>
            </w:r>
          </w:p>
        </w:tc>
        <w:tc>
          <w:tcPr>
            <w:tcW w:type="dxa" w:w="3550"/>
            <w:tcMar>
              <w:top w:type="dxa" w:w="100"/>
              <w:left w:type="dxa" w:w="120"/>
              <w:bottom w:type="dxa" w:w="100"/>
              <w:right w:type="dxa" w:w="120"/>
            </w:tcMar>
          </w:tcPr>
          <w:p>
            <w:r>
              <w:rPr>
                <w:rFonts w:ascii="Calibri" w:cs="Calibri" w:eastAsia="Calibri" w:hAnsi="Calibri"/>
                <w:sz w:val="20"/>
                <w:szCs w:val="20"/>
              </w:rPr>
              <w:t xml:space="preserve">Daily inventory reconciliation with drift/exception queue reviewed by ops daily</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Credential compromise on jump server used for DMZ push</w:t>
            </w:r>
          </w:p>
        </w:tc>
        <w:tc>
          <w:tcPr>
            <w:tcW w:type="dxa" w:w="2900"/>
            <w:tcMar>
              <w:top w:type="dxa" w:w="100"/>
              <w:left w:type="dxa" w:w="120"/>
              <w:bottom w:type="dxa" w:w="100"/>
              <w:right w:type="dxa" w:w="120"/>
            </w:tcMar>
          </w:tcPr>
          <w:p>
            <w:r>
              <w:rPr>
                <w:rFonts w:ascii="Calibri" w:cs="Calibri" w:eastAsia="Calibri" w:hAnsi="Calibri"/>
                <w:sz w:val="20"/>
                <w:szCs w:val="20"/>
              </w:rPr>
              <w:t xml:space="preserve">Lateral movement path into DMZ</w:t>
            </w:r>
          </w:p>
        </w:tc>
        <w:tc>
          <w:tcPr>
            <w:tcW w:type="dxa" w:w="3550"/>
            <w:tcMar>
              <w:top w:type="dxa" w:w="100"/>
              <w:left w:type="dxa" w:w="120"/>
              <w:bottom w:type="dxa" w:w="100"/>
              <w:right w:type="dxa" w:w="120"/>
            </w:tcMar>
          </w:tcPr>
          <w:p>
            <w:r>
              <w:rPr>
                <w:rFonts w:ascii="Calibri" w:cs="Calibri" w:eastAsia="Calibri" w:hAnsi="Calibri"/>
                <w:sz w:val="20"/>
                <w:szCs w:val="20"/>
              </w:rPr>
              <w:t xml:space="preserve">Just-in-time vaulted credentials, MFA on jump server, single-purpose hardened host, session recording</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Package tampering in transit or at rest</w:t>
            </w:r>
          </w:p>
        </w:tc>
        <w:tc>
          <w:tcPr>
            <w:tcW w:type="dxa" w:w="2900"/>
            <w:tcMar>
              <w:top w:type="dxa" w:w="100"/>
              <w:left w:type="dxa" w:w="120"/>
              <w:bottom w:type="dxa" w:w="100"/>
              <w:right w:type="dxa" w:w="120"/>
            </w:tcMar>
          </w:tcPr>
          <w:p>
            <w:r>
              <w:rPr>
                <w:rFonts w:ascii="Calibri" w:cs="Calibri" w:eastAsia="Calibri" w:hAnsi="Calibri"/>
                <w:sz w:val="20"/>
                <w:szCs w:val="20"/>
              </w:rPr>
              <w:t xml:space="preserve">Supply-chain style compromise</w:t>
            </w:r>
          </w:p>
        </w:tc>
        <w:tc>
          <w:tcPr>
            <w:tcW w:type="dxa" w:w="3550"/>
            <w:tcMar>
              <w:top w:type="dxa" w:w="100"/>
              <w:left w:type="dxa" w:w="120"/>
              <w:bottom w:type="dxa" w:w="100"/>
              <w:right w:type="dxa" w:w="120"/>
            </w:tcMar>
          </w:tcPr>
          <w:p>
            <w:r>
              <w:rPr>
                <w:rFonts w:ascii="Calibri" w:cs="Calibri" w:eastAsia="Calibri" w:hAnsi="Calibri"/>
                <w:sz w:val="20"/>
                <w:szCs w:val="20"/>
              </w:rPr>
              <w:t xml:space="preserve">Signature/checksum verification at every hop (download, staging, DMZ relay)</w:t>
            </w:r>
          </w:p>
        </w:tc>
      </w:tr>
      <w:tr>
        <w:tc>
          <w:tcPr>
            <w:tcW w:type="dxa" w:w="2900"/>
            <w:tcMar>
              <w:top w:type="dxa" w:w="100"/>
              <w:left w:type="dxa" w:w="120"/>
              <w:bottom w:type="dxa" w:w="100"/>
              <w:right w:type="dxa" w:w="120"/>
            </w:tcMar>
          </w:tcPr>
          <w:p>
            <w:r>
              <w:rPr>
                <w:rFonts w:ascii="Calibri" w:cs="Calibri" w:eastAsia="Calibri" w:hAnsi="Calibri"/>
                <w:sz w:val="20"/>
                <w:szCs w:val="20"/>
              </w:rPr>
              <w:t xml:space="preserve">Reboot-required patches during business hours on Internet-facing systems</w:t>
            </w:r>
          </w:p>
        </w:tc>
        <w:tc>
          <w:tcPr>
            <w:tcW w:type="dxa" w:w="2900"/>
            <w:tcMar>
              <w:top w:type="dxa" w:w="100"/>
              <w:left w:type="dxa" w:w="120"/>
              <w:bottom w:type="dxa" w:w="100"/>
              <w:right w:type="dxa" w:w="120"/>
            </w:tcMar>
          </w:tcPr>
          <w:p>
            <w:r>
              <w:rPr>
                <w:rFonts w:ascii="Calibri" w:cs="Calibri" w:eastAsia="Calibri" w:hAnsi="Calibri"/>
                <w:sz w:val="20"/>
                <w:szCs w:val="20"/>
              </w:rPr>
              <w:t xml:space="preserve">Availability impact</w:t>
            </w:r>
          </w:p>
        </w:tc>
        <w:tc>
          <w:tcPr>
            <w:tcW w:type="dxa" w:w="3550"/>
            <w:tcMar>
              <w:top w:type="dxa" w:w="100"/>
              <w:left w:type="dxa" w:w="120"/>
              <w:bottom w:type="dxa" w:w="100"/>
              <w:right w:type="dxa" w:w="120"/>
            </w:tcMar>
          </w:tcPr>
          <w:p>
            <w:r>
              <w:rPr>
                <w:rFonts w:ascii="Calibri" w:cs="Calibri" w:eastAsia="Calibri" w:hAnsi="Calibri"/>
                <w:sz w:val="20"/>
                <w:szCs w:val="20"/>
              </w:rPr>
              <w:t xml:space="preserve">Rolling/canary deployment across redundant server pairs; drain load balancer before patch, re-add after validation</w:t>
            </w:r>
          </w:p>
        </w:tc>
      </w:tr>
    </w:tbl>
    <w:p>
      <w:pPr>
        <w:pStyle w:val="Heading1"/>
        <w:spacing w:after="160" w:before="360"/>
      </w:pPr>
      <w:r>
        <w:t xml:space="preserve">10. Cost &amp; Licensing Considerations</w:t>
      </w:r>
    </w:p>
    <w:p>
      <w:pPr>
        <w:pStyle w:val="ListParagraph"/>
        <w:numPr>
          <w:ilvl w:val="0"/>
          <w:numId w:val="2"/>
        </w:numPr>
        <w:spacing w:after="80"/>
      </w:pPr>
      <w:r>
        <w:rPr>
          <w:rFonts w:ascii="Calibri" w:cs="Calibri" w:eastAsia="Calibri" w:hAnsi="Calibri"/>
          <w:sz w:val="22"/>
          <w:szCs w:val="22"/>
        </w:rPr>
        <w:t xml:space="preserve">Ansible Automation Platform: subscription per managed node (or per-core for controller); factor in execution environment nodes for DMZ (may need a dedicated execution node/bastion inside or adjacent to DMZ).</w:t>
      </w:r>
    </w:p>
    <w:p>
      <w:pPr>
        <w:pStyle w:val="ListParagraph"/>
        <w:numPr>
          <w:ilvl w:val="0"/>
          <w:numId w:val="2"/>
        </w:numPr>
        <w:spacing w:after="80"/>
      </w:pPr>
      <w:r>
        <w:rPr>
          <w:rFonts w:ascii="Calibri" w:cs="Calibri" w:eastAsia="Calibri" w:hAnsi="Calibri"/>
          <w:sz w:val="22"/>
          <w:szCs w:val="22"/>
        </w:rPr>
        <w:t xml:space="preserve">ServiceNow: confirm existing ITOM/ITSM license tier supports Table API + Flow Designer/IntegrationHub actions used here; Performance Analytics module needed for the compliance dashboards if not already licensed.</w:t>
      </w:r>
    </w:p>
    <w:p>
      <w:pPr>
        <w:pStyle w:val="ListParagraph"/>
        <w:numPr>
          <w:ilvl w:val="0"/>
          <w:numId w:val="2"/>
        </w:numPr>
        <w:spacing w:after="80"/>
      </w:pPr>
      <w:r>
        <w:rPr>
          <w:rFonts w:ascii="Calibri" w:cs="Calibri" w:eastAsia="Calibri" w:hAnsi="Calibri"/>
          <w:sz w:val="22"/>
          <w:szCs w:val="22"/>
        </w:rPr>
        <w:t xml:space="preserve">WSUS/SCCM: typically already licensed under existing Microsoft EA if Windows Server estate is in scope — incremental cost is mainly DMZ Distribution Point hardware/VM if a new one is required.</w:t>
      </w:r>
    </w:p>
    <w:p>
      <w:pPr>
        <w:pStyle w:val="ListParagraph"/>
        <w:numPr>
          <w:ilvl w:val="0"/>
          <w:numId w:val="2"/>
        </w:numPr>
        <w:spacing w:after="80"/>
      </w:pPr>
      <w:r>
        <w:rPr>
          <w:rFonts w:ascii="Calibri" w:cs="Calibri" w:eastAsia="Calibri" w:hAnsi="Calibri"/>
          <w:sz w:val="22"/>
          <w:szCs w:val="22"/>
        </w:rPr>
        <w:t xml:space="preserve">Secrets management: if not already in place, CyberArk/HashiCorp Vault licensing is a new line item — this is not optional given the DMZ credential handling requirement.</w:t>
      </w:r>
    </w:p>
    <w:p>
      <w:pPr>
        <w:pStyle w:val="ListParagraph"/>
        <w:numPr>
          <w:ilvl w:val="0"/>
          <w:numId w:val="2"/>
        </w:numPr>
        <w:spacing w:after="80"/>
      </w:pPr>
      <w:r>
        <w:rPr>
          <w:rFonts w:ascii="Calibri" w:cs="Calibri" w:eastAsia="Calibri" w:hAnsi="Calibri"/>
          <w:sz w:val="22"/>
          <w:szCs w:val="22"/>
        </w:rPr>
        <w:t xml:space="preserve">One-time cost: playbook/automation development effort (typically the largest cost driver, more than licensing) — budget for a phased build (Section 11) rather than a single big-bang implementation.</w:t>
      </w:r>
    </w:p>
    <w:p>
      <w:pPr>
        <w:pStyle w:val="Heading1"/>
        <w:spacing w:after="160" w:before="360"/>
      </w:pPr>
      <w:r>
        <w:t xml:space="preserve">11. Implementation Roadmap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00"/>
        <w:gridCol w:w="1650"/>
        <w:gridCol w:w="5000"/>
      </w:tblGrid>
      <w:tr>
        <w:trPr>
          <w:tblHeader/>
        </w:trPr>
        <w:tc>
          <w:tcPr>
            <w:tcW w:type="dxa" w:w="27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Phase</w:t>
            </w:r>
          </w:p>
        </w:tc>
        <w:tc>
          <w:tcPr>
            <w:tcW w:type="dxa" w:w="165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Duration</w:t>
            </w:r>
          </w:p>
        </w:tc>
        <w:tc>
          <w:tcPr>
            <w:tcW w:type="dxa" w:w="5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Scope</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0 — Discovery &amp; CMDB Cleanup</w:t>
            </w:r>
          </w:p>
        </w:tc>
        <w:tc>
          <w:tcPr>
            <w:tcW w:type="dxa" w:w="1650"/>
            <w:tcMar>
              <w:top w:type="dxa" w:w="100"/>
              <w:left w:type="dxa" w:w="120"/>
              <w:bottom w:type="dxa" w:w="100"/>
              <w:right w:type="dxa" w:w="120"/>
            </w:tcMar>
          </w:tcPr>
          <w:p>
            <w:r>
              <w:rPr>
                <w:rFonts w:ascii="Calibri" w:cs="Calibri" w:eastAsia="Calibri" w:hAnsi="Calibri"/>
                <w:sz w:val="20"/>
                <w:szCs w:val="20"/>
              </w:rPr>
              <w:t xml:space="preserve">2–4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Validate assumptions in Section 2, reconcile CMDB, tag all CIs with network_zone/internet_facing attributes</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1 — Foundation</w:t>
            </w:r>
          </w:p>
        </w:tc>
        <w:tc>
          <w:tcPr>
            <w:tcW w:type="dxa" w:w="1650"/>
            <w:tcMar>
              <w:top w:type="dxa" w:w="100"/>
              <w:left w:type="dxa" w:w="120"/>
              <w:bottom w:type="dxa" w:w="100"/>
              <w:right w:type="dxa" w:w="120"/>
            </w:tcMar>
          </w:tcPr>
          <w:p>
            <w:r>
              <w:rPr>
                <w:rFonts w:ascii="Calibri" w:cs="Calibri" w:eastAsia="Calibri" w:hAnsi="Calibri"/>
                <w:sz w:val="20"/>
                <w:szCs w:val="20"/>
              </w:rPr>
              <w:t xml:space="preserve">4–6 weeks</w:t>
            </w:r>
          </w:p>
        </w:tc>
        <w:tc>
          <w:tcPr>
            <w:tcW w:type="dxa" w:w="5000"/>
            <w:tcMar>
              <w:top w:type="dxa" w:w="100"/>
              <w:left w:type="dxa" w:w="120"/>
              <w:bottom w:type="dxa" w:w="100"/>
              <w:right w:type="dxa" w:w="120"/>
            </w:tcMar>
          </w:tcPr>
          <w:p>
            <w:r>
              <w:rPr>
                <w:rFonts w:ascii="Calibri" w:cs="Calibri" w:eastAsia="Calibri" w:hAnsi="Calibri"/>
                <w:sz w:val="20"/>
                <w:szCs w:val="20"/>
              </w:rPr>
              <w:t xml:space="preserve">Stand up orchestration platform, staging repo, DMZ relay + firewall rules, secrets vault integration</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2 — ServiceNow Integration</w:t>
            </w:r>
          </w:p>
        </w:tc>
        <w:tc>
          <w:tcPr>
            <w:tcW w:type="dxa" w:w="1650"/>
            <w:tcMar>
              <w:top w:type="dxa" w:w="100"/>
              <w:left w:type="dxa" w:w="120"/>
              <w:bottom w:type="dxa" w:w="100"/>
              <w:right w:type="dxa" w:w="120"/>
            </w:tcMar>
          </w:tcPr>
          <w:p>
            <w:r>
              <w:rPr>
                <w:rFonts w:ascii="Calibri" w:cs="Calibri" w:eastAsia="Calibri" w:hAnsi="Calibri"/>
                <w:sz w:val="20"/>
                <w:szCs w:val="20"/>
              </w:rPr>
              <w:t xml:space="preserve">3–4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Build Change templates (Emergency/Standard pre-approved), REST API integration, custom fields, dashboards</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3 — Pilot</w:t>
            </w:r>
          </w:p>
        </w:tc>
        <w:tc>
          <w:tcPr>
            <w:tcW w:type="dxa" w:w="1650"/>
            <w:tcMar>
              <w:top w:type="dxa" w:w="100"/>
              <w:left w:type="dxa" w:w="120"/>
              <w:bottom w:type="dxa" w:w="100"/>
              <w:right w:type="dxa" w:w="120"/>
            </w:tcMar>
          </w:tcPr>
          <w:p>
            <w:r>
              <w:rPr>
                <w:rFonts w:ascii="Calibri" w:cs="Calibri" w:eastAsia="Calibri" w:hAnsi="Calibri"/>
                <w:sz w:val="20"/>
                <w:szCs w:val="20"/>
              </w:rPr>
              <w:t xml:space="preserve">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Run full workflow on a non-critical server ring (internal only), tune pre/post-checks and rollback logic</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4 — DMZ Rollout</w:t>
            </w:r>
          </w:p>
        </w:tc>
        <w:tc>
          <w:tcPr>
            <w:tcW w:type="dxa" w:w="1650"/>
            <w:tcMar>
              <w:top w:type="dxa" w:w="100"/>
              <w:left w:type="dxa" w:w="120"/>
              <w:bottom w:type="dxa" w:w="100"/>
              <w:right w:type="dxa" w:w="120"/>
            </w:tcMar>
          </w:tcPr>
          <w:p>
            <w:r>
              <w:rPr>
                <w:rFonts w:ascii="Calibri" w:cs="Calibri" w:eastAsia="Calibri" w:hAnsi="Calibri"/>
                <w:sz w:val="20"/>
                <w:szCs w:val="20"/>
              </w:rPr>
              <w:t xml:space="preserve">3–4 weeks</w:t>
            </w:r>
          </w:p>
        </w:tc>
        <w:tc>
          <w:tcPr>
            <w:tcW w:type="dxa" w:w="5000"/>
            <w:tcMar>
              <w:top w:type="dxa" w:w="100"/>
              <w:left w:type="dxa" w:w="120"/>
              <w:bottom w:type="dxa" w:w="100"/>
              <w:right w:type="dxa" w:w="120"/>
            </w:tcMar>
          </w:tcPr>
          <w:p>
            <w:r>
              <w:rPr>
                <w:rFonts w:ascii="Calibri" w:cs="Calibri" w:eastAsia="Calibri" w:hAnsi="Calibri"/>
                <w:sz w:val="20"/>
                <w:szCs w:val="20"/>
              </w:rPr>
              <w:t xml:space="preserve">Extend to DMZ ring with the 3-day Day-0 SLA process live, run a tabletop drill on a real or simulated Day-0 advisory</w:t>
            </w:r>
          </w:p>
        </w:tc>
      </w:tr>
      <w:tr>
        <w:tc>
          <w:tcPr>
            <w:tcW w:type="dxa" w:w="2700"/>
            <w:tcMar>
              <w:top w:type="dxa" w:w="100"/>
              <w:left w:type="dxa" w:w="120"/>
              <w:bottom w:type="dxa" w:w="100"/>
              <w:right w:type="dxa" w:w="120"/>
            </w:tcMar>
          </w:tcPr>
          <w:p>
            <w:r>
              <w:rPr>
                <w:rFonts w:ascii="Calibri" w:cs="Calibri" w:eastAsia="Calibri" w:hAnsi="Calibri"/>
                <w:sz w:val="20"/>
                <w:szCs w:val="20"/>
              </w:rPr>
              <w:t xml:space="preserve">Phase 5 — Full Production &amp; Optimization</w:t>
            </w:r>
          </w:p>
        </w:tc>
        <w:tc>
          <w:tcPr>
            <w:tcW w:type="dxa" w:w="1650"/>
            <w:tcMar>
              <w:top w:type="dxa" w:w="100"/>
              <w:left w:type="dxa" w:w="120"/>
              <w:bottom w:type="dxa" w:w="100"/>
              <w:right w:type="dxa" w:w="120"/>
            </w:tcMar>
          </w:tcPr>
          <w:p>
            <w:r>
              <w:rPr>
                <w:rFonts w:ascii="Calibri" w:cs="Calibri" w:eastAsia="Calibri" w:hAnsi="Calibri"/>
                <w:sz w:val="20"/>
                <w:szCs w:val="20"/>
              </w:rPr>
              <w:t xml:space="preserve">Ongoing</w:t>
            </w:r>
          </w:p>
        </w:tc>
        <w:tc>
          <w:tcPr>
            <w:tcW w:type="dxa" w:w="5000"/>
            <w:tcMar>
              <w:top w:type="dxa" w:w="100"/>
              <w:left w:type="dxa" w:w="120"/>
              <w:bottom w:type="dxa" w:w="100"/>
              <w:right w:type="dxa" w:w="120"/>
            </w:tcMar>
          </w:tcPr>
          <w:p>
            <w:r>
              <w:rPr>
                <w:rFonts w:ascii="Calibri" w:cs="Calibri" w:eastAsia="Calibri" w:hAnsi="Calibri"/>
                <w:sz w:val="20"/>
                <w:szCs w:val="20"/>
              </w:rPr>
              <w:t xml:space="preserve">Expand to full estate, refine SLA dashboards, quarterly review of change model effectiveness</w:t>
            </w:r>
          </w:p>
        </w:tc>
      </w:tr>
    </w:tbl>
    <w:p>
      <w:pPr>
        <w:pStyle w:val="Heading1"/>
        <w:spacing w:after="160" w:before="360"/>
      </w:pPr>
      <w:r>
        <w:t xml:space="preserve">12. Best Practices / Operational Checklist</w:t>
      </w:r>
    </w:p>
    <w:p>
      <w:pPr>
        <w:pStyle w:val="ListParagraph"/>
        <w:numPr>
          <w:ilvl w:val="0"/>
          <w:numId w:val="3"/>
        </w:numPr>
        <w:spacing w:after="80"/>
      </w:pPr>
      <w:r>
        <w:rPr>
          <w:rFonts w:ascii="Calibri" w:cs="Calibri" w:eastAsia="Calibri" w:hAnsi="Calibri"/>
          <w:sz w:val="22"/>
          <w:szCs w:val="22"/>
        </w:rPr>
        <w:t xml:space="preserve">Every DMZ/Internet-facing CI is explicitly flagged in CMDB — no implicit assumptions about zone</w:t>
      </w:r>
    </w:p>
    <w:p>
      <w:pPr>
        <w:pStyle w:val="ListParagraph"/>
        <w:numPr>
          <w:ilvl w:val="0"/>
          <w:numId w:val="3"/>
        </w:numPr>
        <w:spacing w:after="80"/>
      </w:pPr>
      <w:r>
        <w:rPr>
          <w:rFonts w:ascii="Calibri" w:cs="Calibri" w:eastAsia="Calibri" w:hAnsi="Calibri"/>
          <w:sz w:val="22"/>
          <w:szCs w:val="22"/>
        </w:rPr>
        <w:t xml:space="preserve">Emergency Change template is pre-approved by CAB/security leadership before the first Day-0 event, not during one</w:t>
      </w:r>
    </w:p>
    <w:p>
      <w:pPr>
        <w:pStyle w:val="ListParagraph"/>
        <w:numPr>
          <w:ilvl w:val="0"/>
          <w:numId w:val="3"/>
        </w:numPr>
        <w:spacing w:after="80"/>
      </w:pPr>
      <w:r>
        <w:rPr>
          <w:rFonts w:ascii="Calibri" w:cs="Calibri" w:eastAsia="Calibri" w:hAnsi="Calibri"/>
          <w:sz w:val="22"/>
          <w:szCs w:val="22"/>
        </w:rPr>
        <w:t xml:space="preserve">Canary/pilot ring always runs first, even under SLA pressure — compress the timeline, don't skip the step</w:t>
      </w:r>
    </w:p>
    <w:p>
      <w:pPr>
        <w:pStyle w:val="ListParagraph"/>
        <w:numPr>
          <w:ilvl w:val="0"/>
          <w:numId w:val="3"/>
        </w:numPr>
        <w:spacing w:after="80"/>
      </w:pPr>
      <w:r>
        <w:rPr>
          <w:rFonts w:ascii="Calibri" w:cs="Calibri" w:eastAsia="Calibri" w:hAnsi="Calibri"/>
          <w:sz w:val="22"/>
          <w:szCs w:val="22"/>
        </w:rPr>
        <w:t xml:space="preserve">Rollback script is mandatory in every package, tested in pilot before it ever reaches DMZ</w:t>
      </w:r>
    </w:p>
    <w:p>
      <w:pPr>
        <w:pStyle w:val="ListParagraph"/>
        <w:numPr>
          <w:ilvl w:val="0"/>
          <w:numId w:val="3"/>
        </w:numPr>
        <w:spacing w:after="80"/>
      </w:pPr>
      <w:r>
        <w:rPr>
          <w:rFonts w:ascii="Calibri" w:cs="Calibri" w:eastAsia="Calibri" w:hAnsi="Calibri"/>
          <w:sz w:val="22"/>
          <w:szCs w:val="22"/>
        </w:rPr>
        <w:t xml:space="preserve">DMZ never has direct outbound internet access for patching — always via relay</w:t>
      </w:r>
    </w:p>
    <w:p>
      <w:pPr>
        <w:pStyle w:val="ListParagraph"/>
        <w:numPr>
          <w:ilvl w:val="0"/>
          <w:numId w:val="3"/>
        </w:numPr>
        <w:spacing w:after="80"/>
      </w:pPr>
      <w:r>
        <w:rPr>
          <w:rFonts w:ascii="Calibri" w:cs="Calibri" w:eastAsia="Calibri" w:hAnsi="Calibri"/>
          <w:sz w:val="22"/>
          <w:szCs w:val="22"/>
        </w:rPr>
        <w:t xml:space="preserve">ServiceNow Change record updates happen per-stage (event-driven), not just at closure</w:t>
      </w:r>
    </w:p>
    <w:p>
      <w:pPr>
        <w:pStyle w:val="ListParagraph"/>
        <w:numPr>
          <w:ilvl w:val="0"/>
          <w:numId w:val="3"/>
        </w:numPr>
        <w:spacing w:after="80"/>
      </w:pPr>
      <w:r>
        <w:rPr>
          <w:rFonts w:ascii="Calibri" w:cs="Calibri" w:eastAsia="Calibri" w:hAnsi="Calibri"/>
          <w:sz w:val="22"/>
          <w:szCs w:val="22"/>
        </w:rPr>
        <w:t xml:space="preserve">SLA countdown (3-day DMZ Day-0) is visible on a dashboard with automated escalation, not tracked manually</w:t>
      </w:r>
    </w:p>
    <w:p>
      <w:pPr>
        <w:pStyle w:val="ListParagraph"/>
        <w:numPr>
          <w:ilvl w:val="0"/>
          <w:numId w:val="3"/>
        </w:numPr>
        <w:spacing w:after="80"/>
      </w:pPr>
      <w:r>
        <w:rPr>
          <w:rFonts w:ascii="Calibri" w:cs="Calibri" w:eastAsia="Calibri" w:hAnsi="Calibri"/>
          <w:sz w:val="22"/>
          <w:szCs w:val="22"/>
        </w:rPr>
        <w:t xml:space="preserve">Post-patch validation includes an application/service health check, not just "patch installed" confirmation</w:t>
      </w:r>
    </w:p>
    <w:p>
      <w:pPr>
        <w:pStyle w:val="ListParagraph"/>
        <w:numPr>
          <w:ilvl w:val="0"/>
          <w:numId w:val="3"/>
        </w:numPr>
        <w:spacing w:after="80"/>
      </w:pPr>
      <w:r>
        <w:rPr>
          <w:rFonts w:ascii="Calibri" w:cs="Calibri" w:eastAsia="Calibri" w:hAnsi="Calibri"/>
          <w:sz w:val="22"/>
          <w:szCs w:val="22"/>
        </w:rPr>
        <w:t xml:space="preserve">Monthly compliance report goes to security leadership regardless of whether there was a Day-0 event that month</w:t>
      </w:r>
    </w:p>
    <w:p>
      <w:pPr>
        <w:pStyle w:val="Heading1"/>
        <w:spacing w:after="160" w:before="360"/>
      </w:pPr>
      <w:r>
        <w:t xml:space="preserve">13. Final Recommendation</w:t>
      </w:r>
    </w:p>
    <w:p>
      <w:pPr>
        <w:spacing w:after="160" w:line="276"/>
      </w:pPr>
      <w:r>
        <w:rPr>
          <w:rFonts w:ascii="Calibri" w:cs="Calibri" w:eastAsia="Calibri" w:hAnsi="Calibri"/>
          <w:sz w:val="22"/>
          <w:szCs w:val="22"/>
        </w:rPr>
        <w:t xml:space="preserve">Adopt Ansible Automation Platform as the single cross-platform orchestration layer, driving native tools (WSUS/SCCM for Windows, Satellite/Foreman for Linux) for actual patch sourcing, with a DMZ-resident relay node fed by a one-way, tightly firewalled push from a hardened jump server. Integrate with ServiceNow via REST API using a pre-approved Emergency Change template for Day-0/Critical patches — this is the single most important governance decision, since it is what makes a 3-day DMZ SLA achievable without either bypassing change control or missing the deadline waiting for a live CAB.</w:t>
      </w:r>
    </w:p>
    <w:p>
      <w:pPr>
        <w:spacing w:after="160" w:line="276"/>
      </w:pPr>
      <w:r>
        <w:rPr>
          <w:rFonts w:ascii="Calibri" w:cs="Calibri" w:eastAsia="Calibri" w:hAnsi="Calibri"/>
          <w:sz w:val="22"/>
          <w:szCs w:val="22"/>
        </w:rPr>
        <w:t xml:space="preserve">Sequence the rollout to prove the workflow on internal, lower-risk servers first (Phase 3), then extend to DMZ once pre/post-checks and rollback logic are proven (Phase 4) — do not pilot new automation directly against Internet-facing production systems.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Automated Patch Management —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2026-07-27T12:57:00.881Z</dcterms:created>
  <dcterms:modified xsi:type="dcterms:W3CDTF">2026-07-27T12:57:00.895Z</dcterms:modified>
</cp:coreProperties>
</file>

<file path=docProps/custom.xml><?xml version="1.0" encoding="utf-8"?>
<Properties xmlns="http://schemas.openxmlformats.org/officeDocument/2006/custom-properties" xmlns:vt="http://schemas.openxmlformats.org/officeDocument/2006/docPropsVTypes"/>
</file>