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rFonts w:ascii="Calibri" w:cs="Calibri" w:eastAsia="Calibri" w:hAnsi="Calibri"/>
          <w:b/>
          <w:bCs/>
          <w:color w:val="1F3864"/>
          <w:sz w:val="52"/>
          <w:szCs w:val="52"/>
        </w:rPr>
        <w:t xml:space="preserve">Automated Patch Management Solution</w:t>
      </w:r>
    </w:p>
    <w:p>
      <w:pPr>
        <w:spacing w:after="200"/>
        <w:jc w:val="center"/>
      </w:pPr>
      <w:r>
        <w:rPr>
          <w:rFonts w:ascii="Calibri" w:cs="Calibri" w:eastAsia="Calibri" w:hAnsi="Calibri"/>
          <w:color w:val="2E74B5"/>
          <w:sz w:val="28"/>
          <w:szCs w:val="28"/>
        </w:rPr>
        <w:t xml:space="preserve">Tier 0 Servers — 14-Day Patch SLA with ServiceNow ITSM Integration</w:t>
      </w:r>
    </w:p>
    <w:p>
      <w:pPr>
        <w:spacing w:after="3000"/>
        <w:jc w:val="center"/>
      </w:pPr>
      <w:r>
        <w:rPr>
          <w:rFonts w:ascii="Calibri" w:cs="Calibri" w:eastAsia="Calibri" w:hAnsi="Calibri"/>
          <w:i/>
          <w:iCs/>
          <w:color w:val="666666"/>
          <w:sz w:val="22"/>
          <w:szCs w:val="22"/>
        </w:rPr>
        <w:t xml:space="preserve">Includes AI-Enabled Capability Recommendations</w:t>
      </w:r>
    </w:p>
    <w:p>
      <w:pPr>
        <w:jc w:val="center"/>
      </w:pPr>
      <w:r>
        <w:rPr>
          <w:rFonts w:ascii="Calibri" w:cs="Calibri" w:eastAsia="Calibri" w:hAnsi="Calibri"/>
          <w:i/>
          <w:iCs/>
          <w:color w:val="666666"/>
          <w:sz w:val="20"/>
          <w:szCs w:val="20"/>
        </w:rPr>
        <w:t xml:space="preserve">Prepared as a Principal Infrastructure &amp; Cloud Architecture Design</w:t>
      </w:r>
    </w:p>
    <w:p>
      <w:r>
        <w:br w:type="page"/>
      </w:r>
    </w:p>
    <w:p>
      <w:pPr>
        <w:pStyle w:val="Heading1"/>
        <w:spacing w:after="160" w:before="360"/>
      </w:pPr>
      <w:r>
        <w:t xml:space="preserve">1. Executive Summary</w:t>
      </w:r>
    </w:p>
    <w:p>
      <w:pPr>
        <w:spacing w:after="160" w:line="276"/>
      </w:pPr>
      <w:r>
        <w:rPr>
          <w:rFonts w:ascii="Calibri" w:cs="Calibri" w:eastAsia="Calibri" w:hAnsi="Calibri"/>
          <w:sz w:val="22"/>
          <w:szCs w:val="22"/>
        </w:rPr>
        <w:t xml:space="preserve">This document defines an end-to-end automated patching solution covering inventory collection, ServiceNow change submission, patch acquisition, packaging, distribution, deployment, validation, and reporting — with ServiceNow updated at every stage.</w:t>
      </w:r>
    </w:p>
    <w:p>
      <w:pPr>
        <w:spacing w:after="160" w:line="276"/>
      </w:pPr>
      <w:r>
        <w:rPr>
          <w:rFonts w:ascii="Calibri" w:cs="Calibri" w:eastAsia="Calibri" w:hAnsi="Calibri"/>
          <w:sz w:val="22"/>
          <w:szCs w:val="22"/>
        </w:rPr>
        <w:t xml:space="preserve">The design targets Tier 0 servers — the systems whose failure has the most severe business impact (domain controllers, core databases, identity providers, ERP/core banking platforms, and similar foundational infrastructure). For these systems, all applicable patches must be fully deployed within 14 calendar days of vendor release, balancing urgency against the very low risk tolerance these systems carry.</w:t>
      </w:r>
    </w:p>
    <w:p>
      <w:pPr>
        <w:spacing w:after="160" w:line="276"/>
      </w:pPr>
      <w:r>
        <w:rPr>
          <w:rFonts w:ascii="Calibri" w:cs="Calibri" w:eastAsia="Calibri" w:hAnsi="Calibri"/>
          <w:sz w:val="22"/>
          <w:szCs w:val="22"/>
        </w:rPr>
        <w:t xml:space="preserve">A dedicated section (Section 14) covers where artificial intelligence can practically be layered into this workflow to reduce manual effort, cut time-to-decision, and lower the residual risk of patching business-critical systems.</w:t>
      </w:r>
    </w:p>
    <w:p>
      <w:pPr>
        <w:pStyle w:val="Heading1"/>
        <w:spacing w:after="160" w:before="360"/>
      </w:pPr>
      <w:r>
        <w:t xml:space="preserve">2. Current State &amp; Assumptions</w:t>
      </w:r>
    </w:p>
    <w:p>
      <w:pPr>
        <w:spacing w:after="160" w:line="276"/>
      </w:pPr>
      <w:r>
        <w:rPr>
          <w:rFonts w:ascii="Calibri" w:cs="Calibri" w:eastAsia="Calibri" w:hAnsi="Calibri"/>
          <w:sz w:val="22"/>
          <w:szCs w:val="22"/>
        </w:rPr>
        <w:t xml:space="preserve">Since no environment discovery was provided, this design assumes a typical hybrid enterprise estate and calls out where assumptions would need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50"/>
      </w:tblGrid>
      <w:tr>
        <w:trPr>
          <w:tblHeader/>
        </w:trPr>
        <w:tc>
          <w:tcPr>
            <w:tcW w:type="dxa" w:w="1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Area</w:t>
            </w:r>
          </w:p>
        </w:tc>
        <w:tc>
          <w:tcPr>
            <w:tcW w:type="dxa" w:w="43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Assumption</w:t>
            </w:r>
          </w:p>
        </w:tc>
        <w:tc>
          <w:tcPr>
            <w:tcW w:type="dxa" w:w="31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Validate During Discovery</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Estate</w:t>
            </w:r>
          </w:p>
        </w:tc>
        <w:tc>
          <w:tcPr>
            <w:tcW w:type="dxa" w:w="4300"/>
            <w:tcMar>
              <w:top w:type="dxa" w:w="100"/>
              <w:left w:type="dxa" w:w="120"/>
              <w:bottom w:type="dxa" w:w="100"/>
              <w:right w:type="dxa" w:w="120"/>
            </w:tcMar>
          </w:tcPr>
          <w:p>
            <w:r>
              <w:rPr>
                <w:rFonts w:ascii="Calibri" w:cs="Calibri" w:eastAsia="Calibri" w:hAnsi="Calibri"/>
                <w:sz w:val="20"/>
                <w:szCs w:val="20"/>
              </w:rPr>
              <w:t xml:space="preserve">Mixed Windows Server + Linux (RHEL/Ubuntu), on-prem + cloud (Azure/AWS)</w:t>
            </w:r>
          </w:p>
        </w:tc>
        <w:tc>
          <w:tcPr>
            <w:tcW w:type="dxa" w:w="3150"/>
            <w:tcMar>
              <w:top w:type="dxa" w:w="100"/>
              <w:left w:type="dxa" w:w="120"/>
              <w:bottom w:type="dxa" w:w="100"/>
              <w:right w:type="dxa" w:w="120"/>
            </w:tcMar>
          </w:tcPr>
          <w:p>
            <w:r>
              <w:rPr>
                <w:rFonts w:ascii="Calibri" w:cs="Calibri" w:eastAsia="Calibri" w:hAnsi="Calibri"/>
                <w:sz w:val="20"/>
                <w:szCs w:val="20"/>
              </w:rPr>
              <w:t xml:space="preserve">Confirm OS mix, count, cloud vs on-prem split</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Tier 0 definition</w:t>
            </w:r>
          </w:p>
        </w:tc>
        <w:tc>
          <w:tcPr>
            <w:tcW w:type="dxa" w:w="4300"/>
            <w:tcMar>
              <w:top w:type="dxa" w:w="100"/>
              <w:left w:type="dxa" w:w="120"/>
              <w:bottom w:type="dxa" w:w="100"/>
              <w:right w:type="dxa" w:w="120"/>
            </w:tcMar>
          </w:tcPr>
          <w:p>
            <w:r>
              <w:rPr>
                <w:rFonts w:ascii="Calibri" w:cs="Calibri" w:eastAsia="Calibri" w:hAnsi="Calibri"/>
                <w:sz w:val="20"/>
                <w:szCs w:val="20"/>
              </w:rPr>
              <w:t xml:space="preserve">Domain controllers, PKI/identity, core databases, ERP/core business platforms, hypervisor management plane</w:t>
            </w:r>
          </w:p>
        </w:tc>
        <w:tc>
          <w:tcPr>
            <w:tcW w:type="dxa" w:w="3150"/>
            <w:tcMar>
              <w:top w:type="dxa" w:w="100"/>
              <w:left w:type="dxa" w:w="120"/>
              <w:bottom w:type="dxa" w:w="100"/>
              <w:right w:type="dxa" w:w="120"/>
            </w:tcMar>
          </w:tcPr>
          <w:p>
            <w:r>
              <w:rPr>
                <w:rFonts w:ascii="Calibri" w:cs="Calibri" w:eastAsia="Calibri" w:hAnsi="Calibri"/>
                <w:sz w:val="20"/>
                <w:szCs w:val="20"/>
              </w:rPr>
              <w:t xml:space="preserve">Confirm the CMDB business-criticality/tier attribute is populated and agreed with business owners</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CMDB</w:t>
            </w:r>
          </w:p>
        </w:tc>
        <w:tc>
          <w:tcPr>
            <w:tcW w:type="dxa" w:w="4300"/>
            <w:tcMar>
              <w:top w:type="dxa" w:w="100"/>
              <w:left w:type="dxa" w:w="120"/>
              <w:bottom w:type="dxa" w:w="100"/>
              <w:right w:type="dxa" w:w="120"/>
            </w:tcMar>
          </w:tcPr>
          <w:p>
            <w:r>
              <w:rPr>
                <w:rFonts w:ascii="Calibri" w:cs="Calibri" w:eastAsia="Calibri" w:hAnsi="Calibri"/>
                <w:sz w:val="20"/>
                <w:szCs w:val="20"/>
              </w:rPr>
              <w:t xml:space="preserve">ServiceNow CMDB exists but may be incomplete/stale</w:t>
            </w:r>
          </w:p>
        </w:tc>
        <w:tc>
          <w:tcPr>
            <w:tcW w:type="dxa" w:w="3150"/>
            <w:tcMar>
              <w:top w:type="dxa" w:w="100"/>
              <w:left w:type="dxa" w:w="120"/>
              <w:bottom w:type="dxa" w:w="100"/>
              <w:right w:type="dxa" w:w="120"/>
            </w:tcMar>
          </w:tcPr>
          <w:p>
            <w:r>
              <w:rPr>
                <w:rFonts w:ascii="Calibri" w:cs="Calibri" w:eastAsia="Calibri" w:hAnsi="Calibri"/>
                <w:sz w:val="20"/>
                <w:szCs w:val="20"/>
              </w:rPr>
              <w:t xml:space="preserve">Data quality audit required before go-live — Tier 0 tagging accuracy is critical here</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Change process</w:t>
            </w:r>
          </w:p>
        </w:tc>
        <w:tc>
          <w:tcPr>
            <w:tcW w:type="dxa" w:w="4300"/>
            <w:tcMar>
              <w:top w:type="dxa" w:w="100"/>
              <w:left w:type="dxa" w:w="120"/>
              <w:bottom w:type="dxa" w:w="100"/>
              <w:right w:type="dxa" w:w="120"/>
            </w:tcMar>
          </w:tcPr>
          <w:p>
            <w:r>
              <w:rPr>
                <w:rFonts w:ascii="Calibri" w:cs="Calibri" w:eastAsia="Calibri" w:hAnsi="Calibri"/>
                <w:sz w:val="20"/>
                <w:szCs w:val="20"/>
              </w:rPr>
              <w:t xml:space="preserve">Standard/Normal/Emergency change types exist in ServiceNow</w:t>
            </w:r>
          </w:p>
        </w:tc>
        <w:tc>
          <w:tcPr>
            <w:tcW w:type="dxa" w:w="3150"/>
            <w:tcMar>
              <w:top w:type="dxa" w:w="100"/>
              <w:left w:type="dxa" w:w="120"/>
              <w:bottom w:type="dxa" w:w="100"/>
              <w:right w:type="dxa" w:w="120"/>
            </w:tcMar>
          </w:tcPr>
          <w:p>
            <w:r>
              <w:rPr>
                <w:rFonts w:ascii="Calibri" w:cs="Calibri" w:eastAsia="Calibri" w:hAnsi="Calibri"/>
                <w:sz w:val="20"/>
                <w:szCs w:val="20"/>
              </w:rPr>
              <w:t xml:space="preserve">Confirm current change model, approval matrix, and CAB cadence</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Patch sources</w:t>
            </w:r>
          </w:p>
        </w:tc>
        <w:tc>
          <w:tcPr>
            <w:tcW w:type="dxa" w:w="4300"/>
            <w:tcMar>
              <w:top w:type="dxa" w:w="100"/>
              <w:left w:type="dxa" w:w="120"/>
              <w:bottom w:type="dxa" w:w="100"/>
              <w:right w:type="dxa" w:w="120"/>
            </w:tcMar>
          </w:tcPr>
          <w:p>
            <w:r>
              <w:rPr>
                <w:rFonts w:ascii="Calibri" w:cs="Calibri" w:eastAsia="Calibri" w:hAnsi="Calibri"/>
                <w:sz w:val="20"/>
                <w:szCs w:val="20"/>
              </w:rPr>
              <w:t xml:space="preserve">Microsoft WSUS/Windows Update, vendor repos (Red Hat Satellite, apt), third-party</w:t>
            </w:r>
          </w:p>
        </w:tc>
        <w:tc>
          <w:tcPr>
            <w:tcW w:type="dxa" w:w="3150"/>
            <w:tcMar>
              <w:top w:type="dxa" w:w="100"/>
              <w:left w:type="dxa" w:w="120"/>
              <w:bottom w:type="dxa" w:w="100"/>
              <w:right w:type="dxa" w:w="120"/>
            </w:tcMar>
          </w:tcPr>
          <w:p>
            <w:r>
              <w:rPr>
                <w:rFonts w:ascii="Calibri" w:cs="Calibri" w:eastAsia="Calibri" w:hAnsi="Calibri"/>
                <w:sz w:val="20"/>
                <w:szCs w:val="20"/>
              </w:rPr>
              <w:t xml:space="preserve">Confirm which sources are in scope</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Maintenance windows</w:t>
            </w:r>
          </w:p>
        </w:tc>
        <w:tc>
          <w:tcPr>
            <w:tcW w:type="dxa" w:w="4300"/>
            <w:tcMar>
              <w:top w:type="dxa" w:w="100"/>
              <w:left w:type="dxa" w:w="120"/>
              <w:bottom w:type="dxa" w:w="100"/>
              <w:right w:type="dxa" w:w="120"/>
            </w:tcMar>
          </w:tcPr>
          <w:p>
            <w:r>
              <w:rPr>
                <w:rFonts w:ascii="Calibri" w:cs="Calibri" w:eastAsia="Calibri" w:hAnsi="Calibri"/>
                <w:sz w:val="20"/>
                <w:szCs w:val="20"/>
              </w:rPr>
              <w:t xml:space="preserve">Tier 0 systems typically have narrower, tightly controlled windows</w:t>
            </w:r>
          </w:p>
        </w:tc>
        <w:tc>
          <w:tcPr>
            <w:tcW w:type="dxa" w:w="3150"/>
            <w:tcMar>
              <w:top w:type="dxa" w:w="100"/>
              <w:left w:type="dxa" w:w="120"/>
              <w:bottom w:type="dxa" w:w="100"/>
              <w:right w:type="dxa" w:w="120"/>
            </w:tcMar>
          </w:tcPr>
          <w:p>
            <w:r>
              <w:rPr>
                <w:rFonts w:ascii="Calibri" w:cs="Calibri" w:eastAsia="Calibri" w:hAnsi="Calibri"/>
                <w:sz w:val="20"/>
                <w:szCs w:val="20"/>
              </w:rPr>
              <w:t xml:space="preserve">Confirm approved windows and blackout/freeze periods (e.g., financial close, peak business periods)</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Credentials</w:t>
            </w:r>
          </w:p>
        </w:tc>
        <w:tc>
          <w:tcPr>
            <w:tcW w:type="dxa" w:w="4300"/>
            <w:tcMar>
              <w:top w:type="dxa" w:w="100"/>
              <w:left w:type="dxa" w:w="120"/>
              <w:bottom w:type="dxa" w:w="100"/>
              <w:right w:type="dxa" w:w="120"/>
            </w:tcMar>
          </w:tcPr>
          <w:p>
            <w:r>
              <w:rPr>
                <w:rFonts w:ascii="Calibri" w:cs="Calibri" w:eastAsia="Calibri" w:hAnsi="Calibri"/>
                <w:sz w:val="20"/>
                <w:szCs w:val="20"/>
              </w:rPr>
              <w:t xml:space="preserve">Centralized secrets vault available (CyberArk/Azure Key Vault/HashiCorp Vault)</w:t>
            </w:r>
          </w:p>
        </w:tc>
        <w:tc>
          <w:tcPr>
            <w:tcW w:type="dxa" w:w="3150"/>
            <w:tcMar>
              <w:top w:type="dxa" w:w="100"/>
              <w:left w:type="dxa" w:w="120"/>
              <w:bottom w:type="dxa" w:w="100"/>
              <w:right w:type="dxa" w:w="120"/>
            </w:tcMar>
          </w:tcPr>
          <w:p>
            <w:r>
              <w:rPr>
                <w:rFonts w:ascii="Calibri" w:cs="Calibri" w:eastAsia="Calibri" w:hAnsi="Calibri"/>
                <w:sz w:val="20"/>
                <w:szCs w:val="20"/>
              </w:rPr>
              <w:t xml:space="preserve">Confirm vaulting solution in place, with elevated controls for Tier 0 service accounts</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Redundancy</w:t>
            </w:r>
          </w:p>
        </w:tc>
        <w:tc>
          <w:tcPr>
            <w:tcW w:type="dxa" w:w="4300"/>
            <w:tcMar>
              <w:top w:type="dxa" w:w="100"/>
              <w:left w:type="dxa" w:w="120"/>
              <w:bottom w:type="dxa" w:w="100"/>
              <w:right w:type="dxa" w:w="120"/>
            </w:tcMar>
          </w:tcPr>
          <w:p>
            <w:r>
              <w:rPr>
                <w:rFonts w:ascii="Calibri" w:cs="Calibri" w:eastAsia="Calibri" w:hAnsi="Calibri"/>
                <w:sz w:val="20"/>
                <w:szCs w:val="20"/>
              </w:rPr>
              <w:t xml:space="preserve">Tier 0 systems are assumed to run in HA pairs/clusters</w:t>
            </w:r>
          </w:p>
        </w:tc>
        <w:tc>
          <w:tcPr>
            <w:tcW w:type="dxa" w:w="3150"/>
            <w:tcMar>
              <w:top w:type="dxa" w:w="100"/>
              <w:left w:type="dxa" w:w="120"/>
              <w:bottom w:type="dxa" w:w="100"/>
              <w:right w:type="dxa" w:w="120"/>
            </w:tcMar>
          </w:tcPr>
          <w:p>
            <w:r>
              <w:rPr>
                <w:rFonts w:ascii="Calibri" w:cs="Calibri" w:eastAsia="Calibri" w:hAnsi="Calibri"/>
                <w:sz w:val="20"/>
                <w:szCs w:val="20"/>
              </w:rPr>
              <w:t xml:space="preserve">Confirm failover capability exists per CI before enabling rolling patch automation</w:t>
            </w:r>
          </w:p>
        </w:tc>
      </w:tr>
    </w:tbl>
    <w:p>
      <w:pPr>
        <w:pStyle w:val="Heading1"/>
        <w:spacing w:after="160" w:before="360"/>
      </w:pPr>
      <w:r>
        <w:t xml:space="preserve">3. Recommended Architecture</w:t>
      </w:r>
    </w:p>
    <w:p>
      <w:pPr>
        <w:pStyle w:val="Heading2"/>
        <w:spacing w:after="120" w:before="280"/>
      </w:pPr>
      <w:r>
        <w:t xml:space="preserve">3.1 High-Level Component View</w:t>
      </w:r>
    </w:p>
    <w:p>
      <w:pPr>
        <w:spacing w:after="160" w:line="276"/>
      </w:pPr>
      <w:r>
        <w:rPr>
          <w:rFonts w:ascii="Calibri" w:cs="Calibri" w:eastAsia="Calibri" w:hAnsi="Calibri"/>
          <w:sz w:val="22"/>
          <w:szCs w:val="22"/>
        </w:rPr>
        <w:t xml:space="preserve">The architecture separates three planes: ServiceNow (system of record), the Patch Orchestration Layer (does the work), and the Tier 0 server estate (which receives extra guardrails relative to standard servers).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D6E8" w:sz="4"/>
              <w:left w:val="single" w:color="C9D6E8" w:sz="4"/>
              <w:bottom w:val="single" w:color="C9D6E8" w:sz="4"/>
              <w:right w:val="single" w:color="C9D6E8" w:sz="4"/>
            </w:tcBorders>
            <w:shd w:fill="F7F9FC" w:val="clear"/>
            <w:tcMar>
              <w:top w:type="dxa" w:w="160"/>
              <w:left w:type="dxa" w:w="200"/>
              <w:bottom w:type="dxa" w:w="160"/>
              <w:right w:type="dxa" w:w="200"/>
            </w:tcMar>
          </w:tcPr>
          <w:p>
            <w:pPr>
              <w:spacing w:after="40"/>
            </w:pPr>
            <w:r>
              <w:rPr>
                <w:rFonts w:ascii="Consolas" w:cs="Consolas" w:eastAsia="Consolas" w:hAnsi="Consolas"/>
                <w:color w:val="2B3A55"/>
                <w:sz w:val="19"/>
                <w:szCs w:val="19"/>
              </w:rPr>
              <w:t xml:space="preserve">ServiceNow ITSM  &lt;-- CMDB / Change Mgmt / Reporting --&gt;</w:t>
            </w:r>
          </w:p>
          <w:p>
            <w:pPr>
              <w:spacing w:after="40"/>
            </w:pPr>
            <w:r>
              <w:rPr>
                <w:rFonts w:ascii="Consolas" w:cs="Consolas" w:eastAsia="Consolas" w:hAnsi="Consolas"/>
                <w:color w:val="2B3A55"/>
                <w:sz w:val="19"/>
                <w:szCs w:val="19"/>
              </w:rPr>
              <w:t xml:space="preserve">        ^                                     |</w:t>
            </w:r>
          </w:p>
          <w:p>
            <w:pPr>
              <w:spacing w:after="40"/>
            </w:pPr>
            <w:r>
              <w:rPr>
                <w:rFonts w:ascii="Consolas" w:cs="Consolas" w:eastAsia="Consolas" w:hAnsi="Consolas"/>
                <w:color w:val="2B3A55"/>
                <w:sz w:val="19"/>
                <w:szCs w:val="19"/>
              </w:rPr>
              <w:t xml:space="preserve">        | CI + compliance data                | Change status updates</w:t>
            </w:r>
          </w:p>
          <w:p>
            <w:pPr>
              <w:spacing w:after="40"/>
            </w:pPr>
            <w:r>
              <w:rPr>
                <w:rFonts w:ascii="Consolas" w:cs="Consolas" w:eastAsia="Consolas" w:hAnsi="Consolas"/>
                <w:color w:val="2B3A55"/>
                <w:sz w:val="19"/>
                <w:szCs w:val="19"/>
              </w:rPr>
              <w:t xml:space="preserve">        |                                     v</w:t>
            </w:r>
          </w:p>
          <w:p>
            <w:pPr>
              <w:spacing w:after="40"/>
            </w:pPr>
            <w:r>
              <w:rPr>
                <w:rFonts w:ascii="Consolas" w:cs="Consolas" w:eastAsia="Consolas" w:hAnsi="Consolas"/>
                <w:color w:val="2B3A55"/>
                <w:sz w:val="19"/>
                <w:szCs w:val="19"/>
              </w:rPr>
              <w:t xml:space="preserve">Inventory Collector -&gt; Scheduler -&gt; Change Request (auto-created)</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(Approved via CAB / pre-approved template)</w:t>
            </w:r>
          </w:p>
          <w:p>
            <w:pPr>
              <w:spacing w:after="40"/>
            </w:pPr>
            <w:r>
              <w:rPr>
                <w:rFonts w:ascii="Consolas" w:cs="Consolas" w:eastAsia="Consolas" w:hAnsi="Consolas"/>
                <w:color w:val="2B3A55"/>
                <w:sz w:val="19"/>
                <w:szCs w:val="19"/>
              </w:rPr>
              <w:t xml:space="preserve">                                          v</w:t>
            </w:r>
          </w:p>
          <w:p>
            <w:pPr>
              <w:spacing w:after="40"/>
            </w:pPr>
            <w:r>
              <w:rPr>
                <w:rFonts w:ascii="Consolas" w:cs="Consolas" w:eastAsia="Consolas" w:hAnsi="Consolas"/>
                <w:color w:val="2B3A55"/>
                <w:sz w:val="19"/>
                <w:szCs w:val="19"/>
              </w:rPr>
              <w:t xml:space="preserve">        Patch Download &lt;- MS WSUS / Linux Repos / 3rd-Party Vendors</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Package Builder (+ Tier 0 extended test pack)</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Staging Repository</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Non-Prod / Pre-Prod Replica of Tier 0 System</w:t>
            </w:r>
          </w:p>
          <w:p>
            <w:pPr>
              <w:spacing w:after="40"/>
            </w:pPr>
            <w:r>
              <w:rPr>
                <w:rFonts w:ascii="Consolas" w:cs="Consolas" w:eastAsia="Consolas" w:hAnsi="Consolas"/>
                <w:color w:val="2B3A55"/>
                <w:sz w:val="19"/>
                <w:szCs w:val="19"/>
              </w:rPr>
              <w:t xml:space="preserve">                | (validated)</w:t>
            </w:r>
          </w:p>
          <w:p>
            <w:pPr>
              <w:spacing w:after="40"/>
            </w:pPr>
            <w:r>
              <w:rPr>
                <w:rFonts w:ascii="Consolas" w:cs="Consolas" w:eastAsia="Consolas" w:hAnsi="Consolas"/>
                <w:color w:val="2B3A55"/>
                <w:sz w:val="19"/>
                <w:szCs w:val="19"/>
              </w:rPr>
              <w:t xml:space="preserve">     Tier 0 Production — Node A (HA pair member 1)</w:t>
            </w:r>
          </w:p>
          <w:p>
            <w:pPr>
              <w:spacing w:after="40"/>
            </w:pPr>
            <w:r>
              <w:rPr>
                <w:rFonts w:ascii="Consolas" w:cs="Consolas" w:eastAsia="Consolas" w:hAnsi="Consolas"/>
                <w:color w:val="2B3A55"/>
                <w:sz w:val="19"/>
                <w:szCs w:val="19"/>
              </w:rPr>
              <w:t xml:space="preserve">                | (health confirmed, failover verified)</w:t>
            </w:r>
          </w:p>
          <w:p>
            <w:pPr>
              <w:spacing w:after="40"/>
            </w:pPr>
            <w:r>
              <w:rPr>
                <w:rFonts w:ascii="Consolas" w:cs="Consolas" w:eastAsia="Consolas" w:hAnsi="Consolas"/>
                <w:color w:val="2B3A55"/>
                <w:sz w:val="19"/>
                <w:szCs w:val="19"/>
              </w:rPr>
              <w:t xml:space="preserve">     Tier 0 Production — Node B (HA pair member 2)</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Deployment Engine</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Validation / Confirmation (extended checks)</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Report Generator ---&gt; ServiceNow (attach + close Change)</w:t>
            </w:r>
          </w:p>
        </w:tc>
      </w:tr>
    </w:tbl>
    <w:p>
      <w:pPr>
        <w:pStyle w:val="Heading2"/>
        <w:spacing w:after="120" w:before="280"/>
      </w:pPr>
      <w:r>
        <w:t xml:space="preserve">3.2 Why This Shape</w:t>
      </w:r>
    </w:p>
    <w:p>
      <w:pPr>
        <w:pStyle w:val="ListParagraph"/>
        <w:numPr>
          <w:ilvl w:val="0"/>
          <w:numId w:val="2"/>
        </w:numPr>
        <w:spacing w:after="80"/>
      </w:pPr>
      <w:r>
        <w:rPr>
          <w:rFonts w:ascii="Calibri" w:cs="Calibri" w:eastAsia="Calibri" w:hAnsi="Calibri"/>
          <w:sz w:val="22"/>
          <w:szCs w:val="22"/>
        </w:rPr>
        <w:t xml:space="preserve">ServiceNow remains the system of record for approval and status; the orchestration layer (Ansible/SCCM/Azure Update Manager) executes and reports back via REST API — keeping the audit trail authoritative and untouched by execution failures.</w:t>
      </w:r>
    </w:p>
    <w:p>
      <w:pPr>
        <w:pStyle w:val="ListParagraph"/>
        <w:numPr>
          <w:ilvl w:val="0"/>
          <w:numId w:val="2"/>
        </w:numPr>
        <w:spacing w:after="80"/>
      </w:pPr>
      <w:r>
        <w:rPr>
          <w:rFonts w:ascii="Calibri" w:cs="Calibri" w:eastAsia="Calibri" w:hAnsi="Calibri"/>
          <w:sz w:val="22"/>
          <w:szCs w:val="22"/>
        </w:rPr>
        <w:t xml:space="preserve">Tier 0 systems get an extra validation tier that standard servers don't: a non-production replica (or snapshot-based test instance) is patched and verified first, before either HA node in production is touched.</w:t>
      </w:r>
    </w:p>
    <w:p>
      <w:pPr>
        <w:pStyle w:val="ListParagraph"/>
        <w:numPr>
          <w:ilvl w:val="0"/>
          <w:numId w:val="2"/>
        </w:numPr>
        <w:spacing w:after="80"/>
      </w:pPr>
      <w:r>
        <w:rPr>
          <w:rFonts w:ascii="Calibri" w:cs="Calibri" w:eastAsia="Calibri" w:hAnsi="Calibri"/>
          <w:sz w:val="22"/>
          <w:szCs w:val="22"/>
        </w:rPr>
        <w:t xml:space="preserve">Node-by-node rolling patch within the HA pair/cluster, with an automated failover health check between nodes, so the service never fully drops even during the patch window.</w:t>
      </w:r>
    </w:p>
    <w:p>
      <w:pPr>
        <w:pStyle w:val="ListParagraph"/>
        <w:numPr>
          <w:ilvl w:val="0"/>
          <w:numId w:val="2"/>
        </w:numPr>
        <w:spacing w:after="80"/>
      </w:pPr>
      <w:r>
        <w:rPr>
          <w:rFonts w:ascii="Calibri" w:cs="Calibri" w:eastAsia="Calibri" w:hAnsi="Calibri"/>
          <w:sz w:val="22"/>
          <w:szCs w:val="22"/>
        </w:rPr>
        <w:t xml:space="preserve">14 days gives meaningfully more room than a Day-0/DMZ SLA — the design uses that time for deeper testing and a lower-risk phased rollout, not just a longer countdown clock.</w:t>
      </w:r>
    </w:p>
    <w:p>
      <w:pPr>
        <w:pStyle w:val="Heading1"/>
        <w:spacing w:after="160" w:before="360"/>
      </w:pPr>
      <w:r>
        <w:t xml:space="preserve">4. End-to-End Workflow</w:t>
      </w:r>
    </w:p>
    <w:p>
      <w:pPr>
        <w:spacing w:after="160" w:line="276"/>
      </w:pPr>
      <w:r>
        <w:rPr>
          <w:rFonts w:ascii="Calibri" w:cs="Calibri" w:eastAsia="Calibri" w:hAnsi="Calibri"/>
          <w:sz w:val="22"/>
          <w:szCs w:val="22"/>
        </w:rPr>
        <w:t xml:space="preserve">The sequence below shows how a patch moves from vendor release through to ServiceNow change closure for Tier 0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D6E8" w:sz="4"/>
              <w:left w:val="single" w:color="C9D6E8" w:sz="4"/>
              <w:bottom w:val="single" w:color="C9D6E8" w:sz="4"/>
              <w:right w:val="single" w:color="C9D6E8" w:sz="4"/>
            </w:tcBorders>
            <w:shd w:fill="F7F9FC" w:val="clear"/>
            <w:tcMar>
              <w:top w:type="dxa" w:w="160"/>
              <w:left w:type="dxa" w:w="200"/>
              <w:bottom w:type="dxa" w:w="160"/>
              <w:right w:type="dxa" w:w="200"/>
            </w:tcMar>
          </w:tcPr>
          <w:p>
            <w:pPr>
              <w:spacing w:after="40"/>
            </w:pPr>
            <w:r>
              <w:rPr>
                <w:rFonts w:ascii="Consolas" w:cs="Consolas" w:eastAsia="Consolas" w:hAnsi="Consolas"/>
                <w:color w:val="2B3A55"/>
                <w:sz w:val="19"/>
                <w:szCs w:val="19"/>
              </w:rPr>
              <w:t xml:space="preserve">1. Orchestration -&gt; Collect/refresh inventory -&gt; ServiceNow CMDB (Tier flag confirmed)</w:t>
            </w:r>
          </w:p>
          <w:p>
            <w:pPr>
              <w:spacing w:after="40"/>
            </w:pPr>
            <w:r>
              <w:rPr>
                <w:rFonts w:ascii="Consolas" w:cs="Consolas" w:eastAsia="Consolas" w:hAnsi="Consolas"/>
                <w:color w:val="2B3A55"/>
                <w:sz w:val="19"/>
                <w:szCs w:val="19"/>
              </w:rPr>
              <w:t xml:space="preserve">2. Orchestration -&gt; Auto-create Change Request -&gt; ServiceNow Change</w:t>
            </w:r>
          </w:p>
          <w:p>
            <w:pPr>
              <w:spacing w:after="40"/>
            </w:pPr>
            <w:r>
              <w:rPr>
                <w:rFonts w:ascii="Consolas" w:cs="Consolas" w:eastAsia="Consolas" w:hAnsi="Consolas"/>
                <w:color w:val="2B3A55"/>
                <w:sz w:val="19"/>
                <w:szCs w:val="19"/>
              </w:rPr>
              <w:t xml:space="preserve">   (Routed to CAB or pre-approved template depending on patch classification)</w:t>
            </w:r>
          </w:p>
          <w:p>
            <w:pPr>
              <w:spacing w:after="40"/>
            </w:pPr>
            <w:r>
              <w:rPr>
                <w:rFonts w:ascii="Consolas" w:cs="Consolas" w:eastAsia="Consolas" w:hAnsi="Consolas"/>
                <w:color w:val="2B3A55"/>
                <w:sz w:val="19"/>
                <w:szCs w:val="19"/>
              </w:rPr>
              <w:t xml:space="preserve">3. Vendor publishes new patch/advisory -&gt; Orchestration classifies severity + Tier 0 impact</w:t>
            </w:r>
          </w:p>
          <w:p>
            <w:pPr>
              <w:spacing w:after="40"/>
            </w:pPr>
            <w:r>
              <w:rPr>
                <w:rFonts w:ascii="Consolas" w:cs="Consolas" w:eastAsia="Consolas" w:hAnsi="Consolas"/>
                <w:color w:val="2B3A55"/>
                <w:sz w:val="19"/>
                <w:szCs w:val="19"/>
              </w:rPr>
              <w:t xml:space="preserve">4. Orchestration downloads patch (checksum + signature verified)</w:t>
            </w:r>
          </w:p>
          <w:p>
            <w:pPr>
              <w:spacing w:after="40"/>
            </w:pPr>
            <w:r>
              <w:rPr>
                <w:rFonts w:ascii="Consolas" w:cs="Consolas" w:eastAsia="Consolas" w:hAnsi="Consolas"/>
                <w:color w:val="2B3A55"/>
                <w:sz w:val="19"/>
                <w:szCs w:val="19"/>
              </w:rPr>
              <w:t xml:space="preserve">5. Orchestration builds package (bundle + rollback script + extended test pack)</w:t>
            </w:r>
          </w:p>
          <w:p>
            <w:pPr>
              <w:spacing w:after="40"/>
            </w:pPr>
            <w:r>
              <w:rPr>
                <w:rFonts w:ascii="Consolas" w:cs="Consolas" w:eastAsia="Consolas" w:hAnsi="Consolas"/>
                <w:color w:val="2B3A55"/>
                <w:sz w:val="19"/>
                <w:szCs w:val="19"/>
              </w:rPr>
              <w:t xml:space="preserve">6. Package copied to Staging -&gt; Non-Prod Replica -&gt; Tier 0 Production nodes</w:t>
            </w:r>
          </w:p>
          <w:p>
            <w:pPr>
              <w:spacing w:after="40"/>
            </w:pPr>
            <w:r>
              <w:rPr>
                <w:rFonts w:ascii="Consolas" w:cs="Consolas" w:eastAsia="Consolas" w:hAnsi="Consolas"/>
                <w:color w:val="2B3A55"/>
                <w:sz w:val="19"/>
                <w:szCs w:val="19"/>
              </w:rPr>
              <w:t xml:space="preserve">7. Deploy: Non-Prod validation -&gt; Node A -&gt; health/failover check -&gt; Node B</w:t>
            </w:r>
          </w:p>
          <w:p>
            <w:pPr>
              <w:spacing w:after="40"/>
            </w:pPr>
            <w:r>
              <w:rPr>
                <w:rFonts w:ascii="Consolas" w:cs="Consolas" w:eastAsia="Consolas" w:hAnsi="Consolas"/>
                <w:color w:val="2B3A55"/>
                <w:sz w:val="19"/>
                <w:szCs w:val="19"/>
              </w:rPr>
              <w:t xml:space="preserve">8. Target servers confirm: patch applied, reboot done, services + dependent apps healthy</w:t>
            </w:r>
          </w:p>
          <w:p>
            <w:pPr>
              <w:spacing w:after="40"/>
            </w:pPr>
            <w:r>
              <w:rPr>
                <w:rFonts w:ascii="Consolas" w:cs="Consolas" w:eastAsia="Consolas" w:hAnsi="Consolas"/>
                <w:color w:val="2B3A55"/>
                <w:sz w:val="19"/>
                <w:szCs w:val="19"/>
              </w:rPr>
              <w:t xml:space="preserve">9. Orchestration generates compliance report (with Tier 0 SLA tracking)</w:t>
            </w:r>
          </w:p>
          <w:p>
            <w:pPr>
              <w:spacing w:after="40"/>
            </w:pPr>
            <w:r>
              <w:rPr>
                <w:rFonts w:ascii="Consolas" w:cs="Consolas" w:eastAsia="Consolas" w:hAnsi="Consolas"/>
                <w:color w:val="2B3A55"/>
                <w:sz w:val="19"/>
                <w:szCs w:val="19"/>
              </w:rPr>
              <w:t xml:space="preserve">10. Orchestration updates ServiceNow Change with per-CI status + report</w:t>
            </w:r>
          </w:p>
          <w:p>
            <w:pPr>
              <w:spacing w:after="40"/>
            </w:pPr>
            <w:r>
              <w:rPr>
                <w:rFonts w:ascii="Consolas" w:cs="Consolas" w:eastAsia="Consolas" w:hAnsi="Consolas"/>
                <w:color w:val="2B3A55"/>
                <w:sz w:val="19"/>
                <w:szCs w:val="19"/>
              </w:rPr>
              <w:t xml:space="preserve">    -&gt; Auto-close if 100% success within 14-day SLA, else flag exceptions/at-risk</w:t>
            </w:r>
          </w:p>
        </w:tc>
      </w:tr>
    </w:tbl>
    <w:p>
      <w:pPr>
        <w:pStyle w:val="Heading2"/>
        <w:spacing w:after="120" w:before="280"/>
      </w:pPr>
      <w:r>
        <w:t xml:space="preserve">4.1 Step-by-Step Detail</w:t>
      </w:r>
    </w:p>
    <w:p>
      <w:pPr>
        <w:pStyle w:val="Heading3"/>
        <w:spacing w:after="100" w:before="200"/>
      </w:pPr>
      <w:r>
        <w:t xml:space="preserve">Step 1 — Inventory Collection</w:t>
      </w:r>
    </w:p>
    <w:p>
      <w:pPr>
        <w:pStyle w:val="ListParagraph"/>
        <w:numPr>
          <w:ilvl w:val="0"/>
          <w:numId w:val="2"/>
        </w:numPr>
        <w:spacing w:after="80"/>
      </w:pPr>
      <w:r>
        <w:rPr>
          <w:rFonts w:ascii="Calibri" w:cs="Calibri" w:eastAsia="Calibri" w:hAnsi="Calibri"/>
          <w:sz w:val="22"/>
          <w:szCs w:val="22"/>
        </w:rPr>
        <w:t xml:space="preserve">Agent-based (SCCM client / Ansible facts / Azure Arc agent) or agentless (WinRM/SSH scan) sweep, scheduled daily and on-demand before every patch cycle.</w:t>
      </w:r>
    </w:p>
    <w:p>
      <w:pPr>
        <w:pStyle w:val="ListParagraph"/>
        <w:numPr>
          <w:ilvl w:val="0"/>
          <w:numId w:val="2"/>
        </w:numPr>
        <w:spacing w:after="80"/>
      </w:pPr>
      <w:r>
        <w:rPr>
          <w:rFonts w:ascii="Calibri" w:cs="Calibri" w:eastAsia="Calibri" w:hAnsi="Calibri"/>
          <w:sz w:val="22"/>
          <w:szCs w:val="22"/>
        </w:rPr>
        <w:t xml:space="preserve">Reconciles discovered CIs against ServiceNow CMDB; flags drift (unmanaged/rogue servers) as a separate exception queue.</w:t>
      </w:r>
    </w:p>
    <w:p>
      <w:pPr>
        <w:pStyle w:val="ListParagraph"/>
        <w:numPr>
          <w:ilvl w:val="0"/>
          <w:numId w:val="2"/>
        </w:numPr>
        <w:spacing w:after="80"/>
      </w:pPr>
      <w:r>
        <w:rPr>
          <w:rFonts w:ascii="Calibri" w:cs="Calibri" w:eastAsia="Calibri" w:hAnsi="Calibri"/>
          <w:sz w:val="22"/>
          <w:szCs w:val="22"/>
        </w:rPr>
        <w:t xml:space="preserve">Every CI carries a business_tier attribute (Tier 0 / Tier 1 / Tier 2 / Tier 3) sourced from the CMDB's agreed business-criticality model — this attribute drives SLA and approval routing downstream.</w:t>
      </w:r>
    </w:p>
    <w:p>
      <w:pPr>
        <w:pStyle w:val="ListParagraph"/>
        <w:numPr>
          <w:ilvl w:val="0"/>
          <w:numId w:val="2"/>
        </w:numPr>
        <w:spacing w:after="80"/>
      </w:pPr>
      <w:r>
        <w:rPr>
          <w:rFonts w:ascii="Calibri" w:cs="Calibri" w:eastAsia="Calibri" w:hAnsi="Calibri"/>
          <w:sz w:val="22"/>
          <w:szCs w:val="22"/>
        </w:rPr>
        <w:t xml:space="preserve">Captures current patch level, OS build, reboot-pending state, and HA/cluster role (active/passive, primary/secondary).</w:t>
      </w:r>
    </w:p>
    <w:p>
      <w:pPr>
        <w:pStyle w:val="Heading3"/>
        <w:spacing w:after="100" w:before="200"/>
      </w:pPr>
      <w:r>
        <w:t xml:space="preserve">Step 2 — ServiceNow Change Submission</w:t>
      </w:r>
    </w:p>
    <w:p>
      <w:pPr>
        <w:pStyle w:val="ListParagraph"/>
        <w:numPr>
          <w:ilvl w:val="0"/>
          <w:numId w:val="2"/>
        </w:numPr>
        <w:spacing w:after="80"/>
      </w:pPr>
      <w:r>
        <w:rPr>
          <w:rFonts w:ascii="Calibri" w:cs="Calibri" w:eastAsia="Calibri" w:hAnsi="Calibri"/>
          <w:sz w:val="22"/>
          <w:szCs w:val="22"/>
        </w:rPr>
        <w:t xml:space="preserve">Orchestration platform calls the ServiceNow Table API / Flow Designer action to auto-create a Change Request per patch cycle, pre-populated with affected Tier 0 CI list, patch/KB details, CVE references, severity, proposed maintenance window, and a risk assessment weighted for business criticality.</w:t>
      </w:r>
    </w:p>
    <w:p>
      <w:pPr>
        <w:pStyle w:val="ListParagraph"/>
        <w:numPr>
          <w:ilvl w:val="0"/>
          <w:numId w:val="2"/>
        </w:numPr>
        <w:spacing w:after="80"/>
      </w:pPr>
      <w:r>
        <w:rPr>
          <w:rFonts w:ascii="Calibri" w:cs="Calibri" w:eastAsia="Calibri" w:hAnsi="Calibri"/>
          <w:sz w:val="22"/>
          <w:szCs w:val="22"/>
        </w:rPr>
        <w:t xml:space="preserve">Given the lower urgency (14 days vs. a Day-0 window), Tier 0 changes typically route through Standard Change with CAB review rather than a fully pre-approved emergency template — except where the patch is itself a Critical/actively-exploited advisory, in which case the expedited path applies.</w:t>
      </w:r>
    </w:p>
    <w:p>
      <w:pPr>
        <w:pStyle w:val="Heading3"/>
        <w:spacing w:after="100" w:before="200"/>
      </w:pPr>
      <w:r>
        <w:t xml:space="preserve">Steps 3–5 — Download &amp; Package</w:t>
      </w:r>
    </w:p>
    <w:p>
      <w:pPr>
        <w:pStyle w:val="ListParagraph"/>
        <w:numPr>
          <w:ilvl w:val="0"/>
          <w:numId w:val="2"/>
        </w:numPr>
        <w:spacing w:after="80"/>
      </w:pPr>
      <w:r>
        <w:rPr>
          <w:rFonts w:ascii="Calibri" w:cs="Calibri" w:eastAsia="Calibri" w:hAnsi="Calibri"/>
          <w:sz w:val="22"/>
          <w:szCs w:val="22"/>
        </w:rPr>
        <w:t xml:space="preserve">Download from authoritative source only (WSUS upstream sync, Red Hat Satellite sync, vendor-signed feeds).</w:t>
      </w:r>
    </w:p>
    <w:p>
      <w:pPr>
        <w:pStyle w:val="ListParagraph"/>
        <w:numPr>
          <w:ilvl w:val="0"/>
          <w:numId w:val="2"/>
        </w:numPr>
        <w:spacing w:after="80"/>
      </w:pPr>
      <w:r>
        <w:rPr>
          <w:rFonts w:ascii="Calibri" w:cs="Calibri" w:eastAsia="Calibri" w:hAnsi="Calibri"/>
          <w:sz w:val="22"/>
          <w:szCs w:val="22"/>
        </w:rPr>
        <w:t xml:space="preserve">Verify checksum/digital signature before use — never deploy an unverified binary.</w:t>
      </w:r>
    </w:p>
    <w:p>
      <w:pPr>
        <w:pStyle w:val="ListParagraph"/>
        <w:numPr>
          <w:ilvl w:val="0"/>
          <w:numId w:val="2"/>
        </w:numPr>
        <w:spacing w:after="80"/>
      </w:pPr>
      <w:r>
        <w:rPr>
          <w:rFonts w:ascii="Calibri" w:cs="Calibri" w:eastAsia="Calibri" w:hAnsi="Calibri"/>
          <w:sz w:val="22"/>
          <w:szCs w:val="22"/>
        </w:rPr>
        <w:t xml:space="preserve">Build a deployment package containing: the patch, a pre-check script, the install command, a post-check/validation script, an automated rollback script, and — specific to Tier 0 — an extended regression test pack covering dependent application/service checks.</w:t>
      </w:r>
    </w:p>
    <w:p>
      <w:pPr>
        <w:pStyle w:val="ListParagraph"/>
        <w:numPr>
          <w:ilvl w:val="0"/>
          <w:numId w:val="2"/>
        </w:numPr>
        <w:spacing w:after="80"/>
      </w:pPr>
      <w:r>
        <w:rPr>
          <w:rFonts w:ascii="Calibri" w:cs="Calibri" w:eastAsia="Calibri" w:hAnsi="Calibri"/>
          <w:sz w:val="22"/>
          <w:szCs w:val="22"/>
        </w:rPr>
        <w:t xml:space="preserve">Package versioning and immutability: every package gets a unique ID logged against the Change Request.</w:t>
      </w:r>
    </w:p>
    <w:p>
      <w:pPr>
        <w:pStyle w:val="Heading3"/>
        <w:spacing w:after="100" w:before="200"/>
      </w:pPr>
      <w:r>
        <w:t xml:space="preserve">Step 6 — Copy to Target</w:t>
      </w:r>
    </w:p>
    <w:p>
      <w:pPr>
        <w:pStyle w:val="ListParagraph"/>
        <w:numPr>
          <w:ilvl w:val="0"/>
          <w:numId w:val="2"/>
        </w:numPr>
        <w:spacing w:after="80"/>
      </w:pPr>
      <w:r>
        <w:rPr>
          <w:rFonts w:ascii="Calibri" w:cs="Calibri" w:eastAsia="Calibri" w:hAnsi="Calibri"/>
          <w:sz w:val="22"/>
          <w:szCs w:val="22"/>
        </w:rPr>
        <w:t xml:space="preserve">Package copied first to a non-production replica or snapshot-based test instance of the Tier 0 system, where available.</w:t>
      </w:r>
    </w:p>
    <w:p>
      <w:pPr>
        <w:pStyle w:val="ListParagraph"/>
        <w:numPr>
          <w:ilvl w:val="0"/>
          <w:numId w:val="2"/>
        </w:numPr>
        <w:spacing w:after="80"/>
      </w:pPr>
      <w:r>
        <w:rPr>
          <w:rFonts w:ascii="Calibri" w:cs="Calibri" w:eastAsia="Calibri" w:hAnsi="Calibri"/>
          <w:sz w:val="22"/>
          <w:szCs w:val="22"/>
        </w:rPr>
        <w:t xml:space="preserve">Then copied to production HA nodes sequentially (never both nodes simultaneously) over the standard management network.</w:t>
      </w:r>
    </w:p>
    <w:p>
      <w:pPr>
        <w:pStyle w:val="Heading3"/>
        <w:spacing w:after="100" w:before="200"/>
      </w:pPr>
      <w:r>
        <w:t xml:space="preserve">Step 7 — Deploy</w:t>
      </w:r>
    </w:p>
    <w:p>
      <w:pPr>
        <w:pStyle w:val="ListParagraph"/>
        <w:numPr>
          <w:ilvl w:val="0"/>
          <w:numId w:val="2"/>
        </w:numPr>
        <w:spacing w:after="80"/>
      </w:pPr>
      <w:r>
        <w:rPr>
          <w:rFonts w:ascii="Calibri" w:cs="Calibri" w:eastAsia="Calibri" w:hAnsi="Calibri"/>
          <w:sz w:val="22"/>
          <w:szCs w:val="22"/>
        </w:rPr>
        <w:t xml:space="preserve">Non-Prod/replica validation first — full patch + regression pass before touching production.</w:t>
      </w:r>
    </w:p>
    <w:p>
      <w:pPr>
        <w:pStyle w:val="ListParagraph"/>
        <w:numPr>
          <w:ilvl w:val="0"/>
          <w:numId w:val="2"/>
        </w:numPr>
        <w:spacing w:after="80"/>
      </w:pPr>
      <w:r>
        <w:rPr>
          <w:rFonts w:ascii="Calibri" w:cs="Calibri" w:eastAsia="Calibri" w:hAnsi="Calibri"/>
          <w:sz w:val="22"/>
          <w:szCs w:val="22"/>
        </w:rPr>
        <w:t xml:space="preserve">Node A of the HA pair is patched, then a failover/health check confirms Node B is carrying load cleanly before Node A rejoins.</w:t>
      </w:r>
    </w:p>
    <w:p>
      <w:pPr>
        <w:pStyle w:val="ListParagraph"/>
        <w:numPr>
          <w:ilvl w:val="0"/>
          <w:numId w:val="2"/>
        </w:numPr>
        <w:spacing w:after="80"/>
      </w:pPr>
      <w:r>
        <w:rPr>
          <w:rFonts w:ascii="Calibri" w:cs="Calibri" w:eastAsia="Calibri" w:hAnsi="Calibri"/>
          <w:sz w:val="22"/>
          <w:szCs w:val="22"/>
        </w:rPr>
        <w:t xml:space="preserve">Node B is then patched using the same pattern — the service should have zero full-outage window if the HA pair is genuinely capable of clean failover.</w:t>
      </w:r>
    </w:p>
    <w:p>
      <w:pPr>
        <w:pStyle w:val="ListParagraph"/>
        <w:numPr>
          <w:ilvl w:val="0"/>
          <w:numId w:val="2"/>
        </w:numPr>
        <w:spacing w:after="80"/>
      </w:pPr>
      <w:r>
        <w:rPr>
          <w:rFonts w:ascii="Calibri" w:cs="Calibri" w:eastAsia="Calibri" w:hAnsi="Calibri"/>
          <w:sz w:val="22"/>
          <w:szCs w:val="22"/>
        </w:rPr>
        <w:t xml:space="preserve">Pre-checks (disk space, pending reboot, replication lag, dependent service state) run automatically before each node; deployment aborts and flags exception if pre-checks fail.</w:t>
      </w:r>
    </w:p>
    <w:p>
      <w:pPr>
        <w:pStyle w:val="Heading3"/>
        <w:spacing w:after="100" w:before="200"/>
      </w:pPr>
      <w:r>
        <w:t xml:space="preserve">Step 8 — Confirm</w:t>
      </w:r>
    </w:p>
    <w:p>
      <w:pPr>
        <w:pStyle w:val="ListParagraph"/>
        <w:numPr>
          <w:ilvl w:val="0"/>
          <w:numId w:val="2"/>
        </w:numPr>
        <w:spacing w:after="80"/>
      </w:pPr>
      <w:r>
        <w:rPr>
          <w:rFonts w:ascii="Calibri" w:cs="Calibri" w:eastAsia="Calibri" w:hAnsi="Calibri"/>
          <w:sz w:val="22"/>
          <w:szCs w:val="22"/>
        </w:rPr>
        <w:t xml:space="preserve">Post-deployment validation: patch/KB presence check, service health check, replication/cluster health check, dependent application smoke test, reboot confirmation.</w:t>
      </w:r>
    </w:p>
    <w:p>
      <w:pPr>
        <w:pStyle w:val="ListParagraph"/>
        <w:numPr>
          <w:ilvl w:val="0"/>
          <w:numId w:val="2"/>
        </w:numPr>
        <w:spacing w:after="80"/>
      </w:pPr>
      <w:r>
        <w:rPr>
          <w:rFonts w:ascii="Calibri" w:cs="Calibri" w:eastAsia="Calibri" w:hAnsi="Calibri"/>
          <w:sz w:val="22"/>
          <w:szCs w:val="22"/>
        </w:rPr>
        <w:t xml:space="preserve">Any failure triggers an automatic rollback attempt on that node, then escalation if rollback also fails — production is never left in a partially-patched, unverified state.</w:t>
      </w:r>
    </w:p>
    <w:p>
      <w:pPr>
        <w:pStyle w:val="Heading3"/>
        <w:spacing w:after="100" w:before="200"/>
      </w:pPr>
      <w:r>
        <w:t xml:space="preserve">Step 9 — Generate Report</w:t>
      </w:r>
    </w:p>
    <w:p>
      <w:pPr>
        <w:pStyle w:val="ListParagraph"/>
        <w:numPr>
          <w:ilvl w:val="0"/>
          <w:numId w:val="2"/>
        </w:numPr>
        <w:spacing w:after="80"/>
      </w:pPr>
      <w:r>
        <w:rPr>
          <w:rFonts w:ascii="Calibri" w:cs="Calibri" w:eastAsia="Calibri" w:hAnsi="Calibri"/>
          <w:sz w:val="22"/>
          <w:szCs w:val="22"/>
        </w:rPr>
        <w:t xml:space="preserve">Per-cycle compliance report: % patched, list of exceptions, time-to-patch metrics, 14-day SLA adherence per Tier 0 CI, and any CAB/business approval evidence.</w:t>
      </w:r>
    </w:p>
    <w:p>
      <w:pPr>
        <w:pStyle w:val="ListParagraph"/>
        <w:numPr>
          <w:ilvl w:val="0"/>
          <w:numId w:val="2"/>
        </w:numPr>
        <w:spacing w:after="80"/>
      </w:pPr>
      <w:r>
        <w:rPr>
          <w:rFonts w:ascii="Calibri" w:cs="Calibri" w:eastAsia="Calibri" w:hAnsi="Calibri"/>
          <w:sz w:val="22"/>
          <w:szCs w:val="22"/>
        </w:rPr>
        <w:t xml:space="preserve">Delivered as a dashboard (Power BI / ServiceNow Performance Analytics) and as a document attached to the Change Request.</w:t>
      </w:r>
    </w:p>
    <w:p>
      <w:pPr>
        <w:pStyle w:val="Heading3"/>
        <w:spacing w:after="100" w:before="200"/>
      </w:pPr>
      <w:r>
        <w:t xml:space="preserve">Step 10 — Update ServiceNow Change</w:t>
      </w:r>
    </w:p>
    <w:p>
      <w:pPr>
        <w:pStyle w:val="ListParagraph"/>
        <w:numPr>
          <w:ilvl w:val="0"/>
          <w:numId w:val="2"/>
        </w:numPr>
        <w:spacing w:after="80"/>
      </w:pPr>
      <w:r>
        <w:rPr>
          <w:rFonts w:ascii="Calibri" w:cs="Calibri" w:eastAsia="Calibri" w:hAnsi="Calibri"/>
          <w:sz w:val="22"/>
          <w:szCs w:val="22"/>
        </w:rPr>
        <w:t xml:space="preserve">Orchestration platform updates the Change Request work notes / custom fields in near-real-time as each stage completes (not just at the end) — see Section 4.3.</w:t>
      </w:r>
    </w:p>
    <w:p>
      <w:pPr>
        <w:pStyle w:val="ListParagraph"/>
        <w:numPr>
          <w:ilvl w:val="0"/>
          <w:numId w:val="2"/>
        </w:numPr>
        <w:spacing w:after="80"/>
      </w:pPr>
      <w:r>
        <w:rPr>
          <w:rFonts w:ascii="Calibri" w:cs="Calibri" w:eastAsia="Calibri" w:hAnsi="Calibri"/>
          <w:sz w:val="22"/>
          <w:szCs w:val="22"/>
        </w:rPr>
        <w:t xml:space="preserve">Final state: Change auto-closes as Successful if 100% compliant within the 14-day SLA, or moves to Successful with Issues with exception CIs itemized, or Unsuccessful with rollback evidence.</w:t>
      </w:r>
    </w:p>
    <w:p>
      <w:pPr>
        <w:pStyle w:val="Heading2"/>
        <w:spacing w:after="120" w:before="280"/>
      </w:pPr>
      <w:r>
        <w:t xml:space="preserve">4.2 Change Model by Patch Classification (Tier 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750"/>
        <w:gridCol w:w="2100"/>
        <w:gridCol w:w="1100"/>
      </w:tblGrid>
      <w:tr>
        <w:trPr>
          <w:tblHeader/>
        </w:trPr>
        <w:tc>
          <w:tcPr>
            <w:tcW w:type="dxa" w:w="1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Patch Class</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c>
          <w:tcPr>
            <w:tcW w:type="dxa" w:w="1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Change Type</w:t>
            </w:r>
          </w:p>
        </w:tc>
        <w:tc>
          <w:tcPr>
            <w:tcW w:type="dxa" w:w="2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Approval Model</w:t>
            </w:r>
          </w:p>
        </w:tc>
        <w:tc>
          <w:tcPr>
            <w:tcW w:type="dxa" w:w="1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Target SLA (Tier 0)</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Critical / Actively Exploited</w:t>
            </w:r>
          </w:p>
        </w:tc>
        <w:tc>
          <w:tcPr>
            <w:tcW w:type="dxa" w:w="2500"/>
            <w:tcMar>
              <w:top w:type="dxa" w:w="100"/>
              <w:left w:type="dxa" w:w="120"/>
              <w:bottom w:type="dxa" w:w="100"/>
              <w:right w:type="dxa" w:w="120"/>
            </w:tcMar>
          </w:tcPr>
          <w:p>
            <w:r>
              <w:rPr>
                <w:rFonts w:ascii="Calibri" w:cs="Calibri" w:eastAsia="Calibri" w:hAnsi="Calibri"/>
                <w:sz w:val="20"/>
                <w:szCs w:val="20"/>
              </w:rPr>
              <w:t xml:space="preserve">Actively exploited vulnerability affecting a Tier 0 system</w:t>
            </w:r>
          </w:p>
        </w:tc>
        <w:tc>
          <w:tcPr>
            <w:tcW w:type="dxa" w:w="1750"/>
            <w:tcMar>
              <w:top w:type="dxa" w:w="100"/>
              <w:left w:type="dxa" w:w="120"/>
              <w:bottom w:type="dxa" w:w="100"/>
              <w:right w:type="dxa" w:w="120"/>
            </w:tcMar>
          </w:tcPr>
          <w:p>
            <w:r>
              <w:rPr>
                <w:rFonts w:ascii="Calibri" w:cs="Calibri" w:eastAsia="Calibri" w:hAnsi="Calibri"/>
                <w:sz w:val="20"/>
                <w:szCs w:val="20"/>
              </w:rPr>
              <w:t xml:space="preserve">Emergency Change</w:t>
            </w:r>
          </w:p>
        </w:tc>
        <w:tc>
          <w:tcPr>
            <w:tcW w:type="dxa" w:w="2100"/>
            <w:tcMar>
              <w:top w:type="dxa" w:w="100"/>
              <w:left w:type="dxa" w:w="120"/>
              <w:bottom w:type="dxa" w:w="100"/>
              <w:right w:type="dxa" w:w="120"/>
            </w:tcMar>
          </w:tcPr>
          <w:p>
            <w:r>
              <w:rPr>
                <w:rFonts w:ascii="Calibri" w:cs="Calibri" w:eastAsia="Calibri" w:hAnsi="Calibri"/>
                <w:sz w:val="20"/>
                <w:szCs w:val="20"/>
              </w:rPr>
              <w:t xml:space="preserve">Expedited CAB review (out-of-cycle CAB call)</w:t>
            </w:r>
          </w:p>
        </w:tc>
        <w:tc>
          <w:tcPr>
            <w:tcW w:type="dxa" w:w="1100"/>
            <w:tcMar>
              <w:top w:type="dxa" w:w="100"/>
              <w:left w:type="dxa" w:w="120"/>
              <w:bottom w:type="dxa" w:w="100"/>
              <w:right w:type="dxa" w:w="120"/>
            </w:tcMar>
          </w:tcPr>
          <w:p>
            <w:r>
              <w:rPr>
                <w:rFonts w:ascii="Calibri" w:cs="Calibri" w:eastAsia="Calibri" w:hAnsi="Calibri"/>
                <w:sz w:val="20"/>
                <w:szCs w:val="20"/>
              </w:rPr>
              <w:t xml:space="preserve">As fast as safely possible — treat as exception to the 14-day baseline</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Important (CVSS 7-8.9)</w:t>
            </w:r>
          </w:p>
        </w:tc>
        <w:tc>
          <w:tcPr>
            <w:tcW w:type="dxa" w:w="2500"/>
            <w:tcMar>
              <w:top w:type="dxa" w:w="100"/>
              <w:left w:type="dxa" w:w="120"/>
              <w:bottom w:type="dxa" w:w="100"/>
              <w:right w:type="dxa" w:w="120"/>
            </w:tcMar>
          </w:tcPr>
          <w:p>
            <w:r>
              <w:rPr>
                <w:rFonts w:ascii="Calibri" w:cs="Calibri" w:eastAsia="Calibri" w:hAnsi="Calibri"/>
                <w:sz w:val="20"/>
                <w:szCs w:val="20"/>
              </w:rPr>
              <w:t xml:space="preserve">High severity, standard urgency</w:t>
            </w:r>
          </w:p>
        </w:tc>
        <w:tc>
          <w:tcPr>
            <w:tcW w:type="dxa" w:w="1750"/>
            <w:tcMar>
              <w:top w:type="dxa" w:w="100"/>
              <w:left w:type="dxa" w:w="120"/>
              <w:bottom w:type="dxa" w:w="100"/>
              <w:right w:type="dxa" w:w="120"/>
            </w:tcMar>
          </w:tcPr>
          <w:p>
            <w:r>
              <w:rPr>
                <w:rFonts w:ascii="Calibri" w:cs="Calibri" w:eastAsia="Calibri" w:hAnsi="Calibri"/>
                <w:sz w:val="20"/>
                <w:szCs w:val="20"/>
              </w:rPr>
              <w:t xml:space="preserve">Standard Change</w:t>
            </w:r>
          </w:p>
        </w:tc>
        <w:tc>
          <w:tcPr>
            <w:tcW w:type="dxa" w:w="2100"/>
            <w:tcMar>
              <w:top w:type="dxa" w:w="100"/>
              <w:left w:type="dxa" w:w="120"/>
              <w:bottom w:type="dxa" w:w="100"/>
              <w:right w:type="dxa" w:w="120"/>
            </w:tcMar>
          </w:tcPr>
          <w:p>
            <w:r>
              <w:rPr>
                <w:rFonts w:ascii="Calibri" w:cs="Calibri" w:eastAsia="Calibri" w:hAnsi="Calibri"/>
                <w:sz w:val="20"/>
                <w:szCs w:val="20"/>
              </w:rPr>
              <w:t xml:space="preserve">CAB-reviewed, standard cadence</w:t>
            </w:r>
          </w:p>
        </w:tc>
        <w:tc>
          <w:tcPr>
            <w:tcW w:type="dxa" w:w="1100"/>
            <w:tcMar>
              <w:top w:type="dxa" w:w="100"/>
              <w:left w:type="dxa" w:w="120"/>
              <w:bottom w:type="dxa" w:w="100"/>
              <w:right w:type="dxa" w:w="120"/>
            </w:tcMar>
          </w:tcPr>
          <w:p>
            <w:r>
              <w:rPr>
                <w:rFonts w:ascii="Calibri" w:cs="Calibri" w:eastAsia="Calibri" w:hAnsi="Calibri"/>
                <w:sz w:val="20"/>
                <w:szCs w:val="20"/>
              </w:rPr>
              <w:t xml:space="preserve">14 days from release</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Routine / Low</w:t>
            </w:r>
          </w:p>
        </w:tc>
        <w:tc>
          <w:tcPr>
            <w:tcW w:type="dxa" w:w="2500"/>
            <w:tcMar>
              <w:top w:type="dxa" w:w="100"/>
              <w:left w:type="dxa" w:w="120"/>
              <w:bottom w:type="dxa" w:w="100"/>
              <w:right w:type="dxa" w:w="120"/>
            </w:tcMar>
          </w:tcPr>
          <w:p>
            <w:r>
              <w:rPr>
                <w:rFonts w:ascii="Calibri" w:cs="Calibri" w:eastAsia="Calibri" w:hAnsi="Calibri"/>
                <w:sz w:val="20"/>
                <w:szCs w:val="20"/>
              </w:rPr>
              <w:t xml:space="preserve">Monthly patch cycle, low severity</w:t>
            </w:r>
          </w:p>
        </w:tc>
        <w:tc>
          <w:tcPr>
            <w:tcW w:type="dxa" w:w="1750"/>
            <w:tcMar>
              <w:top w:type="dxa" w:w="100"/>
              <w:left w:type="dxa" w:w="120"/>
              <w:bottom w:type="dxa" w:w="100"/>
              <w:right w:type="dxa" w:w="120"/>
            </w:tcMar>
          </w:tcPr>
          <w:p>
            <w:r>
              <w:rPr>
                <w:rFonts w:ascii="Calibri" w:cs="Calibri" w:eastAsia="Calibri" w:hAnsi="Calibri"/>
                <w:sz w:val="20"/>
                <w:szCs w:val="20"/>
              </w:rPr>
              <w:t xml:space="preserve">Standard Change</w:t>
            </w:r>
          </w:p>
        </w:tc>
        <w:tc>
          <w:tcPr>
            <w:tcW w:type="dxa" w:w="2100"/>
            <w:tcMar>
              <w:top w:type="dxa" w:w="100"/>
              <w:left w:type="dxa" w:w="120"/>
              <w:bottom w:type="dxa" w:w="100"/>
              <w:right w:type="dxa" w:w="120"/>
            </w:tcMar>
          </w:tcPr>
          <w:p>
            <w:r>
              <w:rPr>
                <w:rFonts w:ascii="Calibri" w:cs="Calibri" w:eastAsia="Calibri" w:hAnsi="Calibri"/>
                <w:sz w:val="20"/>
                <w:szCs w:val="20"/>
              </w:rPr>
              <w:t xml:space="preserve">Pre-approved via template, CAB informed</w:t>
            </w:r>
          </w:p>
        </w:tc>
        <w:tc>
          <w:tcPr>
            <w:tcW w:type="dxa" w:w="1100"/>
            <w:tcMar>
              <w:top w:type="dxa" w:w="100"/>
              <w:left w:type="dxa" w:w="120"/>
              <w:bottom w:type="dxa" w:w="100"/>
              <w:right w:type="dxa" w:w="120"/>
            </w:tcMar>
          </w:tcPr>
          <w:p>
            <w:r>
              <w:rPr>
                <w:rFonts w:ascii="Calibri" w:cs="Calibri" w:eastAsia="Calibri" w:hAnsi="Calibri"/>
                <w:sz w:val="20"/>
                <w:szCs w:val="20"/>
              </w:rPr>
              <w:t xml:space="preserve">14 days from release (aligned to monthly cycle where possible)</w:t>
            </w:r>
          </w:p>
        </w:tc>
      </w:tr>
    </w:tbl>
    <w:p>
      <w:pPr>
        <w:spacing w:after="160" w:line="276"/>
      </w:pPr>
      <w:r>
        <w:rPr>
          <w:rFonts w:ascii="Calibri" w:cs="Calibri" w:eastAsia="Calibri" w:hAnsi="Calibri"/>
          <w:i/>
          <w:iCs/>
          <w:sz w:val="22"/>
          <w:szCs w:val="22"/>
        </w:rPr>
        <w:t xml:space="preserve">Key governance point: unlike a Day-0/DMZ scenario, 14 days is enough runway to justify keeping Tier 0 changes inside standard CAB review for most patches — the goal is to use the extra time for thorough non-production testing and a controlled node-by-node rollout, not to rush the same emergency process used for internet-facing exposure.</w:t>
      </w:r>
    </w:p>
    <w:p>
      <w:pPr>
        <w:pStyle w:val="Heading2"/>
        <w:spacing w:after="120" w:before="280"/>
      </w:pPr>
      <w:r>
        <w:t xml:space="preserve">4.3 ServiceNow Change Record — Field/State Update Pattern</w:t>
      </w:r>
    </w:p>
    <w:p>
      <w:pPr>
        <w:spacing w:after="160" w:line="276"/>
      </w:pPr>
      <w:r>
        <w:rPr>
          <w:rFonts w:ascii="Calibri" w:cs="Calibri" w:eastAsia="Calibri" w:hAnsi="Calibri"/>
          <w:sz w:val="22"/>
          <w:szCs w:val="22"/>
        </w:rPr>
        <w:t xml:space="preserve">Recommend extending the standard Change Request table with custom fields (or a related "Patch Deployment" child record per CI) so the record tells the full story without digging through work notes: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950"/>
        <w:gridCol w:w="2500"/>
      </w:tblGrid>
      <w:tr>
        <w:trPr>
          <w:tblHeader/>
        </w:trPr>
        <w:tc>
          <w:tcPr>
            <w:tcW w:type="dxa" w:w="2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39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 Value</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Updated At</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u_patch_classification</w:t>
            </w:r>
          </w:p>
        </w:tc>
        <w:tc>
          <w:tcPr>
            <w:tcW w:type="dxa" w:w="3950"/>
            <w:tcMar>
              <w:top w:type="dxa" w:w="100"/>
              <w:left w:type="dxa" w:w="120"/>
              <w:bottom w:type="dxa" w:w="100"/>
              <w:right w:type="dxa" w:w="120"/>
            </w:tcMar>
          </w:tcPr>
          <w:p>
            <w:r>
              <w:rPr>
                <w:rFonts w:ascii="Calibri" w:cs="Calibri" w:eastAsia="Calibri" w:hAnsi="Calibri"/>
                <w:sz w:val="20"/>
                <w:szCs w:val="20"/>
              </w:rPr>
              <w:t xml:space="preserve">Critical / Important / Routine</w:t>
            </w:r>
          </w:p>
        </w:tc>
        <w:tc>
          <w:tcPr>
            <w:tcW w:type="dxa" w:w="2500"/>
            <w:tcMar>
              <w:top w:type="dxa" w:w="100"/>
              <w:left w:type="dxa" w:w="120"/>
              <w:bottom w:type="dxa" w:w="100"/>
              <w:right w:type="dxa" w:w="120"/>
            </w:tcMar>
          </w:tcPr>
          <w:p>
            <w:r>
              <w:rPr>
                <w:rFonts w:ascii="Calibri" w:cs="Calibri" w:eastAsia="Calibri" w:hAnsi="Calibri"/>
                <w:sz w:val="20"/>
                <w:szCs w:val="20"/>
              </w:rPr>
              <w:t xml:space="preserve">Change creation</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u_cve_reference</w:t>
            </w:r>
          </w:p>
        </w:tc>
        <w:tc>
          <w:tcPr>
            <w:tcW w:type="dxa" w:w="3950"/>
            <w:tcMar>
              <w:top w:type="dxa" w:w="100"/>
              <w:left w:type="dxa" w:w="120"/>
              <w:bottom w:type="dxa" w:w="100"/>
              <w:right w:type="dxa" w:w="120"/>
            </w:tcMar>
          </w:tcPr>
          <w:p>
            <w:r>
              <w:rPr>
                <w:rFonts w:ascii="Calibri" w:cs="Calibri" w:eastAsia="Calibri" w:hAnsi="Calibri"/>
                <w:sz w:val="20"/>
                <w:szCs w:val="20"/>
              </w:rPr>
              <w:t xml:space="preserve">CVE-2026-XXXXX</w:t>
            </w:r>
          </w:p>
        </w:tc>
        <w:tc>
          <w:tcPr>
            <w:tcW w:type="dxa" w:w="2500"/>
            <w:tcMar>
              <w:top w:type="dxa" w:w="100"/>
              <w:left w:type="dxa" w:w="120"/>
              <w:bottom w:type="dxa" w:w="100"/>
              <w:right w:type="dxa" w:w="120"/>
            </w:tcMar>
          </w:tcPr>
          <w:p>
            <w:r>
              <w:rPr>
                <w:rFonts w:ascii="Calibri" w:cs="Calibri" w:eastAsia="Calibri" w:hAnsi="Calibri"/>
                <w:sz w:val="20"/>
                <w:szCs w:val="20"/>
              </w:rPr>
              <w:t xml:space="preserve">Change creation</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u_business_tier</w:t>
            </w:r>
          </w:p>
        </w:tc>
        <w:tc>
          <w:tcPr>
            <w:tcW w:type="dxa" w:w="3950"/>
            <w:tcMar>
              <w:top w:type="dxa" w:w="100"/>
              <w:left w:type="dxa" w:w="120"/>
              <w:bottom w:type="dxa" w:w="100"/>
              <w:right w:type="dxa" w:w="120"/>
            </w:tcMar>
          </w:tcPr>
          <w:p>
            <w:r>
              <w:rPr>
                <w:rFonts w:ascii="Calibri" w:cs="Calibri" w:eastAsia="Calibri" w:hAnsi="Calibri"/>
                <w:sz w:val="20"/>
                <w:szCs w:val="20"/>
              </w:rPr>
              <w:t xml:space="preserve">Tier 0</w:t>
            </w:r>
          </w:p>
        </w:tc>
        <w:tc>
          <w:tcPr>
            <w:tcW w:type="dxa" w:w="2500"/>
            <w:tcMar>
              <w:top w:type="dxa" w:w="100"/>
              <w:left w:type="dxa" w:w="120"/>
              <w:bottom w:type="dxa" w:w="100"/>
              <w:right w:type="dxa" w:w="120"/>
            </w:tcMar>
          </w:tcPr>
          <w:p>
            <w:r>
              <w:rPr>
                <w:rFonts w:ascii="Calibri" w:cs="Calibri" w:eastAsia="Calibri" w:hAnsi="Calibri"/>
                <w:sz w:val="20"/>
                <w:szCs w:val="20"/>
              </w:rPr>
              <w:t xml:space="preserve">Change creation</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u_sla_deadline</w:t>
            </w:r>
          </w:p>
        </w:tc>
        <w:tc>
          <w:tcPr>
            <w:tcW w:type="dxa" w:w="3950"/>
            <w:tcMar>
              <w:top w:type="dxa" w:w="100"/>
              <w:left w:type="dxa" w:w="120"/>
              <w:bottom w:type="dxa" w:w="100"/>
              <w:right w:type="dxa" w:w="120"/>
            </w:tcMar>
          </w:tcPr>
          <w:p>
            <w:r>
              <w:rPr>
                <w:rFonts w:ascii="Calibri" w:cs="Calibri" w:eastAsia="Calibri" w:hAnsi="Calibri"/>
                <w:sz w:val="20"/>
                <w:szCs w:val="20"/>
              </w:rPr>
              <w:t xml:space="preserve">Auto-calculated: release date + 14 days</w:t>
            </w:r>
          </w:p>
        </w:tc>
        <w:tc>
          <w:tcPr>
            <w:tcW w:type="dxa" w:w="2500"/>
            <w:tcMar>
              <w:top w:type="dxa" w:w="100"/>
              <w:left w:type="dxa" w:w="120"/>
              <w:bottom w:type="dxa" w:w="100"/>
              <w:right w:type="dxa" w:w="120"/>
            </w:tcMar>
          </w:tcPr>
          <w:p>
            <w:r>
              <w:rPr>
                <w:rFonts w:ascii="Calibri" w:cs="Calibri" w:eastAsia="Calibri" w:hAnsi="Calibri"/>
                <w:sz w:val="20"/>
                <w:szCs w:val="20"/>
              </w:rPr>
              <w:t xml:space="preserve">Change creation</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u_nonprod_validation_status</w:t>
            </w:r>
          </w:p>
        </w:tc>
        <w:tc>
          <w:tcPr>
            <w:tcW w:type="dxa" w:w="3950"/>
            <w:tcMar>
              <w:top w:type="dxa" w:w="100"/>
              <w:left w:type="dxa" w:w="120"/>
              <w:bottom w:type="dxa" w:w="100"/>
              <w:right w:type="dxa" w:w="120"/>
            </w:tcMar>
          </w:tcPr>
          <w:p>
            <w:r>
              <w:rPr>
                <w:rFonts w:ascii="Calibri" w:cs="Calibri" w:eastAsia="Calibri" w:hAnsi="Calibri"/>
                <w:sz w:val="20"/>
                <w:szCs w:val="20"/>
              </w:rPr>
              <w:t xml:space="preserve">Passed / Failed / Skipped (with justification)</w:t>
            </w:r>
          </w:p>
        </w:tc>
        <w:tc>
          <w:tcPr>
            <w:tcW w:type="dxa" w:w="2500"/>
            <w:tcMar>
              <w:top w:type="dxa" w:w="100"/>
              <w:left w:type="dxa" w:w="120"/>
              <w:bottom w:type="dxa" w:w="100"/>
              <w:right w:type="dxa" w:w="120"/>
            </w:tcMar>
          </w:tcPr>
          <w:p>
            <w:r>
              <w:rPr>
                <w:rFonts w:ascii="Calibri" w:cs="Calibri" w:eastAsia="Calibri" w:hAnsi="Calibri"/>
                <w:sz w:val="20"/>
                <w:szCs w:val="20"/>
              </w:rPr>
              <w:t xml:space="preserve">After non-prod validation</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u_deployment_status</w:t>
            </w:r>
          </w:p>
        </w:tc>
        <w:tc>
          <w:tcPr>
            <w:tcW w:type="dxa" w:w="3950"/>
            <w:tcMar>
              <w:top w:type="dxa" w:w="100"/>
              <w:left w:type="dxa" w:w="120"/>
              <w:bottom w:type="dxa" w:w="100"/>
              <w:right w:type="dxa" w:w="120"/>
            </w:tcMar>
          </w:tcPr>
          <w:p>
            <w:r>
              <w:rPr>
                <w:rFonts w:ascii="Calibri" w:cs="Calibri" w:eastAsia="Calibri" w:hAnsi="Calibri"/>
                <w:sz w:val="20"/>
                <w:szCs w:val="20"/>
              </w:rPr>
              <w:t xml:space="preserve">Not Started / Node A Complete / Node B Complete / Failed</w:t>
            </w:r>
          </w:p>
        </w:tc>
        <w:tc>
          <w:tcPr>
            <w:tcW w:type="dxa" w:w="2500"/>
            <w:tcMar>
              <w:top w:type="dxa" w:w="100"/>
              <w:left w:type="dxa" w:w="120"/>
              <w:bottom w:type="dxa" w:w="100"/>
              <w:right w:type="dxa" w:w="120"/>
            </w:tcMar>
          </w:tcPr>
          <w:p>
            <w:r>
              <w:rPr>
                <w:rFonts w:ascii="Calibri" w:cs="Calibri" w:eastAsia="Calibri" w:hAnsi="Calibri"/>
                <w:sz w:val="20"/>
                <w:szCs w:val="20"/>
              </w:rPr>
              <w:t xml:space="preserve">Live during Step 7</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u_failover_health_check</w:t>
            </w:r>
          </w:p>
        </w:tc>
        <w:tc>
          <w:tcPr>
            <w:tcW w:type="dxa" w:w="3950"/>
            <w:tcMar>
              <w:top w:type="dxa" w:w="100"/>
              <w:left w:type="dxa" w:w="120"/>
              <w:bottom w:type="dxa" w:w="100"/>
              <w:right w:type="dxa" w:w="120"/>
            </w:tcMar>
          </w:tcPr>
          <w:p>
            <w:r>
              <w:rPr>
                <w:rFonts w:ascii="Calibri" w:cs="Calibri" w:eastAsia="Calibri" w:hAnsi="Calibri"/>
                <w:sz w:val="20"/>
                <w:szCs w:val="20"/>
              </w:rPr>
              <w:t xml:space="preserve">Pass / Fail</w:t>
            </w:r>
          </w:p>
        </w:tc>
        <w:tc>
          <w:tcPr>
            <w:tcW w:type="dxa" w:w="2500"/>
            <w:tcMar>
              <w:top w:type="dxa" w:w="100"/>
              <w:left w:type="dxa" w:w="120"/>
              <w:bottom w:type="dxa" w:w="100"/>
              <w:right w:type="dxa" w:w="120"/>
            </w:tcMar>
          </w:tcPr>
          <w:p>
            <w:r>
              <w:rPr>
                <w:rFonts w:ascii="Calibri" w:cs="Calibri" w:eastAsia="Calibri" w:hAnsi="Calibri"/>
                <w:sz w:val="20"/>
                <w:szCs w:val="20"/>
              </w:rPr>
              <w:t xml:space="preserve">Between node patches</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u_ci_success_count / u_ci_failure_count</w:t>
            </w:r>
          </w:p>
        </w:tc>
        <w:tc>
          <w:tcPr>
            <w:tcW w:type="dxa" w:w="3950"/>
            <w:tcMar>
              <w:top w:type="dxa" w:w="100"/>
              <w:left w:type="dxa" w:w="120"/>
              <w:bottom w:type="dxa" w:w="100"/>
              <w:right w:type="dxa" w:w="120"/>
            </w:tcMar>
          </w:tcPr>
          <w:p>
            <w:r>
              <w:rPr>
                <w:rFonts w:ascii="Calibri" w:cs="Calibri" w:eastAsia="Calibri" w:hAnsi="Calibri"/>
                <w:sz w:val="20"/>
                <w:szCs w:val="20"/>
              </w:rPr>
              <w:t xml:space="preserve">12/12</w:t>
            </w:r>
          </w:p>
        </w:tc>
        <w:tc>
          <w:tcPr>
            <w:tcW w:type="dxa" w:w="2500"/>
            <w:tcMar>
              <w:top w:type="dxa" w:w="100"/>
              <w:left w:type="dxa" w:w="120"/>
              <w:bottom w:type="dxa" w:w="100"/>
              <w:right w:type="dxa" w:w="120"/>
            </w:tcMar>
          </w:tcPr>
          <w:p>
            <w:r>
              <w:rPr>
                <w:rFonts w:ascii="Calibri" w:cs="Calibri" w:eastAsia="Calibri" w:hAnsi="Calibri"/>
                <w:sz w:val="20"/>
                <w:szCs w:val="20"/>
              </w:rPr>
              <w:t xml:space="preserve">After Step 8</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u_sla_met</w:t>
            </w:r>
          </w:p>
        </w:tc>
        <w:tc>
          <w:tcPr>
            <w:tcW w:type="dxa" w:w="3950"/>
            <w:tcMar>
              <w:top w:type="dxa" w:w="100"/>
              <w:left w:type="dxa" w:w="120"/>
              <w:bottom w:type="dxa" w:w="100"/>
              <w:right w:type="dxa" w:w="120"/>
            </w:tcMar>
          </w:tcPr>
          <w:p>
            <w:r>
              <w:rPr>
                <w:rFonts w:ascii="Calibri" w:cs="Calibri" w:eastAsia="Calibri" w:hAnsi="Calibri"/>
                <w:sz w:val="20"/>
                <w:szCs w:val="20"/>
              </w:rPr>
              <w:t xml:space="preserve">Yes / No / At Risk</w:t>
            </w:r>
          </w:p>
        </w:tc>
        <w:tc>
          <w:tcPr>
            <w:tcW w:type="dxa" w:w="2500"/>
            <w:tcMar>
              <w:top w:type="dxa" w:w="100"/>
              <w:left w:type="dxa" w:w="120"/>
              <w:bottom w:type="dxa" w:w="100"/>
              <w:right w:type="dxa" w:w="120"/>
            </w:tcMar>
          </w:tcPr>
          <w:p>
            <w:r>
              <w:rPr>
                <w:rFonts w:ascii="Calibri" w:cs="Calibri" w:eastAsia="Calibri" w:hAnsi="Calibri"/>
                <w:sz w:val="20"/>
                <w:szCs w:val="20"/>
              </w:rPr>
              <w:t xml:space="preserve">Continuously recalculated</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close_notes</w:t>
            </w:r>
          </w:p>
        </w:tc>
        <w:tc>
          <w:tcPr>
            <w:tcW w:type="dxa" w:w="3950"/>
            <w:tcMar>
              <w:top w:type="dxa" w:w="100"/>
              <w:left w:type="dxa" w:w="120"/>
              <w:bottom w:type="dxa" w:w="100"/>
              <w:right w:type="dxa" w:w="120"/>
            </w:tcMar>
          </w:tcPr>
          <w:p>
            <w:r>
              <w:rPr>
                <w:rFonts w:ascii="Calibri" w:cs="Calibri" w:eastAsia="Calibri" w:hAnsi="Calibri"/>
                <w:sz w:val="20"/>
                <w:szCs w:val="20"/>
              </w:rPr>
              <w:t xml:space="preserve">Auto-generated summary + link to report</w:t>
            </w:r>
          </w:p>
        </w:tc>
        <w:tc>
          <w:tcPr>
            <w:tcW w:type="dxa" w:w="2500"/>
            <w:tcMar>
              <w:top w:type="dxa" w:w="100"/>
              <w:left w:type="dxa" w:w="120"/>
              <w:bottom w:type="dxa" w:w="100"/>
              <w:right w:type="dxa" w:w="120"/>
            </w:tcMar>
          </w:tcPr>
          <w:p>
            <w:r>
              <w:rPr>
                <w:rFonts w:ascii="Calibri" w:cs="Calibri" w:eastAsia="Calibri" w:hAnsi="Calibri"/>
                <w:sz w:val="20"/>
                <w:szCs w:val="20"/>
              </w:rPr>
              <w:t xml:space="preserve">After Step 10</w:t>
            </w:r>
          </w:p>
        </w:tc>
      </w:tr>
    </w:tbl>
    <w:p>
      <w:pPr>
        <w:spacing w:after="160" w:line="276"/>
      </w:pPr>
      <w:r>
        <w:rPr>
          <w:rFonts w:ascii="Calibri" w:cs="Calibri" w:eastAsia="Calibri" w:hAnsi="Calibri"/>
          <w:sz w:val="22"/>
          <w:szCs w:val="22"/>
        </w:rPr>
        <w:t xml:space="preserve">Integration is via ServiceNow REST Table API (or IntegrationHub / Orchestration spokes for low-code) called from the orchestration platform's post-job webhook — push-on-event keeps the record current within seconds of each stage completing, rather than waiting on a scheduled pull.</w:t>
      </w:r>
    </w:p>
    <w:p>
      <w:pPr>
        <w:pStyle w:val="Heading1"/>
        <w:spacing w:after="160" w:before="360"/>
      </w:pPr>
      <w:r>
        <w:t xml:space="preserve">5. Alternative Options — Orchestration Engine Choice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500"/>
        <w:gridCol w:w="175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Option</w:t>
            </w:r>
          </w:p>
        </w:tc>
        <w:tc>
          <w:tcPr>
            <w:tcW w:type="dxa" w:w="2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Strengths</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Weaknesses</w:t>
            </w:r>
          </w:p>
        </w:tc>
        <w:tc>
          <w:tcPr>
            <w:tcW w:type="dxa" w:w="1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Best Fit</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Ansible Automation Platform (AAP)</w:t>
            </w:r>
          </w:p>
        </w:tc>
        <w:tc>
          <w:tcPr>
            <w:tcW w:type="dxa" w:w="2900"/>
            <w:tcMar>
              <w:top w:type="dxa" w:w="100"/>
              <w:left w:type="dxa" w:w="120"/>
              <w:bottom w:type="dxa" w:w="100"/>
              <w:right w:type="dxa" w:w="120"/>
            </w:tcMar>
          </w:tcPr>
          <w:p>
            <w:r>
              <w:rPr>
                <w:rFonts w:ascii="Calibri" w:cs="Calibri" w:eastAsia="Calibri" w:hAnsi="Calibri"/>
                <w:sz w:val="20"/>
                <w:szCs w:val="20"/>
              </w:rPr>
              <w:t xml:space="preserve">Agentless (SSH/WinRM), strong ServiceNow certified integration (Change/CMDB), cross-OS, good support for node-by-node HA-aware rollouts</w:t>
            </w:r>
          </w:p>
        </w:tc>
        <w:tc>
          <w:tcPr>
            <w:tcW w:type="dxa" w:w="2500"/>
            <w:tcMar>
              <w:top w:type="dxa" w:w="100"/>
              <w:left w:type="dxa" w:w="120"/>
              <w:bottom w:type="dxa" w:w="100"/>
              <w:right w:type="dxa" w:w="120"/>
            </w:tcMar>
          </w:tcPr>
          <w:p>
            <w:r>
              <w:rPr>
                <w:rFonts w:ascii="Calibri" w:cs="Calibri" w:eastAsia="Calibri" w:hAnsi="Calibri"/>
                <w:sz w:val="20"/>
                <w:szCs w:val="20"/>
              </w:rPr>
              <w:t xml:space="preserve">Requires playbook development effort, licensing cost at scale</w:t>
            </w:r>
          </w:p>
        </w:tc>
        <w:tc>
          <w:tcPr>
            <w:tcW w:type="dxa" w:w="1750"/>
            <w:tcMar>
              <w:top w:type="dxa" w:w="100"/>
              <w:left w:type="dxa" w:w="120"/>
              <w:bottom w:type="dxa" w:w="100"/>
              <w:right w:type="dxa" w:w="120"/>
            </w:tcMar>
          </w:tcPr>
          <w:p>
            <w:r>
              <w:rPr>
                <w:rFonts w:ascii="Calibri" w:cs="Calibri" w:eastAsia="Calibri" w:hAnsi="Calibri"/>
                <w:sz w:val="20"/>
                <w:szCs w:val="20"/>
              </w:rPr>
              <w:t xml:space="preserve">Recommended default for mixed Windows/Linux + hybrid cloud estates</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Microsoft Configuration Manager (SCCM/MECM) + WSUS</w:t>
            </w:r>
          </w:p>
        </w:tc>
        <w:tc>
          <w:tcPr>
            <w:tcW w:type="dxa" w:w="2900"/>
            <w:tcMar>
              <w:top w:type="dxa" w:w="100"/>
              <w:left w:type="dxa" w:w="120"/>
              <w:bottom w:type="dxa" w:w="100"/>
              <w:right w:type="dxa" w:w="120"/>
            </w:tcMar>
          </w:tcPr>
          <w:p>
            <w:r>
              <w:rPr>
                <w:rFonts w:ascii="Calibri" w:cs="Calibri" w:eastAsia="Calibri" w:hAnsi="Calibri"/>
                <w:sz w:val="20"/>
                <w:szCs w:val="20"/>
              </w:rPr>
              <w:t xml:space="preserve">Native for large Windows estates, mature software distribution, well-understood by most enterprise ops teams</w:t>
            </w:r>
          </w:p>
        </w:tc>
        <w:tc>
          <w:tcPr>
            <w:tcW w:type="dxa" w:w="2500"/>
            <w:tcMar>
              <w:top w:type="dxa" w:w="100"/>
              <w:left w:type="dxa" w:w="120"/>
              <w:bottom w:type="dxa" w:w="100"/>
              <w:right w:type="dxa" w:w="120"/>
            </w:tcMar>
          </w:tcPr>
          <w:p>
            <w:r>
              <w:rPr>
                <w:rFonts w:ascii="Calibri" w:cs="Calibri" w:eastAsia="Calibri" w:hAnsi="Calibri"/>
                <w:sz w:val="20"/>
                <w:szCs w:val="20"/>
              </w:rPr>
              <w:t xml:space="preserve">Windows-centric (Linux needs a second tool)</w:t>
            </w:r>
          </w:p>
        </w:tc>
        <w:tc>
          <w:tcPr>
            <w:tcW w:type="dxa" w:w="1750"/>
            <w:tcMar>
              <w:top w:type="dxa" w:w="100"/>
              <w:left w:type="dxa" w:w="120"/>
              <w:bottom w:type="dxa" w:w="100"/>
              <w:right w:type="dxa" w:w="120"/>
            </w:tcMar>
          </w:tcPr>
          <w:p>
            <w:r>
              <w:rPr>
                <w:rFonts w:ascii="Calibri" w:cs="Calibri" w:eastAsia="Calibri" w:hAnsi="Calibri"/>
                <w:sz w:val="20"/>
                <w:szCs w:val="20"/>
              </w:rPr>
              <w:t xml:space="preserve">Windows-heavy on-prem estates already invested in SCCM</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Azure Update Manager (+ Arc for on-prem/multi-cloud)</w:t>
            </w:r>
          </w:p>
        </w:tc>
        <w:tc>
          <w:tcPr>
            <w:tcW w:type="dxa" w:w="2900"/>
            <w:tcMar>
              <w:top w:type="dxa" w:w="100"/>
              <w:left w:type="dxa" w:w="120"/>
              <w:bottom w:type="dxa" w:w="100"/>
              <w:right w:type="dxa" w:w="120"/>
            </w:tcMar>
          </w:tcPr>
          <w:p>
            <w:r>
              <w:rPr>
                <w:rFonts w:ascii="Calibri" w:cs="Calibri" w:eastAsia="Calibri" w:hAnsi="Calibri"/>
                <w:sz w:val="20"/>
                <w:szCs w:val="20"/>
              </w:rPr>
              <w:t xml:space="preserve">SaaS-delivered, native Azure/Arc integration, built-in scheduling and reporting</w:t>
            </w:r>
          </w:p>
        </w:tc>
        <w:tc>
          <w:tcPr>
            <w:tcW w:type="dxa" w:w="2500"/>
            <w:tcMar>
              <w:top w:type="dxa" w:w="100"/>
              <w:left w:type="dxa" w:w="120"/>
              <w:bottom w:type="dxa" w:w="100"/>
              <w:right w:type="dxa" w:w="120"/>
            </w:tcMar>
          </w:tcPr>
          <w:p>
            <w:r>
              <w:rPr>
                <w:rFonts w:ascii="Calibri" w:cs="Calibri" w:eastAsia="Calibri" w:hAnsi="Calibri"/>
                <w:sz w:val="20"/>
                <w:szCs w:val="20"/>
              </w:rPr>
              <w:t xml:space="preserve">Less mature ServiceNow-native integration (needs Logic Apps/Azure Functions bridge)</w:t>
            </w:r>
          </w:p>
        </w:tc>
        <w:tc>
          <w:tcPr>
            <w:tcW w:type="dxa" w:w="1750"/>
            <w:tcMar>
              <w:top w:type="dxa" w:w="100"/>
              <w:left w:type="dxa" w:w="120"/>
              <w:bottom w:type="dxa" w:w="100"/>
              <w:right w:type="dxa" w:w="120"/>
            </w:tcMar>
          </w:tcPr>
          <w:p>
            <w:r>
              <w:rPr>
                <w:rFonts w:ascii="Calibri" w:cs="Calibri" w:eastAsia="Calibri" w:hAnsi="Calibri"/>
                <w:sz w:val="20"/>
                <w:szCs w:val="20"/>
              </w:rPr>
              <w:t xml:space="preserve">Azure/Arc-centric hybrid estates</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Red Hat Satellite + Ansible</w:t>
            </w:r>
          </w:p>
        </w:tc>
        <w:tc>
          <w:tcPr>
            <w:tcW w:type="dxa" w:w="2900"/>
            <w:tcMar>
              <w:top w:type="dxa" w:w="100"/>
              <w:left w:type="dxa" w:w="120"/>
              <w:bottom w:type="dxa" w:w="100"/>
              <w:right w:type="dxa" w:w="120"/>
            </w:tcMar>
          </w:tcPr>
          <w:p>
            <w:r>
              <w:rPr>
                <w:rFonts w:ascii="Calibri" w:cs="Calibri" w:eastAsia="Calibri" w:hAnsi="Calibri"/>
                <w:sz w:val="20"/>
                <w:szCs w:val="20"/>
              </w:rPr>
              <w:t xml:space="preserve">Best-in-class for RHEL-heavy estates, content views give strong staged patch control</w:t>
            </w:r>
          </w:p>
        </w:tc>
        <w:tc>
          <w:tcPr>
            <w:tcW w:type="dxa" w:w="2500"/>
            <w:tcMar>
              <w:top w:type="dxa" w:w="100"/>
              <w:left w:type="dxa" w:w="120"/>
              <w:bottom w:type="dxa" w:w="100"/>
              <w:right w:type="dxa" w:w="120"/>
            </w:tcMar>
          </w:tcPr>
          <w:p>
            <w:r>
              <w:rPr>
                <w:rFonts w:ascii="Calibri" w:cs="Calibri" w:eastAsia="Calibri" w:hAnsi="Calibri"/>
                <w:sz w:val="20"/>
                <w:szCs w:val="20"/>
              </w:rPr>
              <w:t xml:space="preserve">Linux-only; still needs a Windows-side tool alongside it</w:t>
            </w:r>
          </w:p>
        </w:tc>
        <w:tc>
          <w:tcPr>
            <w:tcW w:type="dxa" w:w="1750"/>
            <w:tcMar>
              <w:top w:type="dxa" w:w="100"/>
              <w:left w:type="dxa" w:w="120"/>
              <w:bottom w:type="dxa" w:w="100"/>
              <w:right w:type="dxa" w:w="120"/>
            </w:tcMar>
          </w:tcPr>
          <w:p>
            <w:r>
              <w:rPr>
                <w:rFonts w:ascii="Calibri" w:cs="Calibri" w:eastAsia="Calibri" w:hAnsi="Calibri"/>
                <w:sz w:val="20"/>
                <w:szCs w:val="20"/>
              </w:rPr>
              <w:t xml:space="preserve">Linux/RHEL-dominant estates</w:t>
            </w:r>
          </w:p>
        </w:tc>
      </w:tr>
    </w:tbl>
    <w:p>
      <w:pPr>
        <w:spacing w:after="160" w:line="276"/>
      </w:pPr>
      <w:r>
        <w:rPr>
          <w:rFonts w:ascii="Calibri" w:cs="Calibri" w:eastAsia="Calibri" w:hAnsi="Calibri"/>
          <w:b/>
          <w:bCs/>
          <w:sz w:val="22"/>
          <w:szCs w:val="22"/>
        </w:rPr>
        <w:t xml:space="preserve">Recommendation: Ansible Automation Platform as the orchestration and deployment layer, driving SCCM/WSUS and Red Hat Satellite/Foreman as the underlying patch-source/distribution mechanisms for Windows and Linux respectively. One control plane, one ServiceNow integration pattern, regardless of OS.</w:t>
      </w:r>
    </w:p>
    <w:p>
      <w:pPr>
        <w:pStyle w:val="Heading1"/>
        <w:spacing w:after="160" w:before="360"/>
      </w:pPr>
      <w:r>
        <w:t xml:space="preserve">6. Security &amp; Compliance</w:t>
      </w:r>
    </w:p>
    <w:p>
      <w:pPr>
        <w:pStyle w:val="ListParagraph"/>
        <w:numPr>
          <w:ilvl w:val="0"/>
          <w:numId w:val="2"/>
        </w:numPr>
        <w:spacing w:after="80"/>
      </w:pPr>
      <w:r>
        <w:rPr>
          <w:rFonts w:ascii="Calibri" w:cs="Calibri" w:eastAsia="Calibri" w:hAnsi="Calibri"/>
          <w:sz w:val="22"/>
          <w:szCs w:val="22"/>
        </w:rPr>
        <w:t xml:space="preserve">Package integrity: every downloaded patch is verified against vendor checksum/digital signature before it enters the staging repository. Reject and alert on mismatch.</w:t>
      </w:r>
    </w:p>
    <w:p>
      <w:pPr>
        <w:pStyle w:val="ListParagraph"/>
        <w:numPr>
          <w:ilvl w:val="0"/>
          <w:numId w:val="2"/>
        </w:numPr>
        <w:spacing w:after="80"/>
      </w:pPr>
      <w:r>
        <w:rPr>
          <w:rFonts w:ascii="Calibri" w:cs="Calibri" w:eastAsia="Calibri" w:hAnsi="Calibri"/>
          <w:sz w:val="22"/>
          <w:szCs w:val="22"/>
        </w:rPr>
        <w:t xml:space="preserve">Elevated credential controls for Tier 0: service accounts used to patch Tier 0 systems are vaulted with just-in-time checkout, tighter approval workflow, and mandatory session recording given the blast radius of these systems.</w:t>
      </w:r>
    </w:p>
    <w:p>
      <w:pPr>
        <w:pStyle w:val="ListParagraph"/>
        <w:numPr>
          <w:ilvl w:val="0"/>
          <w:numId w:val="2"/>
        </w:numPr>
        <w:spacing w:after="80"/>
      </w:pPr>
      <w:r>
        <w:rPr>
          <w:rFonts w:ascii="Calibri" w:cs="Calibri" w:eastAsia="Calibri" w:hAnsi="Calibri"/>
          <w:sz w:val="22"/>
          <w:szCs w:val="22"/>
        </w:rPr>
        <w:t xml:space="preserve">Segregation of duties: the account that approves the Change in ServiceNow is never the same account that executes the deployment — enforced via role-based access in both ServiceNow and the orchestration platform.</w:t>
      </w:r>
    </w:p>
    <w:p>
      <w:pPr>
        <w:pStyle w:val="ListParagraph"/>
        <w:numPr>
          <w:ilvl w:val="0"/>
          <w:numId w:val="2"/>
        </w:numPr>
        <w:spacing w:after="80"/>
      </w:pPr>
      <w:r>
        <w:rPr>
          <w:rFonts w:ascii="Calibri" w:cs="Calibri" w:eastAsia="Calibri" w:hAnsi="Calibri"/>
          <w:sz w:val="22"/>
          <w:szCs w:val="22"/>
        </w:rPr>
        <w:t xml:space="preserve">Change freeze awareness: automation must check against a defined blackout calendar (e.g., financial close, peak trading periods) before scheduling a Tier 0 deployment, even within the 14-day SLA window.</w:t>
      </w:r>
    </w:p>
    <w:p>
      <w:pPr>
        <w:pStyle w:val="ListParagraph"/>
        <w:numPr>
          <w:ilvl w:val="0"/>
          <w:numId w:val="2"/>
        </w:numPr>
        <w:spacing w:after="80"/>
      </w:pPr>
      <w:r>
        <w:rPr>
          <w:rFonts w:ascii="Calibri" w:cs="Calibri" w:eastAsia="Calibri" w:hAnsi="Calibri"/>
          <w:sz w:val="22"/>
          <w:szCs w:val="22"/>
        </w:rPr>
        <w:t xml:space="preserve">Immutable audit trail: every package build, deployment run, and validation result is logged with timestamp, operator/service account, and CI list, referenced back to the Change Request number for full ITIL traceability.</w:t>
      </w:r>
    </w:p>
    <w:p>
      <w:pPr>
        <w:pStyle w:val="ListParagraph"/>
        <w:numPr>
          <w:ilvl w:val="0"/>
          <w:numId w:val="2"/>
        </w:numPr>
        <w:spacing w:after="80"/>
      </w:pPr>
      <w:r>
        <w:rPr>
          <w:rFonts w:ascii="Calibri" w:cs="Calibri" w:eastAsia="Calibri" w:hAnsi="Calibri"/>
          <w:sz w:val="22"/>
          <w:szCs w:val="22"/>
        </w:rPr>
        <w:t xml:space="preserve">Compliance mapping: this workflow directly supports audit evidence for PCI-DSS (Req. 6.3.3/11.3), ISO 27001 (A.12.6.1), and NIST 800-53 (SI-2) patch management controls.</w:t>
      </w:r>
    </w:p>
    <w:p>
      <w:pPr>
        <w:pStyle w:val="Heading1"/>
        <w:spacing w:after="160" w:before="360"/>
      </w:pPr>
      <w:r>
        <w:t xml:space="preserve">7. Operations &amp; Monitoring</w:t>
      </w:r>
    </w:p>
    <w:p>
      <w:pPr>
        <w:pStyle w:val="ListParagraph"/>
        <w:numPr>
          <w:ilvl w:val="0"/>
          <w:numId w:val="2"/>
        </w:numPr>
        <w:spacing w:after="80"/>
      </w:pPr>
      <w:r>
        <w:rPr>
          <w:rFonts w:ascii="Calibri" w:cs="Calibri" w:eastAsia="Calibri" w:hAnsi="Calibri"/>
          <w:sz w:val="22"/>
          <w:szCs w:val="22"/>
        </w:rPr>
        <w:t xml:space="preserve">Real-time dashboard (Power BI or ServiceNow Performance Analytics) showing: Tier 0 patch compliance %, SLA countdown timers for open changes, exception list with owner and reason.</w:t>
      </w:r>
    </w:p>
    <w:p>
      <w:pPr>
        <w:pStyle w:val="ListParagraph"/>
        <w:numPr>
          <w:ilvl w:val="0"/>
          <w:numId w:val="2"/>
        </w:numPr>
        <w:spacing w:after="80"/>
      </w:pPr>
      <w:r>
        <w:rPr>
          <w:rFonts w:ascii="Calibri" w:cs="Calibri" w:eastAsia="Calibri" w:hAnsi="Calibri"/>
          <w:sz w:val="22"/>
          <w:szCs w:val="22"/>
        </w:rPr>
        <w:t xml:space="preserve">Alerting: automated alert when a Tier 0 change is within 48 hours of its 14-day SLA deadline and not yet complete.</w:t>
      </w:r>
    </w:p>
    <w:p>
      <w:pPr>
        <w:pStyle w:val="ListParagraph"/>
        <w:numPr>
          <w:ilvl w:val="0"/>
          <w:numId w:val="2"/>
        </w:numPr>
        <w:spacing w:after="80"/>
      </w:pPr>
      <w:r>
        <w:rPr>
          <w:rFonts w:ascii="Calibri" w:cs="Calibri" w:eastAsia="Calibri" w:hAnsi="Calibri"/>
          <w:sz w:val="22"/>
          <w:szCs w:val="22"/>
        </w:rPr>
        <w:t xml:space="preserve">Exception handling workflow: any CI that fails deployment or validation automatically spins off an Incident linked to the parent Change, assigned to the CI owner, with the failure log attached.</w:t>
      </w:r>
    </w:p>
    <w:p>
      <w:pPr>
        <w:pStyle w:val="ListParagraph"/>
        <w:numPr>
          <w:ilvl w:val="0"/>
          <w:numId w:val="2"/>
        </w:numPr>
        <w:spacing w:after="80"/>
      </w:pPr>
      <w:r>
        <w:rPr>
          <w:rFonts w:ascii="Calibri" w:cs="Calibri" w:eastAsia="Calibri" w:hAnsi="Calibri"/>
          <w:sz w:val="22"/>
          <w:szCs w:val="22"/>
        </w:rPr>
        <w:t xml:space="preserve">Monthly patch compliance report to IT leadership and business system owners, since Tier 0 outages typically have direct business-owner visibility.</w:t>
      </w:r>
    </w:p>
    <w:p>
      <w:pPr>
        <w:pStyle w:val="ListParagraph"/>
        <w:numPr>
          <w:ilvl w:val="0"/>
          <w:numId w:val="2"/>
        </w:numPr>
        <w:spacing w:after="80"/>
      </w:pPr>
      <w:r>
        <w:rPr>
          <w:rFonts w:ascii="Calibri" w:cs="Calibri" w:eastAsia="Calibri" w:hAnsi="Calibri"/>
          <w:sz w:val="22"/>
          <w:szCs w:val="22"/>
        </w:rPr>
        <w:t xml:space="preserve">Drift detection: daily inventory re-scan compares against the "should be patched by" list from CMDB and flags any Tier 0 server that fell out of compliance post-deployment.</w:t>
      </w:r>
    </w:p>
    <w:p>
      <w:pPr>
        <w:pStyle w:val="Heading1"/>
        <w:spacing w:after="160" w:before="360"/>
      </w:pPr>
      <w:r>
        <w:t xml:space="preserve">8.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5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2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Impact</w:t>
            </w:r>
          </w:p>
        </w:tc>
        <w:tc>
          <w:tcPr>
            <w:tcW w:type="dxa" w:w="40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Mitigation</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Patch causes instability on a Tier 0 system</w:t>
            </w:r>
          </w:p>
        </w:tc>
        <w:tc>
          <w:tcPr>
            <w:tcW w:type="dxa" w:w="2700"/>
            <w:tcMar>
              <w:top w:type="dxa" w:w="100"/>
              <w:left w:type="dxa" w:w="120"/>
              <w:bottom w:type="dxa" w:w="100"/>
              <w:right w:type="dxa" w:w="120"/>
            </w:tcMar>
          </w:tcPr>
          <w:p>
            <w:r>
              <w:rPr>
                <w:rFonts w:ascii="Calibri" w:cs="Calibri" w:eastAsia="Calibri" w:hAnsi="Calibri"/>
                <w:sz w:val="20"/>
                <w:szCs w:val="20"/>
              </w:rPr>
              <w:t xml:space="preserve">Major business outage (core database, identity, ERP)</w:t>
            </w:r>
          </w:p>
        </w:tc>
        <w:tc>
          <w:tcPr>
            <w:tcW w:type="dxa" w:w="4050"/>
            <w:tcMar>
              <w:top w:type="dxa" w:w="100"/>
              <w:left w:type="dxa" w:w="120"/>
              <w:bottom w:type="dxa" w:w="100"/>
              <w:right w:type="dxa" w:w="120"/>
            </w:tcMar>
          </w:tcPr>
          <w:p>
            <w:r>
              <w:rPr>
                <w:rFonts w:ascii="Calibri" w:cs="Calibri" w:eastAsia="Calibri" w:hAnsi="Calibri"/>
                <w:sz w:val="20"/>
                <w:szCs w:val="20"/>
              </w:rPr>
              <w:t xml:space="preserve">Mandatory non-prod validation before any production node is touched; node-by-node rollout with failover health checks</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14-day SLA missed due to change-freeze overlap</w:t>
            </w:r>
          </w:p>
        </w:tc>
        <w:tc>
          <w:tcPr>
            <w:tcW w:type="dxa" w:w="2700"/>
            <w:tcMar>
              <w:top w:type="dxa" w:w="100"/>
              <w:left w:type="dxa" w:w="120"/>
              <w:bottom w:type="dxa" w:w="100"/>
              <w:right w:type="dxa" w:w="120"/>
            </w:tcMar>
          </w:tcPr>
          <w:p>
            <w:r>
              <w:rPr>
                <w:rFonts w:ascii="Calibri" w:cs="Calibri" w:eastAsia="Calibri" w:hAnsi="Calibri"/>
                <w:sz w:val="20"/>
                <w:szCs w:val="20"/>
              </w:rPr>
              <w:t xml:space="preserve">Extended exposure, potential compliance finding</w:t>
            </w:r>
          </w:p>
        </w:tc>
        <w:tc>
          <w:tcPr>
            <w:tcW w:type="dxa" w:w="4050"/>
            <w:tcMar>
              <w:top w:type="dxa" w:w="100"/>
              <w:left w:type="dxa" w:w="120"/>
              <w:bottom w:type="dxa" w:w="100"/>
              <w:right w:type="dxa" w:w="120"/>
            </w:tcMar>
          </w:tcPr>
          <w:p>
            <w:r>
              <w:rPr>
                <w:rFonts w:ascii="Calibri" w:cs="Calibri" w:eastAsia="Calibri" w:hAnsi="Calibri"/>
                <w:sz w:val="20"/>
                <w:szCs w:val="20"/>
              </w:rPr>
              <w:t xml:space="preserve">Freeze calendar built into scheduler; escalation path to expedite before SLA breach</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Stale/incomplete CMDB misclassifies a Tier 0 system as lower tier</w:t>
            </w:r>
          </w:p>
        </w:tc>
        <w:tc>
          <w:tcPr>
            <w:tcW w:type="dxa" w:w="2700"/>
            <w:tcMar>
              <w:top w:type="dxa" w:w="100"/>
              <w:left w:type="dxa" w:w="120"/>
              <w:bottom w:type="dxa" w:w="100"/>
              <w:right w:type="dxa" w:w="120"/>
            </w:tcMar>
          </w:tcPr>
          <w:p>
            <w:r>
              <w:rPr>
                <w:rFonts w:ascii="Calibri" w:cs="Calibri" w:eastAsia="Calibri" w:hAnsi="Calibri"/>
                <w:sz w:val="20"/>
                <w:szCs w:val="20"/>
              </w:rPr>
              <w:t xml:space="preserve">Under-protected critical asset patched on the wrong cadence</w:t>
            </w:r>
          </w:p>
        </w:tc>
        <w:tc>
          <w:tcPr>
            <w:tcW w:type="dxa" w:w="4050"/>
            <w:tcMar>
              <w:top w:type="dxa" w:w="100"/>
              <w:left w:type="dxa" w:w="120"/>
              <w:bottom w:type="dxa" w:w="100"/>
              <w:right w:type="dxa" w:w="120"/>
            </w:tcMar>
          </w:tcPr>
          <w:p>
            <w:r>
              <w:rPr>
                <w:rFonts w:ascii="Calibri" w:cs="Calibri" w:eastAsia="Calibri" w:hAnsi="Calibri"/>
                <w:sz w:val="20"/>
                <w:szCs w:val="20"/>
              </w:rPr>
              <w:t xml:space="preserve">Quarterly business-owner review of Tier 0 CI list; automated flag if a CI's tier classification changes</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HA failover doesn't work as expected during patch window</w:t>
            </w:r>
          </w:p>
        </w:tc>
        <w:tc>
          <w:tcPr>
            <w:tcW w:type="dxa" w:w="2700"/>
            <w:tcMar>
              <w:top w:type="dxa" w:w="100"/>
              <w:left w:type="dxa" w:w="120"/>
              <w:bottom w:type="dxa" w:w="100"/>
              <w:right w:type="dxa" w:w="120"/>
            </w:tcMar>
          </w:tcPr>
          <w:p>
            <w:r>
              <w:rPr>
                <w:rFonts w:ascii="Calibri" w:cs="Calibri" w:eastAsia="Calibri" w:hAnsi="Calibri"/>
                <w:sz w:val="20"/>
                <w:szCs w:val="20"/>
              </w:rPr>
              <w:t xml:space="preserve">Full outage instead of a clean rolling patch</w:t>
            </w:r>
          </w:p>
        </w:tc>
        <w:tc>
          <w:tcPr>
            <w:tcW w:type="dxa" w:w="4050"/>
            <w:tcMar>
              <w:top w:type="dxa" w:w="100"/>
              <w:left w:type="dxa" w:w="120"/>
              <w:bottom w:type="dxa" w:w="100"/>
              <w:right w:type="dxa" w:w="120"/>
            </w:tcMar>
          </w:tcPr>
          <w:p>
            <w:r>
              <w:rPr>
                <w:rFonts w:ascii="Calibri" w:cs="Calibri" w:eastAsia="Calibri" w:hAnsi="Calibri"/>
                <w:sz w:val="20"/>
                <w:szCs w:val="20"/>
              </w:rPr>
              <w:t xml:space="preserve">Failover capability tested in non-prod first; automated abort if health check fails before second node is touched</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Credential compromise on Tier 0 service account</w:t>
            </w:r>
          </w:p>
        </w:tc>
        <w:tc>
          <w:tcPr>
            <w:tcW w:type="dxa" w:w="2700"/>
            <w:tcMar>
              <w:top w:type="dxa" w:w="100"/>
              <w:left w:type="dxa" w:w="120"/>
              <w:bottom w:type="dxa" w:w="100"/>
              <w:right w:type="dxa" w:w="120"/>
            </w:tcMar>
          </w:tcPr>
          <w:p>
            <w:r>
              <w:rPr>
                <w:rFonts w:ascii="Calibri" w:cs="Calibri" w:eastAsia="Calibri" w:hAnsi="Calibri"/>
                <w:sz w:val="20"/>
                <w:szCs w:val="20"/>
              </w:rPr>
              <w:t xml:space="preserve">High-impact lateral movement / privileged access risk</w:t>
            </w:r>
          </w:p>
        </w:tc>
        <w:tc>
          <w:tcPr>
            <w:tcW w:type="dxa" w:w="4050"/>
            <w:tcMar>
              <w:top w:type="dxa" w:w="100"/>
              <w:left w:type="dxa" w:w="120"/>
              <w:bottom w:type="dxa" w:w="100"/>
              <w:right w:type="dxa" w:w="120"/>
            </w:tcMar>
          </w:tcPr>
          <w:p>
            <w:r>
              <w:rPr>
                <w:rFonts w:ascii="Calibri" w:cs="Calibri" w:eastAsia="Calibri" w:hAnsi="Calibri"/>
                <w:sz w:val="20"/>
                <w:szCs w:val="20"/>
              </w:rPr>
              <w:t xml:space="preserve">Just-in-time vaulted credentials, MFA, session recording, tightly scoped permissions per system</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Package tampering in transit or at rest</w:t>
            </w:r>
          </w:p>
        </w:tc>
        <w:tc>
          <w:tcPr>
            <w:tcW w:type="dxa" w:w="2700"/>
            <w:tcMar>
              <w:top w:type="dxa" w:w="100"/>
              <w:left w:type="dxa" w:w="120"/>
              <w:bottom w:type="dxa" w:w="100"/>
              <w:right w:type="dxa" w:w="120"/>
            </w:tcMar>
          </w:tcPr>
          <w:p>
            <w:r>
              <w:rPr>
                <w:rFonts w:ascii="Calibri" w:cs="Calibri" w:eastAsia="Calibri" w:hAnsi="Calibri"/>
                <w:sz w:val="20"/>
                <w:szCs w:val="20"/>
              </w:rPr>
              <w:t xml:space="preserve">Supply-chain style compromise on a critical system</w:t>
            </w:r>
          </w:p>
        </w:tc>
        <w:tc>
          <w:tcPr>
            <w:tcW w:type="dxa" w:w="4050"/>
            <w:tcMar>
              <w:top w:type="dxa" w:w="100"/>
              <w:left w:type="dxa" w:w="120"/>
              <w:bottom w:type="dxa" w:w="100"/>
              <w:right w:type="dxa" w:w="120"/>
            </w:tcMar>
          </w:tcPr>
          <w:p>
            <w:r>
              <w:rPr>
                <w:rFonts w:ascii="Calibri" w:cs="Calibri" w:eastAsia="Calibri" w:hAnsi="Calibri"/>
                <w:sz w:val="20"/>
                <w:szCs w:val="20"/>
              </w:rPr>
              <w:t xml:space="preserve">Signature/checksum verification at every hop</w:t>
            </w:r>
          </w:p>
        </w:tc>
      </w:tr>
    </w:tbl>
    <w:p>
      <w:pPr>
        <w:pStyle w:val="Heading1"/>
        <w:spacing w:after="160" w:before="360"/>
      </w:pPr>
      <w:r>
        <w:t xml:space="preserve">9. Cost &amp; Licensing Considerations</w:t>
      </w:r>
    </w:p>
    <w:p>
      <w:pPr>
        <w:pStyle w:val="ListParagraph"/>
        <w:numPr>
          <w:ilvl w:val="0"/>
          <w:numId w:val="2"/>
        </w:numPr>
        <w:spacing w:after="80"/>
      </w:pPr>
      <w:r>
        <w:rPr>
          <w:rFonts w:ascii="Calibri" w:cs="Calibri" w:eastAsia="Calibri" w:hAnsi="Calibri"/>
          <w:sz w:val="22"/>
          <w:szCs w:val="22"/>
        </w:rPr>
        <w:t xml:space="preserve">Ansible Automation Platform: subscription per managed node (or per-core for controller).</w:t>
      </w:r>
    </w:p>
    <w:p>
      <w:pPr>
        <w:pStyle w:val="ListParagraph"/>
        <w:numPr>
          <w:ilvl w:val="0"/>
          <w:numId w:val="2"/>
        </w:numPr>
        <w:spacing w:after="80"/>
      </w:pPr>
      <w:r>
        <w:rPr>
          <w:rFonts w:ascii="Calibri" w:cs="Calibri" w:eastAsia="Calibri" w:hAnsi="Calibri"/>
          <w:sz w:val="22"/>
          <w:szCs w:val="22"/>
        </w:rPr>
        <w:t xml:space="preserve">ServiceNow: confirm existing ITOM/ITSM license tier supports Table API + Flow Designer/IntegrationHub actions; Performance Analytics module needed for compliance dashboards if not already licensed.</w:t>
      </w:r>
    </w:p>
    <w:p>
      <w:pPr>
        <w:pStyle w:val="ListParagraph"/>
        <w:numPr>
          <w:ilvl w:val="0"/>
          <w:numId w:val="2"/>
        </w:numPr>
        <w:spacing w:after="80"/>
      </w:pPr>
      <w:r>
        <w:rPr>
          <w:rFonts w:ascii="Calibri" w:cs="Calibri" w:eastAsia="Calibri" w:hAnsi="Calibri"/>
          <w:sz w:val="22"/>
          <w:szCs w:val="22"/>
        </w:rPr>
        <w:t xml:space="preserve">Non-production replica/snapshot capacity: Tier 0 validation requires either a standing non-prod replica or snapshot/clone capability — budget storage and compute for this if it doesn't already exist.</w:t>
      </w:r>
    </w:p>
    <w:p>
      <w:pPr>
        <w:pStyle w:val="ListParagraph"/>
        <w:numPr>
          <w:ilvl w:val="0"/>
          <w:numId w:val="2"/>
        </w:numPr>
        <w:spacing w:after="80"/>
      </w:pPr>
      <w:r>
        <w:rPr>
          <w:rFonts w:ascii="Calibri" w:cs="Calibri" w:eastAsia="Calibri" w:hAnsi="Calibri"/>
          <w:sz w:val="22"/>
          <w:szCs w:val="22"/>
        </w:rPr>
        <w:t xml:space="preserve">Secrets management: CyberArk/HashiCorp Vault licensing if not already in place — treat as mandatory given the Tier 0 credential-handling requirement.</w:t>
      </w:r>
    </w:p>
    <w:p>
      <w:pPr>
        <w:pStyle w:val="ListParagraph"/>
        <w:numPr>
          <w:ilvl w:val="0"/>
          <w:numId w:val="2"/>
        </w:numPr>
        <w:spacing w:after="80"/>
      </w:pPr>
      <w:r>
        <w:rPr>
          <w:rFonts w:ascii="Calibri" w:cs="Calibri" w:eastAsia="Calibri" w:hAnsi="Calibri"/>
          <w:sz w:val="22"/>
          <w:szCs w:val="22"/>
        </w:rPr>
        <w:t xml:space="preserve">One-time cost: playbook/automation development effort, typically the largest cost driver — budget for a phased build (Section 10) rather than a single big-bang implementation.</w:t>
      </w:r>
    </w:p>
    <w:p>
      <w:pPr>
        <w:pStyle w:val="Heading1"/>
        <w:spacing w:after="160" w:before="360"/>
      </w:pPr>
      <w:r>
        <w:t xml:space="preserve">10. Implementation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650"/>
        <w:gridCol w:w="5000"/>
      </w:tblGrid>
      <w:tr>
        <w:trPr>
          <w:tblHeader/>
        </w:trPr>
        <w:tc>
          <w:tcPr>
            <w:tcW w:type="dxa" w:w="2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16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Duration</w:t>
            </w:r>
          </w:p>
        </w:tc>
        <w:tc>
          <w:tcPr>
            <w:tcW w:type="dxa" w:w="5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Scope</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0 — Discovery &amp; Tier 0 CMDB Validation</w:t>
            </w:r>
          </w:p>
        </w:tc>
        <w:tc>
          <w:tcPr>
            <w:tcW w:type="dxa" w:w="1650"/>
            <w:tcMar>
              <w:top w:type="dxa" w:w="100"/>
              <w:left w:type="dxa" w:w="120"/>
              <w:bottom w:type="dxa" w:w="100"/>
              <w:right w:type="dxa" w:w="120"/>
            </w:tcMar>
          </w:tcPr>
          <w:p>
            <w:r>
              <w:rPr>
                <w:rFonts w:ascii="Calibri" w:cs="Calibri" w:eastAsia="Calibri" w:hAnsi="Calibri"/>
                <w:sz w:val="20"/>
                <w:szCs w:val="20"/>
              </w:rPr>
              <w:t xml:space="preserve">2–4 weeks</w:t>
            </w:r>
          </w:p>
        </w:tc>
        <w:tc>
          <w:tcPr>
            <w:tcW w:type="dxa" w:w="5000"/>
            <w:tcMar>
              <w:top w:type="dxa" w:w="100"/>
              <w:left w:type="dxa" w:w="120"/>
              <w:bottom w:type="dxa" w:w="100"/>
              <w:right w:type="dxa" w:w="120"/>
            </w:tcMar>
          </w:tcPr>
          <w:p>
            <w:r>
              <w:rPr>
                <w:rFonts w:ascii="Calibri" w:cs="Calibri" w:eastAsia="Calibri" w:hAnsi="Calibri"/>
                <w:sz w:val="20"/>
                <w:szCs w:val="20"/>
              </w:rPr>
              <w:t xml:space="preserve">Confirm Tier 0 CI list with business owners, validate assumptions in Section 2</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1 — Foundation</w:t>
            </w:r>
          </w:p>
        </w:tc>
        <w:tc>
          <w:tcPr>
            <w:tcW w:type="dxa" w:w="1650"/>
            <w:tcMar>
              <w:top w:type="dxa" w:w="100"/>
              <w:left w:type="dxa" w:w="120"/>
              <w:bottom w:type="dxa" w:w="100"/>
              <w:right w:type="dxa" w:w="120"/>
            </w:tcMar>
          </w:tcPr>
          <w:p>
            <w:r>
              <w:rPr>
                <w:rFonts w:ascii="Calibri" w:cs="Calibri" w:eastAsia="Calibri" w:hAnsi="Calibri"/>
                <w:sz w:val="20"/>
                <w:szCs w:val="20"/>
              </w:rPr>
              <w:t xml:space="preserve">4–6 weeks</w:t>
            </w:r>
          </w:p>
        </w:tc>
        <w:tc>
          <w:tcPr>
            <w:tcW w:type="dxa" w:w="5000"/>
            <w:tcMar>
              <w:top w:type="dxa" w:w="100"/>
              <w:left w:type="dxa" w:w="120"/>
              <w:bottom w:type="dxa" w:w="100"/>
              <w:right w:type="dxa" w:w="120"/>
            </w:tcMar>
          </w:tcPr>
          <w:p>
            <w:r>
              <w:rPr>
                <w:rFonts w:ascii="Calibri" w:cs="Calibri" w:eastAsia="Calibri" w:hAnsi="Calibri"/>
                <w:sz w:val="20"/>
                <w:szCs w:val="20"/>
              </w:rPr>
              <w:t xml:space="preserve">Stand up orchestration platform, staging repo, non-prod replica/snapshot capability, secrets vault integration</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2 — ServiceNow Integration</w:t>
            </w:r>
          </w:p>
        </w:tc>
        <w:tc>
          <w:tcPr>
            <w:tcW w:type="dxa" w:w="1650"/>
            <w:tcMar>
              <w:top w:type="dxa" w:w="100"/>
              <w:left w:type="dxa" w:w="120"/>
              <w:bottom w:type="dxa" w:w="100"/>
              <w:right w:type="dxa" w:w="120"/>
            </w:tcMar>
          </w:tcPr>
          <w:p>
            <w:r>
              <w:rPr>
                <w:rFonts w:ascii="Calibri" w:cs="Calibri" w:eastAsia="Calibri" w:hAnsi="Calibri"/>
                <w:sz w:val="20"/>
                <w:szCs w:val="20"/>
              </w:rPr>
              <w:t xml:space="preserve">3–4 weeks</w:t>
            </w:r>
          </w:p>
        </w:tc>
        <w:tc>
          <w:tcPr>
            <w:tcW w:type="dxa" w:w="5000"/>
            <w:tcMar>
              <w:top w:type="dxa" w:w="100"/>
              <w:left w:type="dxa" w:w="120"/>
              <w:bottom w:type="dxa" w:w="100"/>
              <w:right w:type="dxa" w:w="120"/>
            </w:tcMar>
          </w:tcPr>
          <w:p>
            <w:r>
              <w:rPr>
                <w:rFonts w:ascii="Calibri" w:cs="Calibri" w:eastAsia="Calibri" w:hAnsi="Calibri"/>
                <w:sz w:val="20"/>
                <w:szCs w:val="20"/>
              </w:rPr>
              <w:t xml:space="preserve">Build Change templates, REST API integration, custom fields, dashboards, freeze-calendar logic</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3 — Pilot</w:t>
            </w:r>
          </w:p>
        </w:tc>
        <w:tc>
          <w:tcPr>
            <w:tcW w:type="dxa" w:w="1650"/>
            <w:tcMar>
              <w:top w:type="dxa" w:w="100"/>
              <w:left w:type="dxa" w:w="120"/>
              <w:bottom w:type="dxa" w:w="100"/>
              <w:right w:type="dxa" w:w="120"/>
            </w:tcMar>
          </w:tcPr>
          <w:p>
            <w:r>
              <w:rPr>
                <w:rFonts w:ascii="Calibri" w:cs="Calibri" w:eastAsia="Calibri" w:hAnsi="Calibri"/>
                <w:sz w:val="20"/>
                <w:szCs w:val="20"/>
              </w:rPr>
              <w:t xml:space="preserve">4 weeks</w:t>
            </w:r>
          </w:p>
        </w:tc>
        <w:tc>
          <w:tcPr>
            <w:tcW w:type="dxa" w:w="5000"/>
            <w:tcMar>
              <w:top w:type="dxa" w:w="100"/>
              <w:left w:type="dxa" w:w="120"/>
              <w:bottom w:type="dxa" w:w="100"/>
              <w:right w:type="dxa" w:w="120"/>
            </w:tcMar>
          </w:tcPr>
          <w:p>
            <w:r>
              <w:rPr>
                <w:rFonts w:ascii="Calibri" w:cs="Calibri" w:eastAsia="Calibri" w:hAnsi="Calibri"/>
                <w:sz w:val="20"/>
                <w:szCs w:val="20"/>
              </w:rPr>
              <w:t xml:space="preserve">Run full workflow on a non-Tier-0 HA pair first, tune pre/post-checks, failover health check, and rollback logic</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4 — Tier 0 Rollout</w:t>
            </w:r>
          </w:p>
        </w:tc>
        <w:tc>
          <w:tcPr>
            <w:tcW w:type="dxa" w:w="1650"/>
            <w:tcMar>
              <w:top w:type="dxa" w:w="100"/>
              <w:left w:type="dxa" w:w="120"/>
              <w:bottom w:type="dxa" w:w="100"/>
              <w:right w:type="dxa" w:w="120"/>
            </w:tcMar>
          </w:tcPr>
          <w:p>
            <w:r>
              <w:rPr>
                <w:rFonts w:ascii="Calibri" w:cs="Calibri" w:eastAsia="Calibri" w:hAnsi="Calibri"/>
                <w:sz w:val="20"/>
                <w:szCs w:val="20"/>
              </w:rPr>
              <w:t xml:space="preserve">4–6 weeks</w:t>
            </w:r>
          </w:p>
        </w:tc>
        <w:tc>
          <w:tcPr>
            <w:tcW w:type="dxa" w:w="5000"/>
            <w:tcMar>
              <w:top w:type="dxa" w:w="100"/>
              <w:left w:type="dxa" w:w="120"/>
              <w:bottom w:type="dxa" w:w="100"/>
              <w:right w:type="dxa" w:w="120"/>
            </w:tcMar>
          </w:tcPr>
          <w:p>
            <w:r>
              <w:rPr>
                <w:rFonts w:ascii="Calibri" w:cs="Calibri" w:eastAsia="Calibri" w:hAnsi="Calibri"/>
                <w:sz w:val="20"/>
                <w:szCs w:val="20"/>
              </w:rPr>
              <w:t xml:space="preserve">Extend to a single Tier 0 system with close manual oversight, then progressively add remaining Tier 0 CIs</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5 — Full Production &amp; Optimization</w:t>
            </w:r>
          </w:p>
        </w:tc>
        <w:tc>
          <w:tcPr>
            <w:tcW w:type="dxa" w:w="1650"/>
            <w:tcMar>
              <w:top w:type="dxa" w:w="100"/>
              <w:left w:type="dxa" w:w="120"/>
              <w:bottom w:type="dxa" w:w="100"/>
              <w:right w:type="dxa" w:w="120"/>
            </w:tcMar>
          </w:tcPr>
          <w:p>
            <w:r>
              <w:rPr>
                <w:rFonts w:ascii="Calibri" w:cs="Calibri" w:eastAsia="Calibri" w:hAnsi="Calibri"/>
                <w:sz w:val="20"/>
                <w:szCs w:val="20"/>
              </w:rPr>
              <w:t xml:space="preserve">Ongoing</w:t>
            </w:r>
          </w:p>
        </w:tc>
        <w:tc>
          <w:tcPr>
            <w:tcW w:type="dxa" w:w="5000"/>
            <w:tcMar>
              <w:top w:type="dxa" w:w="100"/>
              <w:left w:type="dxa" w:w="120"/>
              <w:bottom w:type="dxa" w:w="100"/>
              <w:right w:type="dxa" w:w="120"/>
            </w:tcMar>
          </w:tcPr>
          <w:p>
            <w:r>
              <w:rPr>
                <w:rFonts w:ascii="Calibri" w:cs="Calibri" w:eastAsia="Calibri" w:hAnsi="Calibri"/>
                <w:sz w:val="20"/>
                <w:szCs w:val="20"/>
              </w:rPr>
              <w:t xml:space="preserve">Expand to full Tier 0 estate, refine SLA dashboards, quarterly review with business owners</w:t>
            </w:r>
          </w:p>
        </w:tc>
      </w:tr>
    </w:tbl>
    <w:p>
      <w:pPr>
        <w:pStyle w:val="Heading1"/>
        <w:spacing w:after="160" w:before="360"/>
      </w:pPr>
      <w:r>
        <w:t xml:space="preserve">11. Best Practices / Operational Checklist</w:t>
      </w:r>
    </w:p>
    <w:p>
      <w:pPr>
        <w:pStyle w:val="ListParagraph"/>
        <w:numPr>
          <w:ilvl w:val="0"/>
          <w:numId w:val="3"/>
        </w:numPr>
        <w:spacing w:after="80"/>
      </w:pPr>
      <w:r>
        <w:rPr>
          <w:rFonts w:ascii="Calibri" w:cs="Calibri" w:eastAsia="Calibri" w:hAnsi="Calibri"/>
          <w:sz w:val="22"/>
          <w:szCs w:val="22"/>
        </w:rPr>
        <w:t xml:space="preserve">Tier 0 classification is confirmed with business owners, not just IT — misclassification is the single biggest risk to this model</w:t>
      </w:r>
    </w:p>
    <w:p>
      <w:pPr>
        <w:pStyle w:val="ListParagraph"/>
        <w:numPr>
          <w:ilvl w:val="0"/>
          <w:numId w:val="3"/>
        </w:numPr>
        <w:spacing w:after="80"/>
      </w:pPr>
      <w:r>
        <w:rPr>
          <w:rFonts w:ascii="Calibri" w:cs="Calibri" w:eastAsia="Calibri" w:hAnsi="Calibri"/>
          <w:sz w:val="22"/>
          <w:szCs w:val="22"/>
        </w:rPr>
        <w:t xml:space="preserve">Non-production validation always runs before any Tier 0 production node is touched, even if it adds a day or two within the 14-day window</w:t>
      </w:r>
    </w:p>
    <w:p>
      <w:pPr>
        <w:pStyle w:val="ListParagraph"/>
        <w:numPr>
          <w:ilvl w:val="0"/>
          <w:numId w:val="3"/>
        </w:numPr>
        <w:spacing w:after="80"/>
      </w:pPr>
      <w:r>
        <w:rPr>
          <w:rFonts w:ascii="Calibri" w:cs="Calibri" w:eastAsia="Calibri" w:hAnsi="Calibri"/>
          <w:sz w:val="22"/>
          <w:szCs w:val="22"/>
        </w:rPr>
        <w:t xml:space="preserve">Node-by-node rollout with a failover health check between nodes is mandatory for every HA/clustered Tier 0 system</w:t>
      </w:r>
    </w:p>
    <w:p>
      <w:pPr>
        <w:pStyle w:val="ListParagraph"/>
        <w:numPr>
          <w:ilvl w:val="0"/>
          <w:numId w:val="3"/>
        </w:numPr>
        <w:spacing w:after="80"/>
      </w:pPr>
      <w:r>
        <w:rPr>
          <w:rFonts w:ascii="Calibri" w:cs="Calibri" w:eastAsia="Calibri" w:hAnsi="Calibri"/>
          <w:sz w:val="22"/>
          <w:szCs w:val="22"/>
        </w:rPr>
        <w:t xml:space="preserve">Rollback script is tested in non-prod before it is ever relied on in production</w:t>
      </w:r>
    </w:p>
    <w:p>
      <w:pPr>
        <w:pStyle w:val="ListParagraph"/>
        <w:numPr>
          <w:ilvl w:val="0"/>
          <w:numId w:val="3"/>
        </w:numPr>
        <w:spacing w:after="80"/>
      </w:pPr>
      <w:r>
        <w:rPr>
          <w:rFonts w:ascii="Calibri" w:cs="Calibri" w:eastAsia="Calibri" w:hAnsi="Calibri"/>
          <w:sz w:val="22"/>
          <w:szCs w:val="22"/>
        </w:rPr>
        <w:t xml:space="preserve">Change freeze calendar is checked automatically before scheduling, not manually remembered</w:t>
      </w:r>
    </w:p>
    <w:p>
      <w:pPr>
        <w:pStyle w:val="ListParagraph"/>
        <w:numPr>
          <w:ilvl w:val="0"/>
          <w:numId w:val="3"/>
        </w:numPr>
        <w:spacing w:after="80"/>
      </w:pPr>
      <w:r>
        <w:rPr>
          <w:rFonts w:ascii="Calibri" w:cs="Calibri" w:eastAsia="Calibri" w:hAnsi="Calibri"/>
          <w:sz w:val="22"/>
          <w:szCs w:val="22"/>
        </w:rPr>
        <w:t xml:space="preserve">ServiceNow Change record updates happen per-stage (event-driven), not just at closure</w:t>
      </w:r>
    </w:p>
    <w:p>
      <w:pPr>
        <w:pStyle w:val="ListParagraph"/>
        <w:numPr>
          <w:ilvl w:val="0"/>
          <w:numId w:val="3"/>
        </w:numPr>
        <w:spacing w:after="80"/>
      </w:pPr>
      <w:r>
        <w:rPr>
          <w:rFonts w:ascii="Calibri" w:cs="Calibri" w:eastAsia="Calibri" w:hAnsi="Calibri"/>
          <w:sz w:val="22"/>
          <w:szCs w:val="22"/>
        </w:rPr>
        <w:t xml:space="preserve">SLA countdown (14-day) is visible on a dashboard with automated escalation, not tracked manually</w:t>
      </w:r>
    </w:p>
    <w:p>
      <w:pPr>
        <w:pStyle w:val="ListParagraph"/>
        <w:numPr>
          <w:ilvl w:val="0"/>
          <w:numId w:val="3"/>
        </w:numPr>
        <w:spacing w:after="80"/>
      </w:pPr>
      <w:r>
        <w:rPr>
          <w:rFonts w:ascii="Calibri" w:cs="Calibri" w:eastAsia="Calibri" w:hAnsi="Calibri"/>
          <w:sz w:val="22"/>
          <w:szCs w:val="22"/>
        </w:rPr>
        <w:t xml:space="preserve">Post-patch validation includes a dependent-application smoke test, not just "patch installed" confirmation</w:t>
      </w:r>
    </w:p>
    <w:p>
      <w:pPr>
        <w:pStyle w:val="ListParagraph"/>
        <w:numPr>
          <w:ilvl w:val="0"/>
          <w:numId w:val="3"/>
        </w:numPr>
        <w:spacing w:after="80"/>
      </w:pPr>
      <w:r>
        <w:rPr>
          <w:rFonts w:ascii="Calibri" w:cs="Calibri" w:eastAsia="Calibri" w:hAnsi="Calibri"/>
          <w:sz w:val="22"/>
          <w:szCs w:val="22"/>
        </w:rPr>
        <w:t xml:space="preserve">Business system owners receive the compliance report for their Tier 0 systems directly, not just IT leadership</w:t>
      </w:r>
    </w:p>
    <w:p>
      <w:pPr>
        <w:pStyle w:val="Heading1"/>
        <w:spacing w:after="160" w:before="360"/>
      </w:pPr>
      <w:r>
        <w:t xml:space="preserve">12. Final Recommendation</w:t>
      </w:r>
    </w:p>
    <w:p>
      <w:pPr>
        <w:spacing w:after="160" w:line="276"/>
      </w:pPr>
      <w:r>
        <w:rPr>
          <w:rFonts w:ascii="Calibri" w:cs="Calibri" w:eastAsia="Calibri" w:hAnsi="Calibri"/>
          <w:sz w:val="22"/>
          <w:szCs w:val="22"/>
        </w:rPr>
        <w:t xml:space="preserve">Adopt Ansible Automation Platform as the orchestration layer, driving native tools (WSUS/SCCM for Windows, Satellite/Foreman for Linux) for patch sourcing. For Tier 0 systems specifically, the differentiator versus a standard server patching program is the mandatory non-production validation gate and the node-by-node HA-aware rollout with failover health checks — the 14-day SLA gives enough time to do this properly, and that time should be spent on risk reduction, not deferred to the last minute.</w:t>
      </w:r>
    </w:p>
    <w:p>
      <w:pPr>
        <w:spacing w:after="160" w:line="276"/>
      </w:pPr>
      <w:r>
        <w:rPr>
          <w:rFonts w:ascii="Calibri" w:cs="Calibri" w:eastAsia="Calibri" w:hAnsi="Calibri"/>
          <w:sz w:val="22"/>
          <w:szCs w:val="22"/>
        </w:rPr>
        <w:t xml:space="preserve">Keep Tier 0 changes inside standard CAB review rather than a fully pre-approved emergency template, reserving the expedited path only for the genuine exception case of an actively-exploited vulnerability affecting a Tier 0 system.</w:t>
      </w:r>
    </w:p>
    <w:p>
      <w:r>
        <w:br w:type="page"/>
      </w:r>
    </w:p>
    <w:p>
      <w:pPr>
        <w:pStyle w:val="Heading1"/>
        <w:spacing w:after="160" w:before="360"/>
      </w:pPr>
      <w:r>
        <w:t xml:space="preserve">13. AI-Enabled Capabilities to Accelerate and De-Risk This Solution</w:t>
      </w:r>
    </w:p>
    <w:p>
      <w:pPr>
        <w:spacing w:after="160" w:line="276"/>
      </w:pPr>
      <w:r>
        <w:rPr>
          <w:rFonts w:ascii="Calibri" w:cs="Calibri" w:eastAsia="Calibri" w:hAnsi="Calibri"/>
          <w:sz w:val="22"/>
          <w:szCs w:val="22"/>
        </w:rPr>
        <w:t xml:space="preserve">Artificial intelligence is not a replacement for the orchestration/ServiceNow architecture above — it is a layer that reduces manual analysis time, improves decision quality, and catches problems earlier. The table below maps specific AI capabilities to the stages of this workflow where they add the most value, followed by a recommended near-term adoption path.</w:t>
      </w:r>
    </w:p>
    <w:p>
      <w:pPr>
        <w:pStyle w:val="Heading2"/>
        <w:spacing w:after="120" w:before="280"/>
      </w:pPr>
      <w:r>
        <w:t xml:space="preserve">13.1 AI Capability Map by Workflow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2500"/>
        <w:gridCol w:w="2600"/>
      </w:tblGrid>
      <w:tr>
        <w:trPr>
          <w:tblHeader/>
        </w:trPr>
        <w:tc>
          <w:tcPr>
            <w:tcW w:type="dxa" w:w="1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Workflow Stage</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AI Capability</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 Tooling</w:t>
            </w:r>
          </w:p>
        </w:tc>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Value for Tier 0</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Advisory triage &amp; classification</w:t>
            </w:r>
          </w:p>
        </w:tc>
        <w:tc>
          <w:tcPr>
            <w:tcW w:type="dxa" w:w="2500"/>
            <w:tcMar>
              <w:top w:type="dxa" w:w="100"/>
              <w:left w:type="dxa" w:w="120"/>
              <w:bottom w:type="dxa" w:w="100"/>
              <w:right w:type="dxa" w:w="120"/>
            </w:tcMar>
          </w:tcPr>
          <w:p>
            <w:r>
              <w:rPr>
                <w:rFonts w:ascii="Calibri" w:cs="Calibri" w:eastAsia="Calibri" w:hAnsi="Calibri"/>
                <w:sz w:val="20"/>
                <w:szCs w:val="20"/>
              </w:rPr>
              <w:t xml:space="preserve">LLM-based CVE/advisory summarization and applicability scoring</w:t>
            </w:r>
          </w:p>
        </w:tc>
        <w:tc>
          <w:tcPr>
            <w:tcW w:type="dxa" w:w="2500"/>
            <w:tcMar>
              <w:top w:type="dxa" w:w="100"/>
              <w:left w:type="dxa" w:w="120"/>
              <w:bottom w:type="dxa" w:w="100"/>
              <w:right w:type="dxa" w:w="120"/>
            </w:tcMar>
          </w:tcPr>
          <w:p>
            <w:r>
              <w:rPr>
                <w:rFonts w:ascii="Calibri" w:cs="Calibri" w:eastAsia="Calibri" w:hAnsi="Calibri"/>
                <w:sz w:val="20"/>
                <w:szCs w:val="20"/>
              </w:rPr>
              <w:t xml:space="preserve">Claude/GPT via API, ServiceNow Now Assist, or a custom LLM pipeline reading vendor feeds</w:t>
            </w:r>
          </w:p>
        </w:tc>
        <w:tc>
          <w:tcPr>
            <w:tcW w:type="dxa" w:w="2600"/>
            <w:tcMar>
              <w:top w:type="dxa" w:w="100"/>
              <w:left w:type="dxa" w:w="120"/>
              <w:bottom w:type="dxa" w:w="100"/>
              <w:right w:type="dxa" w:w="120"/>
            </w:tcMar>
          </w:tcPr>
          <w:p>
            <w:r>
              <w:rPr>
                <w:rFonts w:ascii="Calibri" w:cs="Calibri" w:eastAsia="Calibri" w:hAnsi="Calibri"/>
                <w:sz w:val="20"/>
                <w:szCs w:val="20"/>
              </w:rPr>
              <w:t xml:space="preserve">Cuts the manual analyst time to determine whether a new advisory affects a specific Tier 0 CI — critical for not wasting days of the 14-day window on triage</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Change request drafting</w:t>
            </w:r>
          </w:p>
        </w:tc>
        <w:tc>
          <w:tcPr>
            <w:tcW w:type="dxa" w:w="2500"/>
            <w:tcMar>
              <w:top w:type="dxa" w:w="100"/>
              <w:left w:type="dxa" w:w="120"/>
              <w:bottom w:type="dxa" w:w="100"/>
              <w:right w:type="dxa" w:w="120"/>
            </w:tcMar>
          </w:tcPr>
          <w:p>
            <w:r>
              <w:rPr>
                <w:rFonts w:ascii="Calibri" w:cs="Calibri" w:eastAsia="Calibri" w:hAnsi="Calibri"/>
                <w:sz w:val="20"/>
                <w:szCs w:val="20"/>
              </w:rPr>
              <w:t xml:space="preserve">GenAI auto-drafts the Change Request description, risk statement, and rollback plan from structured patch/CI data</w:t>
            </w:r>
          </w:p>
        </w:tc>
        <w:tc>
          <w:tcPr>
            <w:tcW w:type="dxa" w:w="2500"/>
            <w:tcMar>
              <w:top w:type="dxa" w:w="100"/>
              <w:left w:type="dxa" w:w="120"/>
              <w:bottom w:type="dxa" w:w="100"/>
              <w:right w:type="dxa" w:w="120"/>
            </w:tcMar>
          </w:tcPr>
          <w:p>
            <w:r>
              <w:rPr>
                <w:rFonts w:ascii="Calibri" w:cs="Calibri" w:eastAsia="Calibri" w:hAnsi="Calibri"/>
                <w:sz w:val="20"/>
                <w:szCs w:val="20"/>
              </w:rPr>
              <w:t xml:space="preserve">ServiceNow Now Assist for Change Management, or Claude API called from the orchestration platform's webhook</w:t>
            </w:r>
          </w:p>
        </w:tc>
        <w:tc>
          <w:tcPr>
            <w:tcW w:type="dxa" w:w="2600"/>
            <w:tcMar>
              <w:top w:type="dxa" w:w="100"/>
              <w:left w:type="dxa" w:w="120"/>
              <w:bottom w:type="dxa" w:w="100"/>
              <w:right w:type="dxa" w:w="120"/>
            </w:tcMar>
          </w:tcPr>
          <w:p>
            <w:r>
              <w:rPr>
                <w:rFonts w:ascii="Calibri" w:cs="Calibri" w:eastAsia="Calibri" w:hAnsi="Calibri"/>
                <w:sz w:val="20"/>
                <w:szCs w:val="20"/>
              </w:rPr>
              <w:t xml:space="preserve">Reduces CAB cycle time — a well-written, consistent Change Request is reviewed faster than a manually typed one</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Risk scoring / rollout sequencing</w:t>
            </w:r>
          </w:p>
        </w:tc>
        <w:tc>
          <w:tcPr>
            <w:tcW w:type="dxa" w:w="2500"/>
            <w:tcMar>
              <w:top w:type="dxa" w:w="100"/>
              <w:left w:type="dxa" w:w="120"/>
              <w:bottom w:type="dxa" w:w="100"/>
              <w:right w:type="dxa" w:w="120"/>
            </w:tcMar>
          </w:tcPr>
          <w:p>
            <w:r>
              <w:rPr>
                <w:rFonts w:ascii="Calibri" w:cs="Calibri" w:eastAsia="Calibri" w:hAnsi="Calibri"/>
                <w:sz w:val="20"/>
                <w:szCs w:val="20"/>
              </w:rPr>
              <w:t xml:space="preserve">ML model trained on historical change/incident data predicts likelihood of a patch causing an incident on a given Tier 0 CI type</w:t>
            </w:r>
          </w:p>
        </w:tc>
        <w:tc>
          <w:tcPr>
            <w:tcW w:type="dxa" w:w="2500"/>
            <w:tcMar>
              <w:top w:type="dxa" w:w="100"/>
              <w:left w:type="dxa" w:w="120"/>
              <w:bottom w:type="dxa" w:w="100"/>
              <w:right w:type="dxa" w:w="120"/>
            </w:tcMar>
          </w:tcPr>
          <w:p>
            <w:r>
              <w:rPr>
                <w:rFonts w:ascii="Calibri" w:cs="Calibri" w:eastAsia="Calibri" w:hAnsi="Calibri"/>
                <w:sz w:val="20"/>
                <w:szCs w:val="20"/>
              </w:rPr>
              <w:t xml:space="preserve">ServiceNow Predictive Intelligence, or a custom model using past CMDB + incident data</w:t>
            </w:r>
          </w:p>
        </w:tc>
        <w:tc>
          <w:tcPr>
            <w:tcW w:type="dxa" w:w="2600"/>
            <w:tcMar>
              <w:top w:type="dxa" w:w="100"/>
              <w:left w:type="dxa" w:w="120"/>
              <w:bottom w:type="dxa" w:w="100"/>
              <w:right w:type="dxa" w:w="120"/>
            </w:tcMar>
          </w:tcPr>
          <w:p>
            <w:r>
              <w:rPr>
                <w:rFonts w:ascii="Calibri" w:cs="Calibri" w:eastAsia="Calibri" w:hAnsi="Calibri"/>
                <w:sz w:val="20"/>
                <w:szCs w:val="20"/>
              </w:rPr>
              <w:t xml:space="preserve">Informs whether extra caution (longer soak time in non-prod, smaller batch size) is warranted for a specific patch/CI combination</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Post-patch validation</w:t>
            </w:r>
          </w:p>
        </w:tc>
        <w:tc>
          <w:tcPr>
            <w:tcW w:type="dxa" w:w="2500"/>
            <w:tcMar>
              <w:top w:type="dxa" w:w="100"/>
              <w:left w:type="dxa" w:w="120"/>
              <w:bottom w:type="dxa" w:w="100"/>
              <w:right w:type="dxa" w:w="120"/>
            </w:tcMar>
          </w:tcPr>
          <w:p>
            <w:r>
              <w:rPr>
                <w:rFonts w:ascii="Calibri" w:cs="Calibri" w:eastAsia="Calibri" w:hAnsi="Calibri"/>
                <w:sz w:val="20"/>
                <w:szCs w:val="20"/>
              </w:rPr>
              <w:t xml:space="preserve">AIOps anomaly detection correlating logs/metrics/traces immediately after patching, beyond simple pass/fail health checks</w:t>
            </w:r>
          </w:p>
        </w:tc>
        <w:tc>
          <w:tcPr>
            <w:tcW w:type="dxa" w:w="2500"/>
            <w:tcMar>
              <w:top w:type="dxa" w:w="100"/>
              <w:left w:type="dxa" w:w="120"/>
              <w:bottom w:type="dxa" w:w="100"/>
              <w:right w:type="dxa" w:w="120"/>
            </w:tcMar>
          </w:tcPr>
          <w:p>
            <w:r>
              <w:rPr>
                <w:rFonts w:ascii="Calibri" w:cs="Calibri" w:eastAsia="Calibri" w:hAnsi="Calibri"/>
                <w:sz w:val="20"/>
                <w:szCs w:val="20"/>
              </w:rPr>
              <w:t xml:space="preserve">ServiceNow AIOps, Dynatrace Davis AI, Moogsoft, Datadog Watchdog</w:t>
            </w:r>
          </w:p>
        </w:tc>
        <w:tc>
          <w:tcPr>
            <w:tcW w:type="dxa" w:w="2600"/>
            <w:tcMar>
              <w:top w:type="dxa" w:w="100"/>
              <w:left w:type="dxa" w:w="120"/>
              <w:bottom w:type="dxa" w:w="100"/>
              <w:right w:type="dxa" w:w="120"/>
            </w:tcMar>
          </w:tcPr>
          <w:p>
            <w:r>
              <w:rPr>
                <w:rFonts w:ascii="Calibri" w:cs="Calibri" w:eastAsia="Calibri" w:hAnsi="Calibri"/>
                <w:sz w:val="20"/>
                <w:szCs w:val="20"/>
              </w:rPr>
              <w:t xml:space="preserve">Catches subtle degradation (latency creep, error-rate increase) that a binary health check would miss on a business-critical system</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Approval &amp; status queries</w:t>
            </w:r>
          </w:p>
        </w:tc>
        <w:tc>
          <w:tcPr>
            <w:tcW w:type="dxa" w:w="2500"/>
            <w:tcMar>
              <w:top w:type="dxa" w:w="100"/>
              <w:left w:type="dxa" w:w="120"/>
              <w:bottom w:type="dxa" w:w="100"/>
              <w:right w:type="dxa" w:w="120"/>
            </w:tcMar>
          </w:tcPr>
          <w:p>
            <w:r>
              <w:rPr>
                <w:rFonts w:ascii="Calibri" w:cs="Calibri" w:eastAsia="Calibri" w:hAnsi="Calibri"/>
                <w:sz w:val="20"/>
                <w:szCs w:val="20"/>
              </w:rPr>
              <w:t xml:space="preserve">Conversational virtual agent for CAB members and business owners to check status/approve via chat</w:t>
            </w:r>
          </w:p>
        </w:tc>
        <w:tc>
          <w:tcPr>
            <w:tcW w:type="dxa" w:w="2500"/>
            <w:tcMar>
              <w:top w:type="dxa" w:w="100"/>
              <w:left w:type="dxa" w:w="120"/>
              <w:bottom w:type="dxa" w:w="100"/>
              <w:right w:type="dxa" w:w="120"/>
            </w:tcMar>
          </w:tcPr>
          <w:p>
            <w:r>
              <w:rPr>
                <w:rFonts w:ascii="Calibri" w:cs="Calibri" w:eastAsia="Calibri" w:hAnsi="Calibri"/>
                <w:sz w:val="20"/>
                <w:szCs w:val="20"/>
              </w:rPr>
              <w:t xml:space="preserve">ServiceNow Virtual Agent + Now Assist, integrated with Teams/Slack</w:t>
            </w:r>
          </w:p>
        </w:tc>
        <w:tc>
          <w:tcPr>
            <w:tcW w:type="dxa" w:w="2600"/>
            <w:tcMar>
              <w:top w:type="dxa" w:w="100"/>
              <w:left w:type="dxa" w:w="120"/>
              <w:bottom w:type="dxa" w:w="100"/>
              <w:right w:type="dxa" w:w="120"/>
            </w:tcMar>
          </w:tcPr>
          <w:p>
            <w:r>
              <w:rPr>
                <w:rFonts w:ascii="Calibri" w:cs="Calibri" w:eastAsia="Calibri" w:hAnsi="Calibri"/>
                <w:sz w:val="20"/>
                <w:szCs w:val="20"/>
              </w:rPr>
              <w:t xml:space="preserve">Speeds up CAB approval turnaround, especially useful given Tier 0 often needs business sign-off, not just IT</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Reporting &amp; executive summary</w:t>
            </w:r>
          </w:p>
        </w:tc>
        <w:tc>
          <w:tcPr>
            <w:tcW w:type="dxa" w:w="2500"/>
            <w:tcMar>
              <w:top w:type="dxa" w:w="100"/>
              <w:left w:type="dxa" w:w="120"/>
              <w:bottom w:type="dxa" w:w="100"/>
              <w:right w:type="dxa" w:w="120"/>
            </w:tcMar>
          </w:tcPr>
          <w:p>
            <w:r>
              <w:rPr>
                <w:rFonts w:ascii="Calibri" w:cs="Calibri" w:eastAsia="Calibri" w:hAnsi="Calibri"/>
                <w:sz w:val="20"/>
                <w:szCs w:val="20"/>
              </w:rPr>
              <w:t xml:space="preserve">LLM converts structured compliance data into a plain-language narrative report for leadership</w:t>
            </w:r>
          </w:p>
        </w:tc>
        <w:tc>
          <w:tcPr>
            <w:tcW w:type="dxa" w:w="2500"/>
            <w:tcMar>
              <w:top w:type="dxa" w:w="100"/>
              <w:left w:type="dxa" w:w="120"/>
              <w:bottom w:type="dxa" w:w="100"/>
              <w:right w:type="dxa" w:w="120"/>
            </w:tcMar>
          </w:tcPr>
          <w:p>
            <w:r>
              <w:rPr>
                <w:rFonts w:ascii="Calibri" w:cs="Calibri" w:eastAsia="Calibri" w:hAnsi="Calibri"/>
                <w:sz w:val="20"/>
                <w:szCs w:val="20"/>
              </w:rPr>
              <w:t xml:space="preserve">Claude/GPT API called from the report generator, or ServiceNow Now Assist for reporting</w:t>
            </w:r>
          </w:p>
        </w:tc>
        <w:tc>
          <w:tcPr>
            <w:tcW w:type="dxa" w:w="2600"/>
            <w:tcMar>
              <w:top w:type="dxa" w:w="100"/>
              <w:left w:type="dxa" w:w="120"/>
              <w:bottom w:type="dxa" w:w="100"/>
              <w:right w:type="dxa" w:w="120"/>
            </w:tcMar>
          </w:tcPr>
          <w:p>
            <w:r>
              <w:rPr>
                <w:rFonts w:ascii="Calibri" w:cs="Calibri" w:eastAsia="Calibri" w:hAnsi="Calibri"/>
                <w:sz w:val="20"/>
                <w:szCs w:val="20"/>
              </w:rPr>
              <w:t xml:space="preserve">Saves manual report-writing time each cycle and produces a consistent, readable summary for business stakeholders</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Knowledge capture</w:t>
            </w:r>
          </w:p>
        </w:tc>
        <w:tc>
          <w:tcPr>
            <w:tcW w:type="dxa" w:w="2500"/>
            <w:tcMar>
              <w:top w:type="dxa" w:w="100"/>
              <w:left w:type="dxa" w:w="120"/>
              <w:bottom w:type="dxa" w:w="100"/>
              <w:right w:type="dxa" w:w="120"/>
            </w:tcMar>
          </w:tcPr>
          <w:p>
            <w:r>
              <w:rPr>
                <w:rFonts w:ascii="Calibri" w:cs="Calibri" w:eastAsia="Calibri" w:hAnsi="Calibri"/>
                <w:sz w:val="20"/>
                <w:szCs w:val="20"/>
              </w:rPr>
              <w:t xml:space="preserve">LLM-assisted runbook/knowledge-base generation from incident and rollback logs</w:t>
            </w:r>
          </w:p>
        </w:tc>
        <w:tc>
          <w:tcPr>
            <w:tcW w:type="dxa" w:w="2500"/>
            <w:tcMar>
              <w:top w:type="dxa" w:w="100"/>
              <w:left w:type="dxa" w:w="120"/>
              <w:bottom w:type="dxa" w:w="100"/>
              <w:right w:type="dxa" w:w="120"/>
            </w:tcMar>
          </w:tcPr>
          <w:p>
            <w:r>
              <w:rPr>
                <w:rFonts w:ascii="Calibri" w:cs="Calibri" w:eastAsia="Calibri" w:hAnsi="Calibri"/>
                <w:sz w:val="20"/>
                <w:szCs w:val="20"/>
              </w:rPr>
              <w:t xml:space="preserve">Now Assist for ITSM Knowledge Management, or a custom Claude-based summarizer</w:t>
            </w:r>
          </w:p>
        </w:tc>
        <w:tc>
          <w:tcPr>
            <w:tcW w:type="dxa" w:w="2600"/>
            <w:tcMar>
              <w:top w:type="dxa" w:w="100"/>
              <w:left w:type="dxa" w:w="120"/>
              <w:bottom w:type="dxa" w:w="100"/>
              <w:right w:type="dxa" w:w="120"/>
            </w:tcMar>
          </w:tcPr>
          <w:p>
            <w:r>
              <w:rPr>
                <w:rFonts w:ascii="Calibri" w:cs="Calibri" w:eastAsia="Calibri" w:hAnsi="Calibri"/>
                <w:sz w:val="20"/>
                <w:szCs w:val="20"/>
              </w:rPr>
              <w:t xml:space="preserve">Builds an institutional knowledge base of what went wrong and how it was fixed, reducing repeat incidents on Tier 0 systems</w:t>
            </w:r>
          </w:p>
        </w:tc>
      </w:tr>
    </w:tbl>
    <w:p>
      <w:pPr>
        <w:pStyle w:val="Heading2"/>
        <w:spacing w:after="120" w:before="280"/>
      </w:pPr>
      <w:r>
        <w:t xml:space="preserve">13.2 Recommended Adoption Path</w:t>
      </w:r>
    </w:p>
    <w:p>
      <w:pPr>
        <w:spacing w:after="160" w:line="276"/>
      </w:pPr>
      <w:r>
        <w:rPr>
          <w:rFonts w:ascii="Calibri" w:cs="Calibri" w:eastAsia="Calibri" w:hAnsi="Calibri"/>
          <w:sz w:val="22"/>
          <w:szCs w:val="22"/>
        </w:rPr>
        <w:t xml:space="preserve">Not all of the above need to be built at once. A phased approach keeps risk low while proving value quickly:</w:t>
      </w:r>
    </w:p>
    <w:p>
      <w:pPr>
        <w:pStyle w:val="Heading3"/>
        <w:spacing w:after="100" w:before="200"/>
      </w:pPr>
      <w:r>
        <w:t xml:space="preserve">Near-term (low effort, high value)</w:t>
      </w:r>
    </w:p>
    <w:p>
      <w:pPr>
        <w:pStyle w:val="ListParagraph"/>
        <w:numPr>
          <w:ilvl w:val="0"/>
          <w:numId w:val="2"/>
        </w:numPr>
        <w:spacing w:after="80"/>
      </w:pPr>
      <w:r>
        <w:rPr>
          <w:rFonts w:ascii="Calibri" w:cs="Calibri" w:eastAsia="Calibri" w:hAnsi="Calibri"/>
          <w:sz w:val="22"/>
          <w:szCs w:val="22"/>
        </w:rPr>
        <w:t xml:space="preserve">GenAI-drafted Change Requests: wire the orchestration platform's Change-creation webhook to call an LLM (Claude or GPT via API) that turns structured patch/CI data into a well-formed Change description, risk statement, and rollback plan. This is a small integration with an immediate CAB-cycle-time benefit.</w:t>
      </w:r>
    </w:p>
    <w:p>
      <w:pPr>
        <w:pStyle w:val="ListParagraph"/>
        <w:numPr>
          <w:ilvl w:val="0"/>
          <w:numId w:val="2"/>
        </w:numPr>
        <w:spacing w:after="80"/>
      </w:pPr>
      <w:r>
        <w:rPr>
          <w:rFonts w:ascii="Calibri" w:cs="Calibri" w:eastAsia="Calibri" w:hAnsi="Calibri"/>
          <w:sz w:val="22"/>
          <w:szCs w:val="22"/>
        </w:rPr>
        <w:t xml:space="preserve">LLM-based advisory triage: a scheduled job that reads new vendor advisories and CVE feeds, summarizes them, and flags which are applicable to the Tier 0 CI list — cutting the time analysts spend manually reading advisories.</w:t>
      </w:r>
    </w:p>
    <w:p>
      <w:pPr>
        <w:pStyle w:val="ListParagraph"/>
        <w:numPr>
          <w:ilvl w:val="0"/>
          <w:numId w:val="2"/>
        </w:numPr>
        <w:spacing w:after="80"/>
      </w:pPr>
      <w:r>
        <w:rPr>
          <w:rFonts w:ascii="Calibri" w:cs="Calibri" w:eastAsia="Calibri" w:hAnsi="Calibri"/>
          <w:sz w:val="22"/>
          <w:szCs w:val="22"/>
        </w:rPr>
        <w:t xml:space="preserve">Auto-generated compliance report narrative: have the report generator call an LLM to turn the raw compliance table into a one-page executive summary attached to the Change Request and emailed to business owners.</w:t>
      </w:r>
    </w:p>
    <w:p>
      <w:pPr>
        <w:pStyle w:val="Heading3"/>
        <w:spacing w:after="100" w:before="200"/>
      </w:pPr>
      <w:r>
        <w:t xml:space="preserve">Medium-term (moderate effort, compounding value)</w:t>
      </w:r>
    </w:p>
    <w:p>
      <w:pPr>
        <w:pStyle w:val="ListParagraph"/>
        <w:numPr>
          <w:ilvl w:val="0"/>
          <w:numId w:val="2"/>
        </w:numPr>
        <w:spacing w:after="80"/>
      </w:pPr>
      <w:r>
        <w:rPr>
          <w:rFonts w:ascii="Calibri" w:cs="Calibri" w:eastAsia="Calibri" w:hAnsi="Calibri"/>
          <w:sz w:val="22"/>
          <w:szCs w:val="22"/>
        </w:rPr>
        <w:t xml:space="preserve">ServiceNow Now Assist / Predictive Intelligence: if already licensed or in the ServiceNow roadmap, this is the most natively integrated path for AI-assisted change risk scoring and virtual-agent approvals, since it sits inside the system of record rather than needing a separate integration to maintain.</w:t>
      </w:r>
    </w:p>
    <w:p>
      <w:pPr>
        <w:pStyle w:val="ListParagraph"/>
        <w:numPr>
          <w:ilvl w:val="0"/>
          <w:numId w:val="2"/>
        </w:numPr>
        <w:spacing w:after="80"/>
      </w:pPr>
      <w:r>
        <w:rPr>
          <w:rFonts w:ascii="Calibri" w:cs="Calibri" w:eastAsia="Calibri" w:hAnsi="Calibri"/>
          <w:sz w:val="22"/>
          <w:szCs w:val="22"/>
        </w:rPr>
        <w:t xml:space="preserve">AIOps-based post-patch validation: layer an AIOps tool (ServiceNow AIOps, Dynatrace, Datadog, or similar — pick based on what's already monitoring the Tier 0 estate) to watch for anomalies in the hours after each patch, not just at the moment of the health check.</w:t>
      </w:r>
    </w:p>
    <w:p>
      <w:pPr>
        <w:pStyle w:val="Heading3"/>
        <w:spacing w:after="100" w:before="200"/>
      </w:pPr>
      <w:r>
        <w:t xml:space="preserve">Longer-term (higher effort, requires historical data)</w:t>
      </w:r>
    </w:p>
    <w:p>
      <w:pPr>
        <w:pStyle w:val="ListParagraph"/>
        <w:numPr>
          <w:ilvl w:val="0"/>
          <w:numId w:val="2"/>
        </w:numPr>
        <w:spacing w:after="80"/>
      </w:pPr>
      <w:r>
        <w:rPr>
          <w:rFonts w:ascii="Calibri" w:cs="Calibri" w:eastAsia="Calibri" w:hAnsi="Calibri"/>
          <w:sz w:val="22"/>
          <w:szCs w:val="22"/>
        </w:rPr>
        <w:t xml:space="preserve">Predictive risk-scoring model: a custom ML model trained on your own historical change/incident data to predict patch-outage likelihood per CI type. This needs at least 12-18 months of clean historical change and incident data to be meaningfully accurate — worth starting the data collection now even if the model comes later.</w:t>
      </w:r>
    </w:p>
    <w:p>
      <w:pPr>
        <w:pStyle w:val="ListParagraph"/>
        <w:numPr>
          <w:ilvl w:val="0"/>
          <w:numId w:val="2"/>
        </w:numPr>
        <w:spacing w:after="80"/>
      </w:pPr>
      <w:r>
        <w:rPr>
          <w:rFonts w:ascii="Calibri" w:cs="Calibri" w:eastAsia="Calibri" w:hAnsi="Calibri"/>
          <w:sz w:val="22"/>
          <w:szCs w:val="22"/>
        </w:rPr>
        <w:t xml:space="preserve">Fully autonomous low-risk patch approval: once the risk-scoring model is proven reliable, routine/low-risk patches on non-Tier-0 systems could be auto-approved end-to-end by AI with human oversight only on exceptions — deliberately keep Tier 0 systems on human-in-the-loop CAB approval even after this capability matures, given the blast radius involved.</w:t>
      </w:r>
    </w:p>
    <w:p>
      <w:pPr>
        <w:pStyle w:val="Heading2"/>
        <w:spacing w:after="120" w:before="280"/>
      </w:pPr>
      <w:r>
        <w:t xml:space="preserve">13.3 Important Guardrails for AI in This Workflow</w:t>
      </w:r>
    </w:p>
    <w:p>
      <w:pPr>
        <w:pStyle w:val="ListParagraph"/>
        <w:numPr>
          <w:ilvl w:val="0"/>
          <w:numId w:val="2"/>
        </w:numPr>
        <w:spacing w:after="80"/>
      </w:pPr>
      <w:r>
        <w:rPr>
          <w:rFonts w:ascii="Calibri" w:cs="Calibri" w:eastAsia="Calibri" w:hAnsi="Calibri"/>
          <w:sz w:val="22"/>
          <w:szCs w:val="22"/>
        </w:rPr>
        <w:t xml:space="preserve">Human-in-the-loop for Tier 0 approval: AI should draft, summarize, and recommend — it should not be the final approver of a Change affecting a Tier 0 system. Keep a human CAB decision as the gate.</w:t>
      </w:r>
    </w:p>
    <w:p>
      <w:pPr>
        <w:pStyle w:val="ListParagraph"/>
        <w:numPr>
          <w:ilvl w:val="0"/>
          <w:numId w:val="2"/>
        </w:numPr>
        <w:spacing w:after="80"/>
      </w:pPr>
      <w:r>
        <w:rPr>
          <w:rFonts w:ascii="Calibri" w:cs="Calibri" w:eastAsia="Calibri" w:hAnsi="Calibri"/>
          <w:sz w:val="22"/>
          <w:szCs w:val="22"/>
        </w:rPr>
        <w:t xml:space="preserve">No AI-driven direct execution: any AI component should feed the ServiceNow Change record or the orchestration platform's decision inputs; it should never have direct credentials to execute a patch deployment itself.</w:t>
      </w:r>
    </w:p>
    <w:p>
      <w:pPr>
        <w:pStyle w:val="ListParagraph"/>
        <w:numPr>
          <w:ilvl w:val="0"/>
          <w:numId w:val="2"/>
        </w:numPr>
        <w:spacing w:after="80"/>
      </w:pPr>
      <w:r>
        <w:rPr>
          <w:rFonts w:ascii="Calibri" w:cs="Calibri" w:eastAsia="Calibri" w:hAnsi="Calibri"/>
          <w:sz w:val="22"/>
          <w:szCs w:val="22"/>
        </w:rPr>
        <w:t xml:space="preserve">Model output logged for audit: every AI-generated risk score, drafted Change description, or anomaly alert should be stored and attributed, the same way you'd log a human analyst's assessment, so it stands up to audit review.</w:t>
      </w:r>
    </w:p>
    <w:p>
      <w:pPr>
        <w:pStyle w:val="ListParagraph"/>
        <w:numPr>
          <w:ilvl w:val="0"/>
          <w:numId w:val="2"/>
        </w:numPr>
        <w:spacing w:after="80"/>
      </w:pPr>
      <w:r>
        <w:rPr>
          <w:rFonts w:ascii="Calibri" w:cs="Calibri" w:eastAsia="Calibri" w:hAnsi="Calibri"/>
          <w:sz w:val="22"/>
          <w:szCs w:val="22"/>
        </w:rPr>
        <w:t xml:space="preserve">Start with augmentation, not replacement: the near-term items in Section 13.2 all reduce manual effort without removing a human decision point — that's the right posture for Tier 0 given the low risk tolerance.</w:t>
      </w:r>
    </w:p>
    <w:p>
      <w:pPr>
        <w:pStyle w:val="Heading1"/>
        <w:spacing w:after="160" w:before="360"/>
      </w:pPr>
      <w:r>
        <w:t xml:space="preserve">14. Final Recommendation (Including AI)</w:t>
      </w:r>
    </w:p>
    <w:p>
      <w:pPr>
        <w:spacing w:after="160" w:line="276"/>
      </w:pPr>
      <w:r>
        <w:rPr>
          <w:rFonts w:ascii="Calibri" w:cs="Calibri" w:eastAsia="Calibri" w:hAnsi="Calibri"/>
          <w:sz w:val="22"/>
          <w:szCs w:val="22"/>
        </w:rPr>
        <w:t xml:space="preserve">Build the core orchestration/ServiceNow architecture first (Sections 1-12) — that is the foundation and delivers the 14-day SLA on its own without any AI dependency. Layer in the near-term AI capabilities (GenAI Change drafting, LLM advisory triage, auto-generated report narratives) during Phase 2-3 of the roadmap, since they are low-effort additions to integrations you are already building. Treat ServiceNow Now Assist/Predictive Intelligence and AIOps anomaly detection as medium-term enhancements once the core workflow is stable in production. Keep a human CAB decision as the mandatory approval gate for all Tier 0 changes regardless of how mature the AI layer becomes — for these systems, AI's role is to make the human decision faster and better-informed, not to remove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Automated Patch Management — Tier 0 Servers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2026-07-27T13:01:32.812Z</dcterms:created>
  <dcterms:modified xsi:type="dcterms:W3CDTF">2026-07-27T13:01:32.827Z</dcterms:modified>
</cp:coreProperties>
</file>

<file path=docProps/custom.xml><?xml version="1.0" encoding="utf-8"?>
<Properties xmlns="http://schemas.openxmlformats.org/officeDocument/2006/custom-properties" xmlns:vt="http://schemas.openxmlformats.org/officeDocument/2006/docPropsVTypes"/>
</file>