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rFonts w:ascii="Calibri" w:cs="Calibri" w:eastAsia="Calibri" w:hAnsi="Calibri"/>
          <w:b/>
          <w:bCs/>
          <w:color w:val="1B2A4A"/>
          <w:sz w:val="52"/>
          <w:szCs w:val="52"/>
        </w:rPr>
        <w:t xml:space="preserve">LogicMonitor Edwin AI</w:t>
      </w:r>
    </w:p>
    <w:p>
      <w:pPr>
        <w:spacing w:after="60" w:before="0"/>
      </w:pPr>
      <w:r>
        <w:rPr>
          <w:rFonts w:ascii="Calibri" w:cs="Calibri" w:eastAsia="Calibri" w:hAnsi="Calibri"/>
          <w:b/>
          <w:bCs/>
          <w:color w:val="007B83"/>
          <w:sz w:val="40"/>
          <w:szCs w:val="40"/>
        </w:rPr>
        <w:t xml:space="preserve">Proof of Value (POV) Plan</w:t>
      </w:r>
    </w:p>
    <w:p>
      <w:pPr>
        <w:spacing w:after="60" w:before="0"/>
      </w:pPr>
      <w:r>
        <w:rPr>
          <w:rFonts w:ascii="Calibri" w:cs="Calibri" w:eastAsia="Calibri" w:hAnsi="Calibri"/>
          <w:color w:val="6B7F8E"/>
          <w:sz w:val="26"/>
          <w:szCs w:val="26"/>
        </w:rPr>
        <w:t xml:space="preserve">AIOps &amp; Intelligent Observability Evaluation</w:t>
      </w:r>
    </w:p>
    <w:p>
      <w:pPr>
        <w:spacing w:after="200" w:before="0"/>
      </w:pPr>
      <w:r>
        <w:rPr>
          <w:rFonts w:ascii="Calibri" w:cs="Calibri" w:eastAsia="Calibri" w:hAnsi="Calibri"/>
          <w:color w:val="6B7F8E"/>
          <w:sz w:val="20"/>
          <w:szCs w:val="20"/>
        </w:rPr>
        <w:t xml:space="preserve">POV Duration: 2 Weeks  |  Version: 1.0  |  April 2026</w:t>
      </w:r>
    </w:p>
    <w:p>
      <w:pPr>
        <w:pBdr>
          <w:bottom w:val="single" w:color="007B83" w:sz="4" w:space="1"/>
        </w:pBdr>
        <w:spacing w:after="120" w:before="120"/>
      </w:pPr>
    </w:p>
    <w:p>
      <w:pPr>
        <w:pStyle w:val="Heading1"/>
        <w:spacing w:after="120" w:before="320"/>
      </w:pPr>
      <w:r>
        <w:rPr>
          <w:rFonts w:ascii="Calibri" w:cs="Calibri" w:eastAsia="Calibri" w:hAnsi="Calibri"/>
          <w:b/>
          <w:bCs/>
          <w:color w:val="1B2A4A"/>
          <w:sz w:val="32"/>
          <w:szCs w:val="32"/>
        </w:rPr>
        <w:t xml:space="preserve">1. Executive Summary</w:t>
      </w:r>
    </w:p>
    <w:p>
      <w:pPr>
        <w:spacing w:after="60" w:before="60"/>
      </w:pPr>
      <w:r>
        <w:rPr>
          <w:rFonts w:ascii="Calibri" w:cs="Calibri" w:eastAsia="Calibri" w:hAnsi="Calibri"/>
          <w:sz w:val="22"/>
          <w:szCs w:val="22"/>
        </w:rPr>
        <w:t xml:space="preserve">This Proof of Value (POV) plan defines the structured approach for evaluating LogicMonitor's Edwin AI within a complex hybrid IT environment. The evaluation is designed to demonstrate measurable improvements across three critical dimensions: alert noise reduction, MTTR acceleration, and operational efficiency through agentic AI.</w:t>
      </w:r>
    </w:p>
    <w:p>
      <w:pPr>
        <w:spacing w:after="80" w:before="80"/>
      </w:pPr>
    </w:p>
    <w:p>
      <w:pPr>
        <w:spacing w:after="60" w:before="60"/>
      </w:pPr>
      <w:r>
        <w:rPr>
          <w:rFonts w:ascii="Calibri" w:cs="Calibri" w:eastAsia="Calibri" w:hAnsi="Calibri"/>
          <w:sz w:val="22"/>
          <w:szCs w:val="22"/>
        </w:rPr>
        <w:t xml:space="preserve">Edwin AI sits as the intelligence layer between LogicMonitor's monitoring telemetry and downstream ITSM tooling (ServiceNow), applying cross-domain event correlation, ML-driven root cause analysis, and agentic incident resolution to transform reactive operations into proactive, self-healing infrastructure management.</w:t>
      </w:r>
    </w:p>
    <w:p>
      <w:pPr>
        <w:spacing w:after="80" w:before="80"/>
      </w:pPr>
    </w:p>
    <w:p>
      <w:pPr>
        <w:pStyle w:val="Heading2"/>
        <w:spacing w:after="80" w:before="240"/>
      </w:pPr>
      <w:r>
        <w:rPr>
          <w:rFonts w:ascii="Calibri" w:cs="Calibri" w:eastAsia="Calibri" w:hAnsi="Calibri"/>
          <w:b/>
          <w:bCs/>
          <w:color w:val="007B83"/>
          <w:sz w:val="26"/>
          <w:szCs w:val="26"/>
        </w:rPr>
        <w:t xml:space="preserve">POV Objectives</w:t>
      </w:r>
    </w:p>
    <w:p>
      <w:pPr>
        <w:pStyle w:val="ListParagraph"/>
        <w:numPr>
          <w:ilvl w:val="0"/>
          <w:numId w:val="2"/>
        </w:numPr>
        <w:spacing w:after="40" w:before="40"/>
      </w:pPr>
      <w:r>
        <w:rPr>
          <w:rFonts w:ascii="Calibri" w:cs="Calibri" w:eastAsia="Calibri" w:hAnsi="Calibri"/>
          <w:b w:val="false"/>
          <w:bCs w:val="false"/>
          <w:sz w:val="22"/>
          <w:szCs w:val="22"/>
        </w:rPr>
        <w:t xml:space="preserve">Validate Edwin AI's ability to reduce actionable alert volume by 80–95% through correlated event intelligence</w:t>
      </w:r>
    </w:p>
    <w:p>
      <w:pPr>
        <w:pStyle w:val="ListParagraph"/>
        <w:numPr>
          <w:ilvl w:val="0"/>
          <w:numId w:val="2"/>
        </w:numPr>
        <w:spacing w:after="40" w:before="40"/>
      </w:pPr>
      <w:r>
        <w:rPr>
          <w:rFonts w:ascii="Calibri" w:cs="Calibri" w:eastAsia="Calibri" w:hAnsi="Calibri"/>
          <w:b w:val="false"/>
          <w:bCs w:val="false"/>
          <w:sz w:val="22"/>
          <w:szCs w:val="22"/>
        </w:rPr>
        <w:t xml:space="preserve">Demonstrate 30–50% improvement in Mean Time to Resolution (MTTR) via automated triage and RCA</w:t>
      </w:r>
    </w:p>
    <w:p>
      <w:pPr>
        <w:pStyle w:val="ListParagraph"/>
        <w:numPr>
          <w:ilvl w:val="0"/>
          <w:numId w:val="2"/>
        </w:numPr>
        <w:spacing w:after="40" w:before="40"/>
      </w:pPr>
      <w:r>
        <w:rPr>
          <w:rFonts w:ascii="Calibri" w:cs="Calibri" w:eastAsia="Calibri" w:hAnsi="Calibri"/>
          <w:b w:val="false"/>
          <w:bCs w:val="false"/>
          <w:sz w:val="22"/>
          <w:szCs w:val="22"/>
        </w:rPr>
        <w:t xml:space="preserve">Prove cross-platform correlation capability spanning network, server, cloud, and ITSM layers</w:t>
      </w:r>
    </w:p>
    <w:p>
      <w:pPr>
        <w:pStyle w:val="ListParagraph"/>
        <w:numPr>
          <w:ilvl w:val="0"/>
          <w:numId w:val="2"/>
        </w:numPr>
        <w:spacing w:after="40" w:before="40"/>
      </w:pPr>
      <w:r>
        <w:rPr>
          <w:rFonts w:ascii="Calibri" w:cs="Calibri" w:eastAsia="Calibri" w:hAnsi="Calibri"/>
          <w:b w:val="false"/>
          <w:bCs w:val="false"/>
          <w:sz w:val="22"/>
          <w:szCs w:val="22"/>
        </w:rPr>
        <w:t xml:space="preserve">Evaluate agentic AI workflows for Tier 1 autonomous resolution without human escalation</w:t>
      </w:r>
    </w:p>
    <w:p>
      <w:pPr>
        <w:pStyle w:val="ListParagraph"/>
        <w:numPr>
          <w:ilvl w:val="0"/>
          <w:numId w:val="2"/>
        </w:numPr>
        <w:spacing w:after="40" w:before="40"/>
      </w:pPr>
      <w:r>
        <w:rPr>
          <w:rFonts w:ascii="Calibri" w:cs="Calibri" w:eastAsia="Calibri" w:hAnsi="Calibri"/>
          <w:b w:val="false"/>
          <w:bCs w:val="false"/>
          <w:sz w:val="22"/>
          <w:szCs w:val="22"/>
        </w:rPr>
        <w:t xml:space="preserve">Quantify operational efficiency gains and project ROI against current headcount and tooling costs</w:t>
      </w:r>
    </w:p>
    <w:p>
      <w:pPr>
        <w:pBdr>
          <w:bottom w:val="single" w:color="007B83" w:sz="4" w:space="1"/>
        </w:pBdr>
        <w:spacing w:after="120" w:before="120"/>
      </w:pPr>
    </w:p>
    <w:p>
      <w:pPr>
        <w:pStyle w:val="Heading1"/>
        <w:spacing w:after="120" w:before="320"/>
      </w:pPr>
      <w:r>
        <w:rPr>
          <w:rFonts w:ascii="Calibri" w:cs="Calibri" w:eastAsia="Calibri" w:hAnsi="Calibri"/>
          <w:b/>
          <w:bCs/>
          <w:color w:val="1B2A4A"/>
          <w:sz w:val="32"/>
          <w:szCs w:val="32"/>
        </w:rPr>
        <w:t xml:space="preserve">2. Current Situation &amp;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Challenge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Business Impact</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Desired Outcome</w:t>
            </w:r>
          </w:p>
        </w:tc>
        <w:tc>
          <w:tcPr>
            <w:tcW w:type="dxa" w:w="21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Edwin AI Capability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Excessive alert volume &amp; fatigue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Engineers spend significant time on non-actionable alerts; risk of missing critical events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80–90% alert reduction; focus on high-value incidents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Event Intelligence: correlation, deduplication, ML enrichment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Manual triage &amp; root cause investigation</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Senior engineer time consumed by escalations; reactive, customer-reported incidents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Automated RCA and remediation guidance in seconds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Agentic AI Summaries + Agentic AI RCA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Limited cross-platform context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Network, infra, and ITSM siloed; ambiguous ownership during escalation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Unified AI-driven view of incidents and service dependencies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Ecosystem Integration (3,000+ connectors) + ServiceNow CMDB sync</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High operational cost &amp; outage frequency</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Outages carry high MTTX cost; headcount growth constrained in FY26</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Demonstrate workload and MTTR reduction without adding staff</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AI Automation: playbook generation, self-healing remediation</w:t>
            </w:r>
          </w:p>
        </w:tc>
      </w:tr>
    </w:tbl>
    <w:p>
      <w:pPr>
        <w:pBdr>
          <w:bottom w:val="single" w:color="007B83" w:sz="4" w:space="1"/>
        </w:pBdr>
        <w:spacing w:after="120" w:before="120"/>
      </w:pPr>
    </w:p>
    <w:p>
      <w:pPr>
        <w:pStyle w:val="Heading1"/>
        <w:spacing w:after="120" w:before="320"/>
      </w:pPr>
      <w:r>
        <w:rPr>
          <w:rFonts w:ascii="Calibri" w:cs="Calibri" w:eastAsia="Calibri" w:hAnsi="Calibri"/>
          <w:b/>
          <w:bCs/>
          <w:color w:val="1B2A4A"/>
          <w:sz w:val="32"/>
          <w:szCs w:val="32"/>
        </w:rPr>
        <w:t xml:space="preserve">3. POV Use Cases</w:t>
      </w:r>
    </w:p>
    <w:p>
      <w:pPr>
        <w:spacing w:after="60" w:before="60"/>
      </w:pPr>
      <w:r>
        <w:rPr>
          <w:rFonts w:ascii="Calibri" w:cs="Calibri" w:eastAsia="Calibri" w:hAnsi="Calibri"/>
          <w:sz w:val="22"/>
          <w:szCs w:val="22"/>
        </w:rPr>
        <w:t xml:space="preserve">The following three use cases form the core validation scenarios for the Edwin AI POV. Each is prioritised at P1 and mapped to a specific Edwin AI capability module.</w:t>
      </w:r>
    </w:p>
    <w:p>
      <w:pPr>
        <w:spacing w:after="80" w:before="80"/>
      </w:pPr>
    </w:p>
    <w:p>
      <w:pPr>
        <w:pStyle w:val="Heading2"/>
        <w:spacing w:after="80" w:before="240"/>
      </w:pPr>
      <w:r>
        <w:rPr>
          <w:rFonts w:ascii="Calibri" w:cs="Calibri" w:eastAsia="Calibri" w:hAnsi="Calibri"/>
          <w:b/>
          <w:bCs/>
          <w:color w:val="007B83"/>
          <w:sz w:val="26"/>
          <w:szCs w:val="26"/>
        </w:rPr>
        <w:t xml:space="preserve">Use Case 1: Correlated Alert Intelligence &amp; Noise Reduction</w:t>
      </w:r>
    </w:p>
    <w:p>
      <w:pPr>
        <w:spacing w:after="60" w:before="60"/>
      </w:pPr>
      <w:r>
        <w:rPr>
          <w:rFonts w:ascii="Calibri" w:cs="Calibri" w:eastAsia="Calibri" w:hAnsi="Calibri"/>
          <w:b/>
          <w:bCs/>
          <w:sz w:val="22"/>
          <w:szCs w:val="22"/>
        </w:rPr>
        <w:t xml:space="preserve">Scenario:</w:t>
      </w:r>
    </w:p>
    <w:p>
      <w:pPr>
        <w:spacing w:after="60" w:before="60"/>
      </w:pPr>
      <w:r>
        <w:rPr>
          <w:rFonts w:ascii="Calibri" w:cs="Calibri" w:eastAsia="Calibri" w:hAnsi="Calibri"/>
          <w:sz w:val="22"/>
          <w:szCs w:val="22"/>
        </w:rPr>
        <w:t xml:space="preserve">The environment generates thousands of alerts daily across network devices, servers, and cloud workloads. Engineers manually triage these into ServiceNow tickets, often escalating noise to senior staff.</w:t>
      </w:r>
    </w:p>
    <w:p>
      <w:pPr>
        <w:spacing w:after="40" w:before="60"/>
      </w:pPr>
    </w:p>
    <w:p>
      <w:pPr>
        <w:spacing w:after="60" w:before="60"/>
      </w:pPr>
      <w:r>
        <w:rPr>
          <w:rFonts w:ascii="Calibri" w:cs="Calibri" w:eastAsia="Calibri" w:hAnsi="Calibri"/>
          <w:b/>
          <w:bCs/>
          <w:sz w:val="22"/>
          <w:szCs w:val="22"/>
        </w:rPr>
        <w:t xml:space="preserve">Edwin AI Actions:</w:t>
      </w:r>
    </w:p>
    <w:p>
      <w:pPr>
        <w:pStyle w:val="ListParagraph"/>
        <w:numPr>
          <w:ilvl w:val="0"/>
          <w:numId w:val="2"/>
        </w:numPr>
        <w:spacing w:after="40" w:before="40"/>
      </w:pPr>
      <w:r>
        <w:rPr>
          <w:rFonts w:ascii="Calibri" w:cs="Calibri" w:eastAsia="Calibri" w:hAnsi="Calibri"/>
          <w:b w:val="false"/>
          <w:bCs w:val="false"/>
          <w:sz w:val="22"/>
          <w:szCs w:val="22"/>
        </w:rPr>
        <w:t xml:space="preserve">Deploy out-of-the-box and customised ML correlation models against the live LogicMonitor instance</w:t>
      </w:r>
    </w:p>
    <w:p>
      <w:pPr>
        <w:pStyle w:val="ListParagraph"/>
        <w:numPr>
          <w:ilvl w:val="0"/>
          <w:numId w:val="2"/>
        </w:numPr>
        <w:spacing w:after="40" w:before="40"/>
      </w:pPr>
      <w:r>
        <w:rPr>
          <w:rFonts w:ascii="Calibri" w:cs="Calibri" w:eastAsia="Calibri" w:hAnsi="Calibri"/>
          <w:b w:val="false"/>
          <w:bCs w:val="false"/>
          <w:sz w:val="22"/>
          <w:szCs w:val="22"/>
        </w:rPr>
        <w:t xml:space="preserve">Edwin ingests alerts and deduplicates repeat events into single, enriched Insights</w:t>
      </w:r>
    </w:p>
    <w:p>
      <w:pPr>
        <w:pStyle w:val="ListParagraph"/>
        <w:numPr>
          <w:ilvl w:val="0"/>
          <w:numId w:val="2"/>
        </w:numPr>
        <w:spacing w:after="40" w:before="40"/>
      </w:pPr>
      <w:r>
        <w:rPr>
          <w:rFonts w:ascii="Calibri" w:cs="Calibri" w:eastAsia="Calibri" w:hAnsi="Calibri"/>
          <w:b w:val="false"/>
          <w:bCs w:val="false"/>
          <w:sz w:val="22"/>
          <w:szCs w:val="22"/>
        </w:rPr>
        <w:t xml:space="preserve">CMDB data from ServiceNow automatically enriches alert context (device owner, service tier, dependencies)</w:t>
      </w:r>
    </w:p>
    <w:p>
      <w:pPr>
        <w:pStyle w:val="ListParagraph"/>
        <w:numPr>
          <w:ilvl w:val="0"/>
          <w:numId w:val="2"/>
        </w:numPr>
        <w:spacing w:after="40" w:before="40"/>
      </w:pPr>
      <w:r>
        <w:rPr>
          <w:rFonts w:ascii="Calibri" w:cs="Calibri" w:eastAsia="Calibri" w:hAnsi="Calibri"/>
          <w:b w:val="false"/>
          <w:bCs w:val="false"/>
          <w:sz w:val="22"/>
          <w:szCs w:val="22"/>
        </w:rPr>
        <w:t xml:space="preserve">Adaptive re-clustering reconfigures correlations when new alert patterns emerge</w:t>
      </w:r>
    </w:p>
    <w:p>
      <w:pPr>
        <w:spacing w:after="40" w:before="60"/>
      </w:pPr>
    </w:p>
    <w:p>
      <w:pPr>
        <w:spacing w:after="60" w:before="60"/>
      </w:pPr>
      <w:r>
        <w:rPr>
          <w:rFonts w:ascii="Calibri" w:cs="Calibri" w:eastAsia="Calibri" w:hAnsi="Calibri"/>
          <w:b/>
          <w:bCs/>
          <w:sz w:val="22"/>
          <w:szCs w:val="22"/>
        </w:rPr>
        <w:t xml:space="preserve">Success Criteria:</w:t>
      </w:r>
    </w:p>
    <w:p>
      <w:pPr>
        <w:pStyle w:val="ListParagraph"/>
        <w:numPr>
          <w:ilvl w:val="0"/>
          <w:numId w:val="2"/>
        </w:numPr>
        <w:spacing w:after="40" w:before="40"/>
      </w:pPr>
      <w:r>
        <w:rPr>
          <w:rFonts w:ascii="Calibri" w:cs="Calibri" w:eastAsia="Calibri" w:hAnsi="Calibri"/>
          <w:b w:val="false"/>
          <w:bCs w:val="false"/>
          <w:sz w:val="22"/>
          <w:szCs w:val="22"/>
        </w:rPr>
        <w:t xml:space="preserve">Alert volume reduction of ≥ 80% measured over the POV window</w:t>
      </w:r>
    </w:p>
    <w:p>
      <w:pPr>
        <w:pStyle w:val="ListParagraph"/>
        <w:numPr>
          <w:ilvl w:val="0"/>
          <w:numId w:val="2"/>
        </w:numPr>
        <w:spacing w:after="40" w:before="40"/>
      </w:pPr>
      <w:r>
        <w:rPr>
          <w:rFonts w:ascii="Calibri" w:cs="Calibri" w:eastAsia="Calibri" w:hAnsi="Calibri"/>
          <w:b w:val="false"/>
          <w:bCs w:val="false"/>
          <w:sz w:val="22"/>
          <w:szCs w:val="22"/>
        </w:rPr>
        <w:t xml:space="preserve">≥ 90% of generated Insights correctly grouped by root entity (validated by engineers)</w:t>
      </w:r>
    </w:p>
    <w:p>
      <w:pPr>
        <w:pStyle w:val="ListParagraph"/>
        <w:numPr>
          <w:ilvl w:val="0"/>
          <w:numId w:val="2"/>
        </w:numPr>
        <w:spacing w:after="40" w:before="40"/>
      </w:pPr>
      <w:r>
        <w:rPr>
          <w:rFonts w:ascii="Calibri" w:cs="Calibri" w:eastAsia="Calibri" w:hAnsi="Calibri"/>
          <w:b w:val="false"/>
          <w:bCs w:val="false"/>
          <w:sz w:val="22"/>
          <w:szCs w:val="22"/>
        </w:rPr>
        <w:t xml:space="preserve">Zero high-priority incidents missed during noise reduction (P1/P2 SLA preserved)</w:t>
      </w:r>
    </w:p>
    <w:p>
      <w:pPr>
        <w:spacing w:after="40" w:before="120"/>
      </w:pPr>
    </w:p>
    <w:p>
      <w:pPr>
        <w:pStyle w:val="Heading2"/>
        <w:spacing w:after="80" w:before="240"/>
      </w:pPr>
      <w:r>
        <w:rPr>
          <w:rFonts w:ascii="Calibri" w:cs="Calibri" w:eastAsia="Calibri" w:hAnsi="Calibri"/>
          <w:b/>
          <w:bCs/>
          <w:color w:val="007B83"/>
          <w:sz w:val="26"/>
          <w:szCs w:val="26"/>
        </w:rPr>
        <w:t xml:space="preserve">Use Case 2: Agentic Root Cause Analysis (RCA) &amp; Incident Summary</w:t>
      </w:r>
    </w:p>
    <w:p>
      <w:pPr>
        <w:spacing w:after="60" w:before="60"/>
      </w:pPr>
      <w:r>
        <w:rPr>
          <w:rFonts w:ascii="Calibri" w:cs="Calibri" w:eastAsia="Calibri" w:hAnsi="Calibri"/>
          <w:b/>
          <w:bCs/>
          <w:sz w:val="22"/>
          <w:szCs w:val="22"/>
        </w:rPr>
        <w:t xml:space="preserve">Scenario:</w:t>
      </w:r>
    </w:p>
    <w:p>
      <w:pPr>
        <w:spacing w:after="60" w:before="60"/>
      </w:pPr>
      <w:r>
        <w:rPr>
          <w:rFonts w:ascii="Calibri" w:cs="Calibri" w:eastAsia="Calibri" w:hAnsi="Calibri"/>
          <w:sz w:val="22"/>
          <w:szCs w:val="22"/>
        </w:rPr>
        <w:t xml:space="preserve">When an insight is raised (e.g., network degradation impacting downstream application performance), the team currently relies on senior engineers to manually correlate data across dashboards and logs to determine root cause — a process that takes 30–90 minutes.</w:t>
      </w:r>
    </w:p>
    <w:p>
      <w:pPr>
        <w:spacing w:after="40" w:before="60"/>
      </w:pPr>
    </w:p>
    <w:p>
      <w:pPr>
        <w:spacing w:after="60" w:before="60"/>
      </w:pPr>
      <w:r>
        <w:rPr>
          <w:rFonts w:ascii="Calibri" w:cs="Calibri" w:eastAsia="Calibri" w:hAnsi="Calibri"/>
          <w:b/>
          <w:bCs/>
          <w:sz w:val="22"/>
          <w:szCs w:val="22"/>
        </w:rPr>
        <w:t xml:space="preserve">Edwin AI Actions:</w:t>
      </w:r>
    </w:p>
    <w:p>
      <w:pPr>
        <w:pStyle w:val="ListParagraph"/>
        <w:numPr>
          <w:ilvl w:val="0"/>
          <w:numId w:val="2"/>
        </w:numPr>
        <w:spacing w:after="40" w:before="40"/>
      </w:pPr>
      <w:r>
        <w:rPr>
          <w:rFonts w:ascii="Calibri" w:cs="Calibri" w:eastAsia="Calibri" w:hAnsi="Calibri"/>
          <w:b w:val="false"/>
          <w:bCs w:val="false"/>
          <w:sz w:val="22"/>
          <w:szCs w:val="22"/>
        </w:rPr>
        <w:t xml:space="preserve">Edwin's AI agent automatically summarises the incident in plain-language natural language within seconds of insight creation</w:t>
      </w:r>
    </w:p>
    <w:p>
      <w:pPr>
        <w:pStyle w:val="ListParagraph"/>
        <w:numPr>
          <w:ilvl w:val="0"/>
          <w:numId w:val="2"/>
        </w:numPr>
        <w:spacing w:after="40" w:before="40"/>
      </w:pPr>
      <w:r>
        <w:rPr>
          <w:rFonts w:ascii="Calibri" w:cs="Calibri" w:eastAsia="Calibri" w:hAnsi="Calibri"/>
          <w:b w:val="false"/>
          <w:bCs w:val="false"/>
          <w:sz w:val="22"/>
          <w:szCs w:val="22"/>
        </w:rPr>
        <w:t xml:space="preserve">Agentic RCA traces the causal chain: e.g., BGP route flap → network latency spike → app transaction timeouts → end-user impact</w:t>
      </w:r>
    </w:p>
    <w:p>
      <w:pPr>
        <w:pStyle w:val="ListParagraph"/>
        <w:numPr>
          <w:ilvl w:val="0"/>
          <w:numId w:val="2"/>
        </w:numPr>
        <w:spacing w:after="40" w:before="40"/>
      </w:pPr>
      <w:r>
        <w:rPr>
          <w:rFonts w:ascii="Calibri" w:cs="Calibri" w:eastAsia="Calibri" w:hAnsi="Calibri"/>
          <w:b w:val="false"/>
          <w:bCs w:val="false"/>
          <w:sz w:val="22"/>
          <w:szCs w:val="22"/>
        </w:rPr>
        <w:t xml:space="preserve">Edwin provides ranked remediation recommendations mapped to historical resolution patterns</w:t>
      </w:r>
    </w:p>
    <w:p>
      <w:pPr>
        <w:pStyle w:val="ListParagraph"/>
        <w:numPr>
          <w:ilvl w:val="0"/>
          <w:numId w:val="2"/>
        </w:numPr>
        <w:spacing w:after="40" w:before="40"/>
      </w:pPr>
      <w:r>
        <w:rPr>
          <w:rFonts w:ascii="Calibri" w:cs="Calibri" w:eastAsia="Calibri" w:hAnsi="Calibri"/>
          <w:b w:val="false"/>
          <w:bCs w:val="false"/>
          <w:sz w:val="22"/>
          <w:szCs w:val="22"/>
        </w:rPr>
        <w:t xml:space="preserve">All RCA context is pushed bi-directionally into ServiceNow incident record</w:t>
      </w:r>
    </w:p>
    <w:p>
      <w:pPr>
        <w:spacing w:after="40" w:before="60"/>
      </w:pPr>
    </w:p>
    <w:p>
      <w:pPr>
        <w:spacing w:after="60" w:before="60"/>
      </w:pPr>
      <w:r>
        <w:rPr>
          <w:rFonts w:ascii="Calibri" w:cs="Calibri" w:eastAsia="Calibri" w:hAnsi="Calibri"/>
          <w:b/>
          <w:bCs/>
          <w:sz w:val="22"/>
          <w:szCs w:val="22"/>
        </w:rPr>
        <w:t xml:space="preserve">Success Criteria:</w:t>
      </w:r>
    </w:p>
    <w:p>
      <w:pPr>
        <w:pStyle w:val="ListParagraph"/>
        <w:numPr>
          <w:ilvl w:val="0"/>
          <w:numId w:val="2"/>
        </w:numPr>
        <w:spacing w:after="40" w:before="40"/>
      </w:pPr>
      <w:r>
        <w:rPr>
          <w:rFonts w:ascii="Calibri" w:cs="Calibri" w:eastAsia="Calibri" w:hAnsi="Calibri"/>
          <w:b w:val="false"/>
          <w:bCs w:val="false"/>
          <w:sz w:val="22"/>
          <w:szCs w:val="22"/>
        </w:rPr>
        <w:t xml:space="preserve">MTTR improvement of ≥ 30% for incidents where Edwin AI RCA is applied (measured against 30-day baseline)</w:t>
      </w:r>
    </w:p>
    <w:p>
      <w:pPr>
        <w:pStyle w:val="ListParagraph"/>
        <w:numPr>
          <w:ilvl w:val="0"/>
          <w:numId w:val="2"/>
        </w:numPr>
        <w:spacing w:after="40" w:before="40"/>
      </w:pPr>
      <w:r>
        <w:rPr>
          <w:rFonts w:ascii="Calibri" w:cs="Calibri" w:eastAsia="Calibri" w:hAnsi="Calibri"/>
          <w:b w:val="false"/>
          <w:bCs w:val="false"/>
          <w:sz w:val="22"/>
          <w:szCs w:val="22"/>
        </w:rPr>
        <w:t xml:space="preserve">Tier 1 engineer able to initiate resolution within 5 minutes of insight without escalation in ≥ 70% of cases</w:t>
      </w:r>
    </w:p>
    <w:p>
      <w:pPr>
        <w:pStyle w:val="ListParagraph"/>
        <w:numPr>
          <w:ilvl w:val="0"/>
          <w:numId w:val="2"/>
        </w:numPr>
        <w:spacing w:after="40" w:before="40"/>
      </w:pPr>
      <w:r>
        <w:rPr>
          <w:rFonts w:ascii="Calibri" w:cs="Calibri" w:eastAsia="Calibri" w:hAnsi="Calibri"/>
          <w:b w:val="false"/>
          <w:bCs w:val="false"/>
          <w:sz w:val="22"/>
          <w:szCs w:val="22"/>
        </w:rPr>
        <w:t xml:space="preserve">RCA accuracy validated by senior engineers: ≥ 85% correct root-cause identification</w:t>
      </w:r>
    </w:p>
    <w:p>
      <w:pPr>
        <w:spacing w:after="40" w:before="120"/>
      </w:pPr>
    </w:p>
    <w:p>
      <w:pPr>
        <w:pStyle w:val="Heading2"/>
        <w:spacing w:after="80" w:before="240"/>
      </w:pPr>
      <w:r>
        <w:rPr>
          <w:rFonts w:ascii="Calibri" w:cs="Calibri" w:eastAsia="Calibri" w:hAnsi="Calibri"/>
          <w:b/>
          <w:bCs/>
          <w:color w:val="007B83"/>
          <w:sz w:val="26"/>
          <w:szCs w:val="26"/>
        </w:rPr>
        <w:t xml:space="preserve">Use Case 3: Network Outage Simulation &amp; Cross-Domain Correlation</w:t>
      </w:r>
    </w:p>
    <w:p>
      <w:pPr>
        <w:spacing w:after="60" w:before="60"/>
      </w:pPr>
      <w:r>
        <w:rPr>
          <w:rFonts w:ascii="Calibri" w:cs="Calibri" w:eastAsia="Calibri" w:hAnsi="Calibri"/>
          <w:b/>
          <w:bCs/>
          <w:sz w:val="22"/>
          <w:szCs w:val="22"/>
        </w:rPr>
        <w:t xml:space="preserve">Scenario:</w:t>
      </w:r>
    </w:p>
    <w:p>
      <w:pPr>
        <w:spacing w:after="60" w:before="60"/>
      </w:pPr>
      <w:r>
        <w:rPr>
          <w:rFonts w:ascii="Calibri" w:cs="Calibri" w:eastAsia="Calibri" w:hAnsi="Calibri"/>
          <w:sz w:val="22"/>
          <w:szCs w:val="22"/>
        </w:rPr>
        <w:t xml:space="preserve">A controlled network outage is triggered to simulate a real infrastructure failure. This validates Edwin AI's ability to correlate alerts across layers, identify impacted services, and produce an accurate Insight and RCA within minutes.</w:t>
      </w:r>
    </w:p>
    <w:p>
      <w:pPr>
        <w:spacing w:after="40" w:before="60"/>
      </w:pPr>
    </w:p>
    <w:p>
      <w:pPr>
        <w:spacing w:after="60" w:before="60"/>
      </w:pPr>
      <w:r>
        <w:rPr>
          <w:rFonts w:ascii="Calibri" w:cs="Calibri" w:eastAsia="Calibri" w:hAnsi="Calibri"/>
          <w:b/>
          <w:bCs/>
          <w:sz w:val="22"/>
          <w:szCs w:val="22"/>
        </w:rPr>
        <w:t xml:space="preserve">Edwin AI Actions:</w:t>
      </w:r>
    </w:p>
    <w:p>
      <w:pPr>
        <w:pStyle w:val="ListParagraph"/>
        <w:numPr>
          <w:ilvl w:val="0"/>
          <w:numId w:val="2"/>
        </w:numPr>
        <w:spacing w:after="40" w:before="40"/>
      </w:pPr>
      <w:r>
        <w:rPr>
          <w:rFonts w:ascii="Calibri" w:cs="Calibri" w:eastAsia="Calibri" w:hAnsi="Calibri"/>
          <w:b w:val="false"/>
          <w:bCs w:val="false"/>
          <w:sz w:val="22"/>
          <w:szCs w:val="22"/>
        </w:rPr>
        <w:t xml:space="preserve">Bespoke correlation models are active prior to the simulation trigger</w:t>
      </w:r>
    </w:p>
    <w:p>
      <w:pPr>
        <w:pStyle w:val="ListParagraph"/>
        <w:numPr>
          <w:ilvl w:val="0"/>
          <w:numId w:val="2"/>
        </w:numPr>
        <w:spacing w:after="40" w:before="40"/>
      </w:pPr>
      <w:r>
        <w:rPr>
          <w:rFonts w:ascii="Calibri" w:cs="Calibri" w:eastAsia="Calibri" w:hAnsi="Calibri"/>
          <w:b w:val="false"/>
          <w:bCs w:val="false"/>
          <w:sz w:val="22"/>
          <w:szCs w:val="22"/>
        </w:rPr>
        <w:t xml:space="preserve">Customer team triggers an intentional network segment outage</w:t>
      </w:r>
    </w:p>
    <w:p>
      <w:pPr>
        <w:pStyle w:val="ListParagraph"/>
        <w:numPr>
          <w:ilvl w:val="0"/>
          <w:numId w:val="2"/>
        </w:numPr>
        <w:spacing w:after="40" w:before="40"/>
      </w:pPr>
      <w:r>
        <w:rPr>
          <w:rFonts w:ascii="Calibri" w:cs="Calibri" w:eastAsia="Calibri" w:hAnsi="Calibri"/>
          <w:b w:val="false"/>
          <w:bCs w:val="false"/>
          <w:sz w:val="22"/>
          <w:szCs w:val="22"/>
        </w:rPr>
        <w:t xml:space="preserve">Edwin correlates resulting alerts across affected devices, identifies impacted services, and surfaces a single consolidated Insight</w:t>
      </w:r>
    </w:p>
    <w:p>
      <w:pPr>
        <w:pStyle w:val="ListParagraph"/>
        <w:numPr>
          <w:ilvl w:val="0"/>
          <w:numId w:val="2"/>
        </w:numPr>
        <w:spacing w:after="40" w:before="40"/>
      </w:pPr>
      <w:r>
        <w:rPr>
          <w:rFonts w:ascii="Calibri" w:cs="Calibri" w:eastAsia="Calibri" w:hAnsi="Calibri"/>
          <w:b w:val="false"/>
          <w:bCs w:val="false"/>
          <w:sz w:val="22"/>
          <w:szCs w:val="22"/>
        </w:rPr>
        <w:t xml:space="preserve">Agentic AI produces: incident summary, root cause identification, impacted device list, and recommended remediation steps</w:t>
      </w:r>
    </w:p>
    <w:p>
      <w:pPr>
        <w:pStyle w:val="ListParagraph"/>
        <w:numPr>
          <w:ilvl w:val="0"/>
          <w:numId w:val="2"/>
        </w:numPr>
        <w:spacing w:after="40" w:before="40"/>
      </w:pPr>
      <w:r>
        <w:rPr>
          <w:rFonts w:ascii="Calibri" w:cs="Calibri" w:eastAsia="Calibri" w:hAnsi="Calibri"/>
          <w:b w:val="false"/>
          <w:bCs w:val="false"/>
          <w:sz w:val="22"/>
          <w:szCs w:val="22"/>
        </w:rPr>
        <w:t xml:space="preserve">Team reviews the Insight, iterates on model tuning if required, and validates accuracy</w:t>
      </w:r>
    </w:p>
    <w:p>
      <w:pPr>
        <w:spacing w:after="40" w:before="60"/>
      </w:pPr>
    </w:p>
    <w:p>
      <w:pPr>
        <w:spacing w:after="60" w:before="60"/>
      </w:pPr>
      <w:r>
        <w:rPr>
          <w:rFonts w:ascii="Calibri" w:cs="Calibri" w:eastAsia="Calibri" w:hAnsi="Calibri"/>
          <w:b/>
          <w:bCs/>
          <w:sz w:val="22"/>
          <w:szCs w:val="22"/>
        </w:rPr>
        <w:t xml:space="preserve">Success Criteria:</w:t>
      </w:r>
    </w:p>
    <w:p>
      <w:pPr>
        <w:pStyle w:val="ListParagraph"/>
        <w:numPr>
          <w:ilvl w:val="0"/>
          <w:numId w:val="2"/>
        </w:numPr>
        <w:spacing w:after="40" w:before="40"/>
      </w:pPr>
      <w:r>
        <w:rPr>
          <w:rFonts w:ascii="Calibri" w:cs="Calibri" w:eastAsia="Calibri" w:hAnsi="Calibri"/>
          <w:b w:val="false"/>
          <w:bCs w:val="false"/>
          <w:sz w:val="22"/>
          <w:szCs w:val="22"/>
        </w:rPr>
        <w:t xml:space="preserve">Edwin AI raises a single, correlated Insight within 3 minutes of outage trigger</w:t>
      </w:r>
    </w:p>
    <w:p>
      <w:pPr>
        <w:pStyle w:val="ListParagraph"/>
        <w:numPr>
          <w:ilvl w:val="0"/>
          <w:numId w:val="2"/>
        </w:numPr>
        <w:spacing w:after="40" w:before="40"/>
      </w:pPr>
      <w:r>
        <w:rPr>
          <w:rFonts w:ascii="Calibri" w:cs="Calibri" w:eastAsia="Calibri" w:hAnsi="Calibri"/>
          <w:b w:val="false"/>
          <w:bCs w:val="false"/>
          <w:sz w:val="22"/>
          <w:szCs w:val="22"/>
        </w:rPr>
        <w:t xml:space="preserve">All impacted devices correctly identified (≥ 95% completeness)</w:t>
      </w:r>
    </w:p>
    <w:p>
      <w:pPr>
        <w:pStyle w:val="ListParagraph"/>
        <w:numPr>
          <w:ilvl w:val="0"/>
          <w:numId w:val="2"/>
        </w:numPr>
        <w:spacing w:after="40" w:before="40"/>
      </w:pPr>
      <w:r>
        <w:rPr>
          <w:rFonts w:ascii="Calibri" w:cs="Calibri" w:eastAsia="Calibri" w:hAnsi="Calibri"/>
          <w:b w:val="false"/>
          <w:bCs w:val="false"/>
          <w:sz w:val="22"/>
          <w:szCs w:val="22"/>
        </w:rPr>
        <w:t xml:space="preserve">Plain-language summary accurately describes scope, root cause, and recommended action without human input</w:t>
      </w:r>
    </w:p>
    <w:p>
      <w:pPr>
        <w:pStyle w:val="ListParagraph"/>
        <w:numPr>
          <w:ilvl w:val="0"/>
          <w:numId w:val="2"/>
        </w:numPr>
        <w:spacing w:after="40" w:before="40"/>
      </w:pPr>
      <w:r>
        <w:rPr>
          <w:rFonts w:ascii="Calibri" w:cs="Calibri" w:eastAsia="Calibri" w:hAnsi="Calibri"/>
          <w:b w:val="false"/>
          <w:bCs w:val="false"/>
          <w:sz w:val="22"/>
          <w:szCs w:val="22"/>
        </w:rPr>
        <w:t xml:space="preserve">ServiceNow incident auto-created with enriched context from CMDB</w:t>
      </w:r>
    </w:p>
    <w:p>
      <w:pPr>
        <w:pBdr>
          <w:bottom w:val="single" w:color="007B83" w:sz="4" w:space="1"/>
        </w:pBdr>
        <w:spacing w:after="120" w:before="120"/>
      </w:pPr>
    </w:p>
    <w:p>
      <w:pPr>
        <w:pStyle w:val="Heading1"/>
        <w:spacing w:after="120" w:before="320"/>
      </w:pPr>
      <w:r>
        <w:rPr>
          <w:rFonts w:ascii="Calibri" w:cs="Calibri" w:eastAsia="Calibri" w:hAnsi="Calibri"/>
          <w:b/>
          <w:bCs/>
          <w:color w:val="1B2A4A"/>
          <w:sz w:val="32"/>
          <w:szCs w:val="32"/>
        </w:rPr>
        <w:t xml:space="preserve">4.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Baseline (Current)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POV Target</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Measurement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Alert volume reduction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 raw alerts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80% reduction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Edwin AI Insight vs raw alert count</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Insight accuracy (correct grouping)</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Manual triage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 90% accuracy</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Engineer validation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MTTR improvement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Baseline from 30-day avg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30% reduction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ServiceNow ticket resolution time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Tier 1 autonomous resolution rate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Low / escalation-dependent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 70% without escalation</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Ticket escalation rate delta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RCA accuracy (outage simulation)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Manual, 30–90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85% correct, &lt; 3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Engineer validation post-sim</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P1/P2 missed incidents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Baseline from 30-day avg</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Zero missed during POV</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Alert audit log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ServiceNow ticket enrichment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Manual entry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 auto-enriched from CMDB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Ticket field completeness audit</w:t>
            </w:r>
          </w:p>
        </w:tc>
      </w:tr>
    </w:tbl>
    <w:p>
      <w:pPr>
        <w:pBdr>
          <w:bottom w:val="single" w:color="007B83" w:sz="4" w:space="1"/>
        </w:pBdr>
        <w:spacing w:after="120" w:before="120"/>
      </w:pPr>
    </w:p>
    <w:p>
      <w:pPr>
        <w:pStyle w:val="Heading1"/>
        <w:spacing w:after="120" w:before="320"/>
      </w:pPr>
      <w:r>
        <w:rPr>
          <w:rFonts w:ascii="Calibri" w:cs="Calibri" w:eastAsia="Calibri" w:hAnsi="Calibri"/>
          <w:b/>
          <w:bCs/>
          <w:color w:val="1B2A4A"/>
          <w:sz w:val="32"/>
          <w:szCs w:val="32"/>
        </w:rPr>
        <w:t xml:space="preserve">5. POV Timeline –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760"/>
        <w:gridCol w:w="18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Session</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Date / Week</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Agenda</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POV Go/No-Go Call (30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Pre-POV (W-1)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Review scoping doc, confirm API credentials, confirm mutual action plan, finalise use case priorities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POV green-lit, credentials validated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Edwin AI Kickoff – Pt.1 (1 hr)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Week 1, Day 1</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Edwin AI access, dashboard orientation, Insight/Singleton overview, custom correlation set-up, GenAI/Agentic AI walkthrough</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Use Case 1 live, ML models deployed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Use Case Check-in &amp; Outage Sim – Pt.2 (1 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Week 1, Day 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Insight review, model refinement, navigation best practices, outage simulation execution and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Use Case 2 &amp; 3 validated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Use Case Check-in – Pt.4 (1 hr)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Week 2, Day 2</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Insight review, chatbot workflow demo, prompting fundamentals, ServiceNow integration review</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ITSM integration validated, playbook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POV Wrap-Up – Pt.5 (1 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Week 2, Day 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POV doc final check-in, portal review, outcomes review, metric sign-off, next steps and commercial discussion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POV report issued, decision criteria met</w:t>
            </w:r>
          </w:p>
        </w:tc>
      </w:tr>
    </w:tbl>
    <w:p>
      <w:pPr>
        <w:pBdr>
          <w:bottom w:val="single" w:color="007B83" w:sz="4" w:space="1"/>
        </w:pBdr>
        <w:spacing w:after="120" w:before="120"/>
      </w:pPr>
    </w:p>
    <w:p>
      <w:pPr>
        <w:pStyle w:val="Heading1"/>
        <w:spacing w:after="120" w:before="320"/>
      </w:pPr>
      <w:r>
        <w:rPr>
          <w:rFonts w:ascii="Calibri" w:cs="Calibri" w:eastAsia="Calibri" w:hAnsi="Calibri"/>
          <w:b/>
          <w:bCs/>
          <w:color w:val="1B2A4A"/>
          <w:sz w:val="32"/>
          <w:szCs w:val="32"/>
        </w:rPr>
        <w:t xml:space="preserve">6. Decision Criteria</w:t>
      </w:r>
    </w:p>
    <w:p>
      <w:pPr>
        <w:spacing w:after="60" w:before="60"/>
      </w:pPr>
      <w:r>
        <w:rPr>
          <w:rFonts w:ascii="Calibri" w:cs="Calibri" w:eastAsia="Calibri" w:hAnsi="Calibri"/>
          <w:sz w:val="22"/>
          <w:szCs w:val="22"/>
        </w:rPr>
        <w:t xml:space="preserve">The POV will be considered successful and a positive commercial recommendation issued when the following conditions are met:</w:t>
      </w:r>
    </w:p>
    <w:p>
      <w:pPr>
        <w:spacing w:after="40" w:before="80"/>
      </w:pPr>
    </w:p>
    <w:p>
      <w:pPr>
        <w:pStyle w:val="ListParagraph"/>
        <w:numPr>
          <w:ilvl w:val="0"/>
          <w:numId w:val="2"/>
        </w:numPr>
        <w:spacing w:after="40" w:before="40"/>
      </w:pPr>
      <w:r>
        <w:rPr>
          <w:rFonts w:ascii="Calibri" w:cs="Calibri" w:eastAsia="Calibri" w:hAnsi="Calibri"/>
          <w:b/>
          <w:bCs/>
          <w:sz w:val="22"/>
          <w:szCs w:val="22"/>
        </w:rPr>
        <w:t xml:space="preserve">Alert volume reduction of ≥ 80% demonstrated over the full POV window</w:t>
      </w:r>
    </w:p>
    <w:p>
      <w:pPr>
        <w:pStyle w:val="ListParagraph"/>
        <w:numPr>
          <w:ilvl w:val="0"/>
          <w:numId w:val="2"/>
        </w:numPr>
        <w:spacing w:after="40" w:before="40"/>
      </w:pPr>
      <w:r>
        <w:rPr>
          <w:rFonts w:ascii="Calibri" w:cs="Calibri" w:eastAsia="Calibri" w:hAnsi="Calibri"/>
          <w:b/>
          <w:bCs/>
          <w:sz w:val="22"/>
          <w:szCs w:val="22"/>
        </w:rPr>
        <w:t xml:space="preserve">MTTR reduction of ≥ 30% validated against baseline ServiceNow data</w:t>
      </w:r>
    </w:p>
    <w:p>
      <w:pPr>
        <w:pStyle w:val="ListParagraph"/>
        <w:numPr>
          <w:ilvl w:val="0"/>
          <w:numId w:val="2"/>
        </w:numPr>
        <w:spacing w:after="40" w:before="40"/>
      </w:pPr>
      <w:r>
        <w:rPr>
          <w:rFonts w:ascii="Calibri" w:cs="Calibri" w:eastAsia="Calibri" w:hAnsi="Calibri"/>
          <w:b/>
          <w:bCs/>
          <w:sz w:val="22"/>
          <w:szCs w:val="22"/>
        </w:rPr>
        <w:t xml:space="preserve">Outage simulation produces a correlated, accurate Insight within 3 minutes with no missed P1/P2 events</w:t>
      </w:r>
    </w:p>
    <w:p>
      <w:pPr>
        <w:pStyle w:val="ListParagraph"/>
        <w:numPr>
          <w:ilvl w:val="0"/>
          <w:numId w:val="2"/>
        </w:numPr>
        <w:spacing w:after="40" w:before="40"/>
      </w:pPr>
      <w:r>
        <w:rPr>
          <w:rFonts w:ascii="Calibri" w:cs="Calibri" w:eastAsia="Calibri" w:hAnsi="Calibri"/>
          <w:b/>
          <w:bCs/>
          <w:sz w:val="22"/>
          <w:szCs w:val="22"/>
        </w:rPr>
        <w:t xml:space="preserve">ServiceNow bi-directional integration confirmed functional with CMDB enrichment</w:t>
      </w:r>
    </w:p>
    <w:p>
      <w:pPr>
        <w:pStyle w:val="ListParagraph"/>
        <w:numPr>
          <w:ilvl w:val="0"/>
          <w:numId w:val="2"/>
        </w:numPr>
        <w:spacing w:after="40" w:before="40"/>
      </w:pPr>
      <w:r>
        <w:rPr>
          <w:rFonts w:ascii="Calibri" w:cs="Calibri" w:eastAsia="Calibri" w:hAnsi="Calibri"/>
          <w:b/>
          <w:bCs/>
          <w:sz w:val="22"/>
          <w:szCs w:val="22"/>
        </w:rPr>
        <w:t xml:space="preserve">Tier 1 engineers demonstrate ability to resolve issues using Edwin AI without senior escalation in live scenarios</w:t>
      </w:r>
    </w:p>
    <w:p>
      <w:pPr>
        <w:spacing w:after="80" w:before="80"/>
      </w:pPr>
    </w:p>
    <w:p>
      <w:pPr>
        <w:spacing w:after="60" w:before="60"/>
      </w:pPr>
      <w:r>
        <w:rPr>
          <w:rFonts w:ascii="Calibri" w:cs="Calibri" w:eastAsia="Calibri" w:hAnsi="Calibri"/>
          <w:sz w:val="22"/>
          <w:szCs w:val="22"/>
        </w:rPr>
        <w:t xml:space="preserve">Partial success criteria (meeting 3 of 5 primary metrics) will trigger a structured extension conversation with LogicMonitor.</w:t>
      </w:r>
    </w:p>
    <w:p>
      <w:pPr>
        <w:pBdr>
          <w:bottom w:val="single" w:color="007B83" w:sz="4" w:space="1"/>
        </w:pBdr>
        <w:spacing w:after="120" w:before="120"/>
      </w:pPr>
    </w:p>
    <w:p>
      <w:pPr>
        <w:pStyle w:val="Heading1"/>
        <w:spacing w:after="120" w:before="320"/>
      </w:pPr>
      <w:r>
        <w:rPr>
          <w:rFonts w:ascii="Calibri" w:cs="Calibri" w:eastAsia="Calibri" w:hAnsi="Calibri"/>
          <w:b/>
          <w:bCs/>
          <w:color w:val="1B2A4A"/>
          <w:sz w:val="32"/>
          <w:szCs w:val="32"/>
        </w:rPr>
        <w:t xml:space="preserve">7. POV Assumptions &amp; Mutual Expectations</w:t>
      </w:r>
    </w:p>
    <w:p>
      <w:pPr>
        <w:pStyle w:val="Heading2"/>
        <w:spacing w:after="80" w:before="240"/>
      </w:pPr>
      <w:r>
        <w:rPr>
          <w:rFonts w:ascii="Calibri" w:cs="Calibri" w:eastAsia="Calibri" w:hAnsi="Calibri"/>
          <w:b/>
          <w:bCs/>
          <w:color w:val="007B83"/>
          <w:sz w:val="26"/>
          <w:szCs w:val="26"/>
        </w:rPr>
        <w:t xml:space="preserve">Customer Commitments</w:t>
      </w:r>
    </w:p>
    <w:p>
      <w:pPr>
        <w:pStyle w:val="ListParagraph"/>
        <w:numPr>
          <w:ilvl w:val="0"/>
          <w:numId w:val="2"/>
        </w:numPr>
        <w:spacing w:after="40" w:before="40"/>
      </w:pPr>
      <w:r>
        <w:rPr>
          <w:rFonts w:ascii="Calibri" w:cs="Calibri" w:eastAsia="Calibri" w:hAnsi="Calibri"/>
          <w:b w:val="false"/>
          <w:bCs w:val="false"/>
          <w:sz w:val="22"/>
          <w:szCs w:val="22"/>
        </w:rPr>
        <w:t xml:space="preserve">Edwin AI will be activated in the Production LM portal to capture full event data scope</w:t>
      </w:r>
    </w:p>
    <w:p>
      <w:pPr>
        <w:pStyle w:val="ListParagraph"/>
        <w:numPr>
          <w:ilvl w:val="0"/>
          <w:numId w:val="2"/>
        </w:numPr>
        <w:spacing w:after="40" w:before="40"/>
      </w:pPr>
      <w:r>
        <w:rPr>
          <w:rFonts w:ascii="Calibri" w:cs="Calibri" w:eastAsia="Calibri" w:hAnsi="Calibri"/>
          <w:b w:val="false"/>
          <w:bCs w:val="false"/>
          <w:sz w:val="22"/>
          <w:szCs w:val="22"/>
        </w:rPr>
        <w:t xml:space="preserve">Nominated internal POV champion available for all 5 scheduled sessions</w:t>
      </w:r>
    </w:p>
    <w:p>
      <w:pPr>
        <w:pStyle w:val="ListParagraph"/>
        <w:numPr>
          <w:ilvl w:val="0"/>
          <w:numId w:val="2"/>
        </w:numPr>
        <w:spacing w:after="40" w:before="40"/>
      </w:pPr>
      <w:r>
        <w:rPr>
          <w:rFonts w:ascii="Calibri" w:cs="Calibri" w:eastAsia="Calibri" w:hAnsi="Calibri"/>
          <w:b w:val="false"/>
          <w:bCs w:val="false"/>
          <w:sz w:val="22"/>
          <w:szCs w:val="22"/>
        </w:rPr>
        <w:t xml:space="preserve">ServiceNow sandbox environment available for ITSM integration testing</w:t>
      </w:r>
    </w:p>
    <w:p>
      <w:pPr>
        <w:pStyle w:val="ListParagraph"/>
        <w:numPr>
          <w:ilvl w:val="0"/>
          <w:numId w:val="2"/>
        </w:numPr>
        <w:spacing w:after="40" w:before="40"/>
      </w:pPr>
      <w:r>
        <w:rPr>
          <w:rFonts w:ascii="Calibri" w:cs="Calibri" w:eastAsia="Calibri" w:hAnsi="Calibri"/>
          <w:b w:val="false"/>
          <w:bCs w:val="false"/>
          <w:sz w:val="22"/>
          <w:szCs w:val="22"/>
        </w:rPr>
        <w:t xml:space="preserve">Controlled network outage window confirmed with Change Advisory Board (CAB) approval</w:t>
      </w:r>
    </w:p>
    <w:p>
      <w:pPr>
        <w:pStyle w:val="ListParagraph"/>
        <w:numPr>
          <w:ilvl w:val="0"/>
          <w:numId w:val="2"/>
        </w:numPr>
        <w:spacing w:after="40" w:before="40"/>
      </w:pPr>
      <w:r>
        <w:rPr>
          <w:rFonts w:ascii="Calibri" w:cs="Calibri" w:eastAsia="Calibri" w:hAnsi="Calibri"/>
          <w:b w:val="false"/>
          <w:bCs w:val="false"/>
          <w:sz w:val="22"/>
          <w:szCs w:val="22"/>
        </w:rPr>
        <w:t xml:space="preserve">Baseline MTTR and alert volume data from the 30 days preceding POV provided</w:t>
      </w:r>
    </w:p>
    <w:p>
      <w:pPr>
        <w:spacing w:after="40" w:before="80"/>
      </w:pPr>
    </w:p>
    <w:p>
      <w:pPr>
        <w:pStyle w:val="Heading2"/>
        <w:spacing w:after="80" w:before="240"/>
      </w:pPr>
      <w:r>
        <w:rPr>
          <w:rFonts w:ascii="Calibri" w:cs="Calibri" w:eastAsia="Calibri" w:hAnsi="Calibri"/>
          <w:b/>
          <w:bCs/>
          <w:color w:val="007B83"/>
          <w:sz w:val="26"/>
          <w:szCs w:val="26"/>
        </w:rPr>
        <w:t xml:space="preserve">LogicMonitor Commitments</w:t>
      </w:r>
    </w:p>
    <w:p>
      <w:pPr>
        <w:pStyle w:val="ListParagraph"/>
        <w:numPr>
          <w:ilvl w:val="0"/>
          <w:numId w:val="2"/>
        </w:numPr>
        <w:spacing w:after="40" w:before="40"/>
      </w:pPr>
      <w:r>
        <w:rPr>
          <w:rFonts w:ascii="Calibri" w:cs="Calibri" w:eastAsia="Calibri" w:hAnsi="Calibri"/>
          <w:b w:val="false"/>
          <w:bCs w:val="false"/>
          <w:sz w:val="22"/>
          <w:szCs w:val="22"/>
        </w:rPr>
        <w:t xml:space="preserve">Dedicated POV engineer assigned for the full 2-week duration</w:t>
      </w:r>
    </w:p>
    <w:p>
      <w:pPr>
        <w:pStyle w:val="ListParagraph"/>
        <w:numPr>
          <w:ilvl w:val="0"/>
          <w:numId w:val="2"/>
        </w:numPr>
        <w:spacing w:after="40" w:before="40"/>
      </w:pPr>
      <w:r>
        <w:rPr>
          <w:rFonts w:ascii="Calibri" w:cs="Calibri" w:eastAsia="Calibri" w:hAnsi="Calibri"/>
          <w:b w:val="false"/>
          <w:bCs w:val="false"/>
          <w:sz w:val="22"/>
          <w:szCs w:val="22"/>
        </w:rPr>
        <w:t xml:space="preserve">Custom ML correlation models configured within 24 hours of kickoff</w:t>
      </w:r>
    </w:p>
    <w:p>
      <w:pPr>
        <w:pStyle w:val="ListParagraph"/>
        <w:numPr>
          <w:ilvl w:val="0"/>
          <w:numId w:val="2"/>
        </w:numPr>
        <w:spacing w:after="40" w:before="40"/>
      </w:pPr>
      <w:r>
        <w:rPr>
          <w:rFonts w:ascii="Calibri" w:cs="Calibri" w:eastAsia="Calibri" w:hAnsi="Calibri"/>
          <w:b w:val="false"/>
          <w:bCs w:val="false"/>
          <w:sz w:val="22"/>
          <w:szCs w:val="22"/>
        </w:rPr>
        <w:t xml:space="preserve">Playback emails sent within 24 hours of each session with recorded outcomes</w:t>
      </w:r>
    </w:p>
    <w:p>
      <w:pPr>
        <w:pStyle w:val="ListParagraph"/>
        <w:numPr>
          <w:ilvl w:val="0"/>
          <w:numId w:val="2"/>
        </w:numPr>
        <w:spacing w:after="40" w:before="40"/>
      </w:pPr>
      <w:r>
        <w:rPr>
          <w:rFonts w:ascii="Calibri" w:cs="Calibri" w:eastAsia="Calibri" w:hAnsi="Calibri"/>
          <w:b w:val="false"/>
          <w:bCs w:val="false"/>
          <w:sz w:val="22"/>
          <w:szCs w:val="22"/>
        </w:rPr>
        <w:t xml:space="preserve">POV outcomes report delivered within 3 business days of wrap-up session</w:t>
      </w:r>
    </w:p>
    <w:p>
      <w:pPr>
        <w:spacing w:after="40" w:before="80"/>
      </w:pPr>
    </w:p>
    <w:p>
      <w:pPr>
        <w:pStyle w:val="Heading2"/>
        <w:spacing w:after="80" w:before="240"/>
      </w:pPr>
      <w:r>
        <w:rPr>
          <w:rFonts w:ascii="Calibri" w:cs="Calibri" w:eastAsia="Calibri" w:hAnsi="Calibri"/>
          <w:b/>
          <w:bCs/>
          <w:color w:val="007B83"/>
          <w:sz w:val="26"/>
          <w:szCs w:val="26"/>
        </w:rPr>
        <w:t xml:space="preserve">Guardrails</w:t>
      </w:r>
    </w:p>
    <w:p>
      <w:pPr>
        <w:pStyle w:val="ListParagraph"/>
        <w:numPr>
          <w:ilvl w:val="0"/>
          <w:numId w:val="2"/>
        </w:numPr>
        <w:spacing w:after="40" w:before="40"/>
      </w:pPr>
      <w:r>
        <w:rPr>
          <w:rFonts w:ascii="Calibri" w:cs="Calibri" w:eastAsia="Calibri" w:hAnsi="Calibri"/>
          <w:b w:val="false"/>
          <w:bCs w:val="false"/>
          <w:sz w:val="22"/>
          <w:szCs w:val="22"/>
        </w:rPr>
        <w:t xml:space="preserve">POV duration not to exceed 2 calendar weeks; extensions by exception only</w:t>
      </w:r>
    </w:p>
    <w:p>
      <w:pPr>
        <w:pStyle w:val="ListParagraph"/>
        <w:numPr>
          <w:ilvl w:val="0"/>
          <w:numId w:val="2"/>
        </w:numPr>
        <w:spacing w:after="40" w:before="40"/>
      </w:pPr>
      <w:r>
        <w:rPr>
          <w:rFonts w:ascii="Calibri" w:cs="Calibri" w:eastAsia="Calibri" w:hAnsi="Calibri"/>
          <w:b w:val="false"/>
          <w:bCs w:val="false"/>
          <w:sz w:val="22"/>
          <w:szCs w:val="22"/>
        </w:rPr>
        <w:t xml:space="preserve">Alert source volumes and configurations will not be modified during the POV</w:t>
      </w:r>
    </w:p>
    <w:p>
      <w:pPr>
        <w:pStyle w:val="ListParagraph"/>
        <w:numPr>
          <w:ilvl w:val="0"/>
          <w:numId w:val="2"/>
        </w:numPr>
        <w:spacing w:after="40" w:before="40"/>
      </w:pPr>
      <w:r>
        <w:rPr>
          <w:rFonts w:ascii="Calibri" w:cs="Calibri" w:eastAsia="Calibri" w:hAnsi="Calibri"/>
          <w:b w:val="false"/>
          <w:bCs w:val="false"/>
          <w:sz w:val="22"/>
          <w:szCs w:val="22"/>
        </w:rPr>
        <w:t xml:space="preserve">POV runs on current configuration of event data — tuning occurs post-POV if commercialised</w:t>
      </w:r>
    </w:p>
    <w:p>
      <w:pPr>
        <w:pBdr>
          <w:bottom w:val="single" w:color="007B83" w:sz="4" w:space="1"/>
        </w:pBdr>
        <w:spacing w:after="120" w:before="120"/>
      </w:pPr>
    </w:p>
    <w:p>
      <w:pPr>
        <w:pStyle w:val="Heading1"/>
        <w:spacing w:after="120" w:before="320"/>
      </w:pPr>
      <w:r>
        <w:rPr>
          <w:rFonts w:ascii="Calibri" w:cs="Calibri" w:eastAsia="Calibri" w:hAnsi="Calibri"/>
          <w:b/>
          <w:bCs/>
          <w:color w:val="1B2A4A"/>
          <w:sz w:val="32"/>
          <w:szCs w:val="32"/>
        </w:rPr>
        <w:t xml:space="preserve">8. POV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Organisation</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[Customer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Customer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POV Champion / IT Infra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Primary technical decision-maker; validates use cases</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[Customer Name]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Customer</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NOC/Operations Engineer</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Executes outage simulation; validates Insights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[Customer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Customer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ITSM/ServiceNow Admin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Confirms CMDB integration and ticket enrichment</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[LM Engineer]</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LogicMonitor</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POV Engineer</w:t>
            </w:r>
          </w:p>
        </w:tc>
        <w:tc>
          <w:tcPr>
            <w:tcW w:type="dxa" w:w="2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Configures Edwin AI, builds ML models, leads sessions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[LM 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LogicMonitor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Account Executive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Commercial ownership, escalation point</w:t>
            </w:r>
          </w:p>
        </w:tc>
      </w:tr>
    </w:tbl>
    <w:p>
      <w:pPr>
        <w:pBdr>
          <w:bottom w:val="single" w:color="007B83" w:sz="4" w:space="1"/>
        </w:pBdr>
        <w:spacing w:after="120" w:before="120"/>
      </w:pPr>
    </w:p>
    <w:p>
      <w:pPr>
        <w:pStyle w:val="Heading1"/>
        <w:spacing w:after="120" w:before="320"/>
      </w:pPr>
      <w:r>
        <w:rPr>
          <w:rFonts w:ascii="Calibri" w:cs="Calibri" w:eastAsia="Calibri" w:hAnsi="Calibri"/>
          <w:b/>
          <w:bCs/>
          <w:color w:val="1B2A4A"/>
          <w:sz w:val="32"/>
          <w:szCs w:val="32"/>
        </w:rPr>
        <w:t xml:space="preserve">9. Appendix – Edwin AI Capability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Capability Module</w:t>
            </w:r>
          </w:p>
        </w:tc>
        <w:tc>
          <w:tcPr>
            <w:tcW w:type="dxa" w:w="3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Calibri" w:cs="Calibri" w:eastAsia="Calibri" w:hAnsi="Calibri"/>
                <w:b/>
                <w:bCs/>
                <w:color w:val="FFFFFF"/>
                <w:sz w:val="20"/>
                <w:szCs w:val="20"/>
              </w:rPr>
              <w:t xml:space="preserve">Relevant Use Case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Event Intelligence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Real-time correlation, deduplication, and ML enrichment of alerts across hybrid IT; ITSM sync, AI tagging, third-party ingestion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Use Case 1: Noise Reduction</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Agentic AI Summaries</w:t>
            </w:r>
          </w:p>
        </w:tc>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Plain-language incident summaries generated automatically on Insight creation; contextualises technical alerts for all stakeholder levels</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Use Case 1, 2,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Agentic AI RCA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Causal chain tracing across correlated data, patterns, and change history; identifies root cause and recommends ranked remediations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Use Case 2, 3</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AI Automation</w:t>
            </w:r>
          </w:p>
        </w:tc>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Playbook generation and execution; self-healing remediation; autonomous Tier 1 resolution without human handoff</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Use Case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Ecosystem Integration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3,000+ connectors spanning observability, APM, security, CMDB; ServiceNow bi-directional integration with CMDB enrichment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Use Case 1, 3</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Adaptive Correlation</w:t>
            </w:r>
          </w:p>
        </w:tc>
        <w:tc>
          <w:tcPr>
            <w:tcW w:type="dxa" w:w="3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User-defined correlation models targeting alert data and enriched CMDB data; auto-reclustering when optimal grouping changes</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alibri" w:cs="Calibri" w:eastAsia="Calibri" w:hAnsi="Calibri"/>
                <w:sz w:val="20"/>
                <w:szCs w:val="20"/>
              </w:rPr>
              <w:t xml:space="preserve">Use Case 1, 3</w:t>
            </w:r>
          </w:p>
        </w:tc>
      </w:tr>
    </w:tbl>
    <w:p>
      <w:pPr>
        <w:spacing w:after="80" w:before="400"/>
      </w:pPr>
    </w:p>
    <w:p>
      <w:pPr>
        <w:jc w:val="center"/>
      </w:pPr>
      <w:r>
        <w:rPr>
          <w:rFonts w:ascii="Calibri" w:cs="Calibri" w:eastAsia="Calibri" w:hAnsi="Calibri"/>
          <w:color w:val="9BA8B0"/>
          <w:sz w:val="18"/>
          <w:szCs w:val="18"/>
        </w:rPr>
        <w:t xml:space="preserve">Document Classification: Confidential  |  LogicMonitor Edwin AI POV Plan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B83" w:sz="4" w:space="1"/>
      </w:pBdr>
      <w:jc w:val="right"/>
    </w:pPr>
    <w:r>
      <w:rPr>
        <w:rFonts w:ascii="Calibri" w:cs="Calibri" w:eastAsia="Calibri" w:hAnsi="Calibri"/>
        <w:color w:val="6B7F8E"/>
        <w:sz w:val="18"/>
        <w:szCs w:val="18"/>
      </w:rPr>
      <w:t xml:space="preserve">Page </w:t>
    </w:r>
    <w:r>
      <w:rPr>
        <w:rFonts w:ascii="Calibri" w:cs="Calibri" w:eastAsia="Calibri" w:hAnsi="Calibri"/>
        <w:color w:val="6B7F8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83" w:sz="4" w:space="1"/>
      </w:pBdr>
    </w:pPr>
    <w:r>
      <w:rPr>
        <w:rFonts w:ascii="Calibri" w:cs="Calibri" w:eastAsia="Calibri" w:hAnsi="Calibri"/>
        <w:color w:val="6B7F8E"/>
        <w:sz w:val="18"/>
        <w:szCs w:val="18"/>
      </w:rPr>
      <w:t xml:space="preserve">LogicMonitor Edwin AI  |  Proof of Value Plan</w:t>
    </w:r>
    <w:r>
      <w:rPr>
        <w:rFonts w:ascii="Calibri" w:cs="Calibri" w:eastAsia="Calibri" w:hAnsi="Calibri"/>
        <w:b/>
        <w:bCs/>
        <w:color w:val="C8922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007B8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2026-03-31T23:38:58.538Z</dcterms:created>
  <dcterms:modified xsi:type="dcterms:W3CDTF">2026-03-31T23:38:58.539Z</dcterms:modified>
</cp:coreProperties>
</file>

<file path=docProps/custom.xml><?xml version="1.0" encoding="utf-8"?>
<Properties xmlns="http://schemas.openxmlformats.org/officeDocument/2006/custom-properties" xmlns:vt="http://schemas.openxmlformats.org/officeDocument/2006/docPropsVTypes"/>
</file>