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ENTERPRISE INFRASTRUCTURE PROCEDURE MANUAL</w:t>
      </w:r>
    </w:p>
    <w:p>
      <w:pPr>
        <w:spacing w:after="200" w:before="200"/>
        <w:jc w:val="center"/>
      </w:pPr>
      <w:r>
        <w:rPr>
          <w:sz w:val="26"/>
          <w:szCs w:val="26"/>
        </w:rPr>
        <w:t xml:space="preserve">In-Place Upgrade Procedure:</w:t>
      </w:r>
    </w:p>
    <w:p>
      <w:pPr>
        <w:jc w:val="center"/>
      </w:pPr>
      <w:r>
        <w:rPr>
          <w:b/>
          <w:bCs/>
          <w:color w:val="2E5395"/>
          <w:sz w:val="26"/>
          <w:szCs w:val="26"/>
        </w:rPr>
        <w:t xml:space="preserve">Windows Server 2016 → Windows Server 2022</w:t>
      </w:r>
    </w:p>
    <w:p>
      <w:pPr>
        <w:spacing w:after="400"/>
        <w:jc w:val="center"/>
      </w:pPr>
      <w:r>
        <w:rPr>
          <w:b/>
          <w:bCs/>
          <w:color w:val="2E5395"/>
          <w:sz w:val="26"/>
          <w:szCs w:val="26"/>
        </w:rPr>
        <w:t xml:space="preserve">SQL Server 2016 → SQL Server 2022</w:t>
      </w:r>
    </w:p>
    <w:p>
      <w:pPr>
        <w:spacing w:before="800"/>
        <w:jc w:val="center"/>
      </w:pPr>
      <w:r>
        <w:rPr>
          <w:i/>
          <w:iCs/>
          <w:sz w:val="22"/>
          <w:szCs w:val="22"/>
        </w:rPr>
        <w:t xml:space="preserve">Standard Operating Procedure (SOP)</w:t>
      </w:r>
    </w:p>
    <w:p>
      <w:pPr>
        <w:jc w:val="center"/>
      </w:pPr>
      <w:r>
        <w:rPr>
          <w:i/>
          <w:iCs/>
          <w:sz w:val="20"/>
          <w:szCs w:val="20"/>
        </w:rPr>
        <w:t xml:space="preserve">Prepared for CAB Approval, Implementation, DR, and Audit &amp; Compliance Review</w:t>
      </w:r>
    </w:p>
    <w:p>
      <w:pPr>
        <w:spacing w:after="1200"/>
      </w:pPr>
    </w:p>
    <w:p>
      <w:pPr>
        <w:jc w:val="center"/>
      </w:pPr>
      <w:r>
        <w:rPr>
          <w:b/>
          <w:bCs/>
          <w:color w:val="C0392B"/>
          <w:sz w:val="20"/>
          <w:szCs w:val="20"/>
        </w:rPr>
        <w:t xml:space="preserve">Document Classification: INTERNAL — CONFIDENTIAL</w:t>
      </w:r>
    </w:p>
    <w:p>
      <w:pPr>
        <w:jc w:val="center"/>
      </w:pPr>
      <w:r>
        <w:rPr>
          <w:sz w:val="20"/>
          <w:szCs w:val="20"/>
        </w:rPr>
        <w:t xml:space="preserve">[Organization Name / Logo Placeholder]</w:t>
      </w:r>
    </w:p>
    <w:p>
      <w:pPr>
        <w:jc w:val="center"/>
      </w:pPr>
      <w:r>
        <w:rPr>
          <w:sz w:val="20"/>
          <w:szCs w:val="20"/>
        </w:rPr>
        <w:t xml:space="preserve">Document Owner: [Infrastructure Engineering / DBA Platform Team]</w:t>
      </w:r>
    </w:p>
    <w:p>
      <w:pPr>
        <w:jc w:val="center"/>
      </w:pPr>
      <w:r>
        <w:rPr>
          <w:sz w:val="20"/>
          <w:szCs w:val="20"/>
        </w:rPr>
        <w:t xml:space="preserve">Effective Date: [DD-MMM-YYYY]      Version: 1.0</w:t>
      </w:r>
    </w:p>
    <w:p>
      <w:r>
        <w:br w:type="page"/>
      </w:r>
    </w:p>
    <w:p>
      <w:pPr>
        <w:pStyle w:val="Heading1"/>
        <w:spacing w:after="200" w:before="400"/>
      </w:pPr>
      <w:r>
        <w:t xml:space="preserve">Document Control</w:t>
      </w:r>
    </w:p>
    <w:p>
      <w:pPr>
        <w:pStyle w:val="Heading2"/>
        <w:spacing w:after="150" w:before="300"/>
      </w:pPr>
      <w:r>
        <w:t xml:space="preserve">Version History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200"/>
        <w:gridCol w:w="1800"/>
      </w:tblGrid>
      <w:tr>
        <w:trPr>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Date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Author</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Description of Change</w:t>
            </w:r>
          </w:p>
        </w:tc>
        <w:tc>
          <w:tcPr>
            <w:tcW w:type="dxa" w:w="1800"/>
            <w:shd w:fill="1F3864" w:val="clear"/>
            <w:tcMar>
              <w:top w:type="dxa" w:w="80"/>
              <w:left w:type="dxa" w:w="100"/>
              <w:bottom w:type="dxa" w:w="80"/>
              <w:right w:type="dxa" w:w="100"/>
            </w:tcMar>
            <w:vAlign w:val="center"/>
          </w:tcPr>
          <w:p>
            <w:r>
              <w:rPr>
                <w:b/>
                <w:bCs/>
                <w:color w:val="FFFFFF"/>
                <w:sz w:val="20"/>
                <w:szCs w:val="20"/>
              </w:rPr>
              <w:t xml:space="preserve">Approved By</w:t>
            </w:r>
          </w:p>
        </w:tc>
      </w:tr>
      <w:tr>
        <w:tc>
          <w:tcPr>
            <w:tcW w:type="dxa" w:w="1200"/>
            <w:tcMar>
              <w:top w:type="dxa" w:w="80"/>
              <w:left w:type="dxa" w:w="100"/>
              <w:bottom w:type="dxa" w:w="80"/>
              <w:right w:type="dxa" w:w="100"/>
            </w:tcMar>
          </w:tcPr>
          <w:p>
            <w:r>
              <w:rPr>
                <w:sz w:val="20"/>
                <w:szCs w:val="20"/>
              </w:rPr>
              <w:t xml:space="preserve">0.1</w:t>
            </w:r>
          </w:p>
        </w:tc>
        <w:tc>
          <w:tcPr>
            <w:tcW w:type="dxa" w:w="1600"/>
            <w:tcMar>
              <w:top w:type="dxa" w:w="80"/>
              <w:left w:type="dxa" w:w="100"/>
              <w:bottom w:type="dxa" w:w="80"/>
              <w:right w:type="dxa" w:w="100"/>
            </w:tcMar>
          </w:tcPr>
          <w:p>
            <w:r>
              <w:rPr>
                <w:sz w:val="20"/>
                <w:szCs w:val="20"/>
              </w:rPr>
              <w:t xml:space="preserve">[DD-MMM-YYYY]</w:t>
            </w:r>
          </w:p>
        </w:tc>
        <w:tc>
          <w:tcPr>
            <w:tcW w:type="dxa" w:w="2200"/>
            <w:tcMar>
              <w:top w:type="dxa" w:w="80"/>
              <w:left w:type="dxa" w:w="100"/>
              <w:bottom w:type="dxa" w:w="80"/>
              <w:right w:type="dxa" w:w="100"/>
            </w:tcMar>
          </w:tcPr>
          <w:p>
            <w:r>
              <w:rPr>
                <w:sz w:val="20"/>
                <w:szCs w:val="20"/>
              </w:rPr>
              <w:t xml:space="preserve">[Author Name]</w:t>
            </w:r>
          </w:p>
        </w:tc>
        <w:tc>
          <w:tcPr>
            <w:tcW w:type="dxa" w:w="4200"/>
            <w:tcMar>
              <w:top w:type="dxa" w:w="80"/>
              <w:left w:type="dxa" w:w="100"/>
              <w:bottom w:type="dxa" w:w="80"/>
              <w:right w:type="dxa" w:w="100"/>
            </w:tcMar>
          </w:tcPr>
          <w:p>
            <w:r>
              <w:rPr>
                <w:sz w:val="20"/>
                <w:szCs w:val="20"/>
              </w:rPr>
              <w:t xml:space="preserve">Initial draft for internal review</w:t>
            </w:r>
          </w:p>
        </w:tc>
        <w:tc>
          <w:tcPr>
            <w:tcW w:type="dxa" w:w="1800"/>
            <w:tcMar>
              <w:top w:type="dxa" w:w="80"/>
              <w:left w:type="dxa" w:w="100"/>
              <w:bottom w:type="dxa" w:w="80"/>
              <w:right w:type="dxa" w:w="100"/>
            </w:tcMar>
          </w:tcPr>
          <w:p>
            <w:r>
              <w:rPr>
                <w:sz w:val="20"/>
                <w:szCs w:val="20"/>
              </w:rPr>
              <w:t xml:space="preserve">—</w:t>
            </w:r>
          </w:p>
        </w:tc>
      </w:tr>
      <w:tr>
        <w:tc>
          <w:tcPr>
            <w:tcW w:type="dxa" w:w="1200"/>
            <w:shd w:fill="F2F2F2" w:val="clear"/>
            <w:tcMar>
              <w:top w:type="dxa" w:w="80"/>
              <w:left w:type="dxa" w:w="100"/>
              <w:bottom w:type="dxa" w:w="80"/>
              <w:right w:type="dxa" w:w="100"/>
            </w:tcMar>
          </w:tcPr>
          <w:p>
            <w:r>
              <w:rPr>
                <w:sz w:val="20"/>
                <w:szCs w:val="20"/>
              </w:rPr>
              <w:t xml:space="preserve">0.5</w:t>
            </w:r>
          </w:p>
        </w:tc>
        <w:tc>
          <w:tcPr>
            <w:tcW w:type="dxa" w:w="1600"/>
            <w:shd w:fill="F2F2F2" w:val="clear"/>
            <w:tcMar>
              <w:top w:type="dxa" w:w="80"/>
              <w:left w:type="dxa" w:w="100"/>
              <w:bottom w:type="dxa" w:w="80"/>
              <w:right w:type="dxa" w:w="100"/>
            </w:tcMar>
          </w:tcPr>
          <w:p>
            <w:r>
              <w:rPr>
                <w:sz w:val="20"/>
                <w:szCs w:val="20"/>
              </w:rPr>
              <w:t xml:space="preserve">[DD-MMM-YYYY]</w:t>
            </w:r>
          </w:p>
        </w:tc>
        <w:tc>
          <w:tcPr>
            <w:tcW w:type="dxa" w:w="2200"/>
            <w:shd w:fill="F2F2F2" w:val="clear"/>
            <w:tcMar>
              <w:top w:type="dxa" w:w="80"/>
              <w:left w:type="dxa" w:w="100"/>
              <w:bottom w:type="dxa" w:w="80"/>
              <w:right w:type="dxa" w:w="100"/>
            </w:tcMar>
          </w:tcPr>
          <w:p>
            <w:r>
              <w:rPr>
                <w:sz w:val="20"/>
                <w:szCs w:val="20"/>
              </w:rPr>
              <w:t xml:space="preserve">[Author Name]</w:t>
            </w:r>
          </w:p>
        </w:tc>
        <w:tc>
          <w:tcPr>
            <w:tcW w:type="dxa" w:w="4200"/>
            <w:shd w:fill="F2F2F2" w:val="clear"/>
            <w:tcMar>
              <w:top w:type="dxa" w:w="80"/>
              <w:left w:type="dxa" w:w="100"/>
              <w:bottom w:type="dxa" w:w="80"/>
              <w:right w:type="dxa" w:w="100"/>
            </w:tcMar>
          </w:tcPr>
          <w:p>
            <w:r>
              <w:rPr>
                <w:sz w:val="20"/>
                <w:szCs w:val="20"/>
              </w:rPr>
              <w:t xml:space="preserve">Incorporated DBA and Infra SME feedback</w:t>
            </w:r>
          </w:p>
        </w:tc>
        <w:tc>
          <w:tcPr>
            <w:tcW w:type="dxa" w:w="1800"/>
            <w:shd w:fill="F2F2F2" w:val="clear"/>
            <w:tcMar>
              <w:top w:type="dxa" w:w="80"/>
              <w:left w:type="dxa" w:w="100"/>
              <w:bottom w:type="dxa" w:w="80"/>
              <w:right w:type="dxa" w:w="100"/>
            </w:tcMar>
          </w:tcPr>
          <w:p>
            <w:r>
              <w:rPr>
                <w:sz w:val="20"/>
                <w:szCs w:val="20"/>
              </w:rPr>
              <w:t xml:space="preserve">—</w:t>
            </w:r>
          </w:p>
        </w:tc>
      </w:tr>
      <w:tr>
        <w:tc>
          <w:tcPr>
            <w:tcW w:type="dxa" w:w="1200"/>
            <w:tcMar>
              <w:top w:type="dxa" w:w="80"/>
              <w:left w:type="dxa" w:w="100"/>
              <w:bottom w:type="dxa" w:w="80"/>
              <w:right w:type="dxa" w:w="100"/>
            </w:tcMar>
          </w:tcPr>
          <w:p>
            <w:r>
              <w:rPr>
                <w:sz w:val="20"/>
                <w:szCs w:val="20"/>
              </w:rPr>
              <w:t xml:space="preserve">1.0</w:t>
            </w:r>
          </w:p>
        </w:tc>
        <w:tc>
          <w:tcPr>
            <w:tcW w:type="dxa" w:w="1600"/>
            <w:tcMar>
              <w:top w:type="dxa" w:w="80"/>
              <w:left w:type="dxa" w:w="100"/>
              <w:bottom w:type="dxa" w:w="80"/>
              <w:right w:type="dxa" w:w="100"/>
            </w:tcMar>
          </w:tcPr>
          <w:p>
            <w:r>
              <w:rPr>
                <w:sz w:val="20"/>
                <w:szCs w:val="20"/>
              </w:rPr>
              <w:t xml:space="preserve">[DD-MMM-YYYY]</w:t>
            </w:r>
          </w:p>
        </w:tc>
        <w:tc>
          <w:tcPr>
            <w:tcW w:type="dxa" w:w="2200"/>
            <w:tcMar>
              <w:top w:type="dxa" w:w="80"/>
              <w:left w:type="dxa" w:w="100"/>
              <w:bottom w:type="dxa" w:w="80"/>
              <w:right w:type="dxa" w:w="100"/>
            </w:tcMar>
          </w:tcPr>
          <w:p>
            <w:r>
              <w:rPr>
                <w:sz w:val="20"/>
                <w:szCs w:val="20"/>
              </w:rPr>
              <w:t xml:space="preserve">[Author Name]</w:t>
            </w:r>
          </w:p>
        </w:tc>
        <w:tc>
          <w:tcPr>
            <w:tcW w:type="dxa" w:w="4200"/>
            <w:tcMar>
              <w:top w:type="dxa" w:w="80"/>
              <w:left w:type="dxa" w:w="100"/>
              <w:bottom w:type="dxa" w:w="80"/>
              <w:right w:type="dxa" w:w="100"/>
            </w:tcMar>
          </w:tcPr>
          <w:p>
            <w:r>
              <w:rPr>
                <w:sz w:val="20"/>
                <w:szCs w:val="20"/>
              </w:rPr>
              <w:t xml:space="preserve">Approved baseline for CAB submission</w:t>
            </w:r>
          </w:p>
        </w:tc>
        <w:tc>
          <w:tcPr>
            <w:tcW w:type="dxa" w:w="1800"/>
            <w:tcMar>
              <w:top w:type="dxa" w:w="80"/>
              <w:left w:type="dxa" w:w="100"/>
              <w:bottom w:type="dxa" w:w="80"/>
              <w:right w:type="dxa" w:w="100"/>
            </w:tcMar>
          </w:tcPr>
          <w:p>
            <w:r>
              <w:rPr>
                <w:sz w:val="20"/>
                <w:szCs w:val="20"/>
              </w:rPr>
              <w:t xml:space="preserve">[CAB Chair / Manager]</w:t>
            </w:r>
          </w:p>
        </w:tc>
      </w:tr>
    </w:tbl>
    <w:p>
      <w:pPr>
        <w:spacing w:after="120"/>
      </w:pPr>
    </w:p>
    <w:p>
      <w:pPr>
        <w:pStyle w:val="Heading2"/>
        <w:spacing w:after="150" w:before="300"/>
      </w:pPr>
      <w:r>
        <w:t xml:space="preserve">Document Approval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400"/>
        <w:gridCol w:w="22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Signature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Date</w:t>
            </w:r>
          </w:p>
        </w:tc>
      </w:tr>
      <w:tr>
        <w:tc>
          <w:tcPr>
            <w:tcW w:type="dxa" w:w="3200"/>
            <w:tcMar>
              <w:top w:type="dxa" w:w="80"/>
              <w:left w:type="dxa" w:w="100"/>
              <w:bottom w:type="dxa" w:w="80"/>
              <w:right w:type="dxa" w:w="100"/>
            </w:tcMar>
          </w:tcPr>
          <w:p>
            <w:r>
              <w:rPr>
                <w:sz w:val="20"/>
                <w:szCs w:val="20"/>
              </w:rPr>
              <w:t xml:space="preserve">Infrastructure Engineering Lead</w:t>
            </w:r>
          </w:p>
        </w:tc>
        <w:tc>
          <w:tcPr>
            <w:tcW w:type="dxa" w:w="3200"/>
            <w:tcMar>
              <w:top w:type="dxa" w:w="80"/>
              <w:left w:type="dxa" w:w="100"/>
              <w:bottom w:type="dxa" w:w="80"/>
              <w:right w:type="dxa" w:w="100"/>
            </w:tcMar>
          </w:tcPr>
          <w:p>
            <w:r>
              <w:rPr>
                <w:sz w:val="20"/>
                <w:szCs w:val="20"/>
              </w:rPr>
              <w:t xml:space="preserve">[Name]</w:t>
            </w:r>
          </w:p>
        </w:tc>
        <w:tc>
          <w:tcPr>
            <w:tcW w:type="dxa" w:w="24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[Date]</w:t>
            </w:r>
          </w:p>
        </w:tc>
      </w:tr>
      <w:tr>
        <w:tc>
          <w:tcPr>
            <w:tcW w:type="dxa" w:w="3200"/>
            <w:shd w:fill="F2F2F2" w:val="clear"/>
            <w:tcMar>
              <w:top w:type="dxa" w:w="80"/>
              <w:left w:type="dxa" w:w="100"/>
              <w:bottom w:type="dxa" w:w="80"/>
              <w:right w:type="dxa" w:w="100"/>
            </w:tcMar>
          </w:tcPr>
          <w:p>
            <w:r>
              <w:rPr>
                <w:sz w:val="20"/>
                <w:szCs w:val="20"/>
              </w:rPr>
              <w:t xml:space="preserve">Database Administration Lead</w:t>
            </w:r>
          </w:p>
        </w:tc>
        <w:tc>
          <w:tcPr>
            <w:tcW w:type="dxa" w:w="3200"/>
            <w:shd w:fill="F2F2F2" w:val="clear"/>
            <w:tcMar>
              <w:top w:type="dxa" w:w="80"/>
              <w:left w:type="dxa" w:w="100"/>
              <w:bottom w:type="dxa" w:w="80"/>
              <w:right w:type="dxa" w:w="100"/>
            </w:tcMar>
          </w:tcPr>
          <w:p>
            <w:r>
              <w:rPr>
                <w:sz w:val="20"/>
                <w:szCs w:val="20"/>
              </w:rPr>
              <w:t xml:space="preserve">[Name]</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[Date]</w:t>
            </w:r>
          </w:p>
        </w:tc>
      </w:tr>
      <w:tr>
        <w:tc>
          <w:tcPr>
            <w:tcW w:type="dxa" w:w="3200"/>
            <w:tcMar>
              <w:top w:type="dxa" w:w="80"/>
              <w:left w:type="dxa" w:w="100"/>
              <w:bottom w:type="dxa" w:w="80"/>
              <w:right w:type="dxa" w:w="100"/>
            </w:tcMar>
          </w:tcPr>
          <w:p>
            <w:r>
              <w:rPr>
                <w:sz w:val="20"/>
                <w:szCs w:val="20"/>
              </w:rPr>
              <w:t xml:space="preserve">Change Manager / CAB</w:t>
            </w:r>
          </w:p>
        </w:tc>
        <w:tc>
          <w:tcPr>
            <w:tcW w:type="dxa" w:w="3200"/>
            <w:tcMar>
              <w:top w:type="dxa" w:w="80"/>
              <w:left w:type="dxa" w:w="100"/>
              <w:bottom w:type="dxa" w:w="80"/>
              <w:right w:type="dxa" w:w="100"/>
            </w:tcMar>
          </w:tcPr>
          <w:p>
            <w:r>
              <w:rPr>
                <w:sz w:val="20"/>
                <w:szCs w:val="20"/>
              </w:rPr>
              <w:t xml:space="preserve">[Name]</w:t>
            </w:r>
          </w:p>
        </w:tc>
        <w:tc>
          <w:tcPr>
            <w:tcW w:type="dxa" w:w="24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[Date]</w:t>
            </w:r>
          </w:p>
        </w:tc>
      </w:tr>
      <w:tr>
        <w:tc>
          <w:tcPr>
            <w:tcW w:type="dxa" w:w="3200"/>
            <w:shd w:fill="F2F2F2" w:val="clear"/>
            <w:tcMar>
              <w:top w:type="dxa" w:w="80"/>
              <w:left w:type="dxa" w:w="100"/>
              <w:bottom w:type="dxa" w:w="80"/>
              <w:right w:type="dxa" w:w="100"/>
            </w:tcMar>
          </w:tcPr>
          <w:p>
            <w:r>
              <w:rPr>
                <w:sz w:val="20"/>
                <w:szCs w:val="20"/>
              </w:rPr>
              <w:t xml:space="preserve">Application Owner / Business Sign-off</w:t>
            </w:r>
          </w:p>
        </w:tc>
        <w:tc>
          <w:tcPr>
            <w:tcW w:type="dxa" w:w="3200"/>
            <w:shd w:fill="F2F2F2" w:val="clear"/>
            <w:tcMar>
              <w:top w:type="dxa" w:w="80"/>
              <w:left w:type="dxa" w:w="100"/>
              <w:bottom w:type="dxa" w:w="80"/>
              <w:right w:type="dxa" w:w="100"/>
            </w:tcMar>
          </w:tcPr>
          <w:p>
            <w:r>
              <w:rPr>
                <w:sz w:val="20"/>
                <w:szCs w:val="20"/>
              </w:rPr>
              <w:t xml:space="preserve">[Name]</w:t>
            </w:r>
          </w:p>
        </w:tc>
        <w:tc>
          <w:tcPr>
            <w:tcW w:type="dxa" w:w="2400"/>
            <w:shd w:fill="F2F2F2" w:val="clear"/>
            <w:tcMar>
              <w:top w:type="dxa" w:w="80"/>
              <w:left w:type="dxa" w:w="100"/>
              <w:bottom w:type="dxa" w:w="80"/>
              <w:right w:type="dxa" w:w="100"/>
            </w:tcMar>
          </w:tcPr>
          <w:p>
            <w:r>
              <w:rPr>
                <w:sz w:val="20"/>
                <w:szCs w:val="20"/>
              </w:rPr>
              <w:t xml:space="preserve"/>
            </w:r>
          </w:p>
        </w:tc>
        <w:tc>
          <w:tcPr>
            <w:tcW w:type="dxa" w:w="2200"/>
            <w:shd w:fill="F2F2F2" w:val="clear"/>
            <w:tcMar>
              <w:top w:type="dxa" w:w="80"/>
              <w:left w:type="dxa" w:w="100"/>
              <w:bottom w:type="dxa" w:w="80"/>
              <w:right w:type="dxa" w:w="100"/>
            </w:tcMar>
          </w:tcPr>
          <w:p>
            <w:r>
              <w:rPr>
                <w:sz w:val="20"/>
                <w:szCs w:val="20"/>
              </w:rPr>
              <w:t xml:space="preserve">[Date]</w:t>
            </w:r>
          </w:p>
        </w:tc>
      </w:tr>
      <w:tr>
        <w:tc>
          <w:tcPr>
            <w:tcW w:type="dxa" w:w="3200"/>
            <w:tcMar>
              <w:top w:type="dxa" w:w="80"/>
              <w:left w:type="dxa" w:w="100"/>
              <w:bottom w:type="dxa" w:w="80"/>
              <w:right w:type="dxa" w:w="100"/>
            </w:tcMar>
          </w:tcPr>
          <w:p>
            <w:r>
              <w:rPr>
                <w:sz w:val="20"/>
                <w:szCs w:val="20"/>
              </w:rPr>
              <w:t xml:space="preserve">Security &amp; Compliance</w:t>
            </w:r>
          </w:p>
        </w:tc>
        <w:tc>
          <w:tcPr>
            <w:tcW w:type="dxa" w:w="3200"/>
            <w:tcMar>
              <w:top w:type="dxa" w:w="80"/>
              <w:left w:type="dxa" w:w="100"/>
              <w:bottom w:type="dxa" w:w="80"/>
              <w:right w:type="dxa" w:w="100"/>
            </w:tcMar>
          </w:tcPr>
          <w:p>
            <w:r>
              <w:rPr>
                <w:sz w:val="20"/>
                <w:szCs w:val="20"/>
              </w:rPr>
              <w:t xml:space="preserve">[Name]</w:t>
            </w:r>
          </w:p>
        </w:tc>
        <w:tc>
          <w:tcPr>
            <w:tcW w:type="dxa" w:w="24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[Date]</w:t>
            </w:r>
          </w:p>
        </w:tc>
      </w:tr>
    </w:tbl>
    <w:p>
      <w:pPr>
        <w:spacing w:after="120"/>
      </w:pPr>
    </w:p>
    <w:p>
      <w:pPr>
        <w:pStyle w:val="Heading2"/>
        <w:spacing w:after="150" w:before="300"/>
      </w:pPr>
      <w:r>
        <w:t xml:space="preserve">Distribution List</w:t>
      </w:r>
    </w:p>
    <w:p>
      <w:pPr>
        <w:pStyle w:val="ListParagraph"/>
        <w:numPr>
          <w:ilvl w:val="0"/>
          <w:numId w:val="2"/>
        </w:numPr>
        <w:spacing w:after="60"/>
      </w:pPr>
      <w:r>
        <w:t xml:space="preserve">Infrastructure Engineering</w:t>
      </w:r>
    </w:p>
    <w:p>
      <w:pPr>
        <w:pStyle w:val="ListParagraph"/>
        <w:numPr>
          <w:ilvl w:val="0"/>
          <w:numId w:val="2"/>
        </w:numPr>
        <w:spacing w:after="60"/>
      </w:pPr>
      <w:r>
        <w:t xml:space="preserve">Database Administration</w:t>
      </w:r>
    </w:p>
    <w:p>
      <w:pPr>
        <w:pStyle w:val="ListParagraph"/>
        <w:numPr>
          <w:ilvl w:val="0"/>
          <w:numId w:val="2"/>
        </w:numPr>
        <w:spacing w:after="60"/>
      </w:pPr>
      <w:r>
        <w:t xml:space="preserve">Change Management / CAB</w:t>
      </w:r>
    </w:p>
    <w:p>
      <w:pPr>
        <w:pStyle w:val="ListParagraph"/>
        <w:numPr>
          <w:ilvl w:val="0"/>
          <w:numId w:val="2"/>
        </w:numPr>
        <w:spacing w:after="60"/>
      </w:pPr>
      <w:r>
        <w:t xml:space="preserve">Operations / Service Desk (NOC)</w:t>
      </w:r>
    </w:p>
    <w:p>
      <w:pPr>
        <w:pStyle w:val="ListParagraph"/>
        <w:numPr>
          <w:ilvl w:val="0"/>
          <w:numId w:val="2"/>
        </w:numPr>
        <w:spacing w:after="60"/>
      </w:pPr>
      <w:r>
        <w:t xml:space="preserve">Disaster Recovery (DR) Team</w:t>
      </w:r>
    </w:p>
    <w:p>
      <w:pPr>
        <w:pStyle w:val="ListParagraph"/>
        <w:numPr>
          <w:ilvl w:val="0"/>
          <w:numId w:val="2"/>
        </w:numPr>
        <w:spacing w:after="60"/>
      </w:pPr>
      <w:r>
        <w:t xml:space="preserve">Audit &amp; Compliance</w:t>
      </w:r>
    </w:p>
    <w:p>
      <w:pPr>
        <w:pStyle w:val="ListParagraph"/>
        <w:numPr>
          <w:ilvl w:val="0"/>
          <w:numId w:val="2"/>
        </w:numPr>
        <w:spacing w:after="60"/>
      </w:pPr>
      <w:r>
        <w:t xml:space="preserve">Application / Business Owners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1.0 Purpose</w:t>
      </w:r>
    </w:p>
    <w:p>
      <w:pPr>
        <w:spacing w:after="150"/>
      </w:pPr>
      <w:r>
        <w:t xml:space="preserve">This document defines the standard, repeatable, and auditable procedure for performing an in-place operating system upgrade from Windows Server 2016 to Windows Server 2022, and an in-place database engine upgrade from SQL Server 2016 to SQL Server 2022, on production and non-production servers within the enterprise environment.</w:t>
      </w:r>
    </w:p>
    <w:p>
      <w:pPr>
        <w:spacing w:after="150"/>
      </w:pPr>
      <w:r>
        <w:t xml:space="preserve">The procedure is intended to eliminate ambiguity for engineers executing the change, to provide Change Advisory Board (CAB) reviewers with a complete risk and rollback picture, and to provide Audit &amp; Compliance with objective evidence that the change was performed in a controlled, tested, and reversible manner.</w:t>
      </w:r>
    </w:p>
    <w:p>
      <w:pPr>
        <w:pStyle w:val="Heading1"/>
        <w:spacing w:after="200" w:before="400"/>
      </w:pPr>
      <w:r>
        <w:t xml:space="preserve">2.0 Scope</w:t>
      </w:r>
    </w:p>
    <w:p>
      <w:pPr>
        <w:pStyle w:val="Heading2"/>
        <w:spacing w:after="150" w:before="300"/>
      </w:pPr>
      <w:r>
        <w:t xml:space="preserve">2.1 In Scope</w:t>
      </w:r>
    </w:p>
    <w:p>
      <w:pPr>
        <w:pStyle w:val="ListParagraph"/>
        <w:numPr>
          <w:ilvl w:val="0"/>
          <w:numId w:val="2"/>
        </w:numPr>
        <w:spacing w:after="60"/>
      </w:pPr>
      <w:r>
        <w:t xml:space="preserve">In-place upgrade of Windows Server 2016 (Standard/Datacenter, Core or GUI) to Windows Server 2022.</w:t>
      </w:r>
    </w:p>
    <w:p>
      <w:pPr>
        <w:pStyle w:val="ListParagraph"/>
        <w:numPr>
          <w:ilvl w:val="0"/>
          <w:numId w:val="2"/>
        </w:numPr>
        <w:spacing w:after="60"/>
      </w:pPr>
      <w:r>
        <w:t xml:space="preserve">In-place upgrade of SQL Server 2016 (Standard/Enterprise) to SQL Server 2022, including default and named instances.</w:t>
      </w:r>
    </w:p>
    <w:p>
      <w:pPr>
        <w:pStyle w:val="ListParagraph"/>
        <w:numPr>
          <w:ilvl w:val="0"/>
          <w:numId w:val="2"/>
        </w:numPr>
        <w:spacing w:after="60"/>
      </w:pPr>
      <w:r>
        <w:t xml:space="preserve">Single-instance, multi-instance, and SQL Server AlwaysOn Availability Group (AG) topologies.</w:t>
      </w:r>
    </w:p>
    <w:p>
      <w:pPr>
        <w:pStyle w:val="ListParagraph"/>
        <w:numPr>
          <w:ilvl w:val="0"/>
          <w:numId w:val="2"/>
        </w:numPr>
        <w:spacing w:after="60"/>
      </w:pPr>
      <w:r>
        <w:t xml:space="preserve">VMware-virtualized servers joined to Active Directory.</w:t>
      </w:r>
    </w:p>
    <w:p>
      <w:pPr>
        <w:pStyle w:val="ListParagraph"/>
        <w:numPr>
          <w:ilvl w:val="0"/>
          <w:numId w:val="2"/>
        </w:numPr>
        <w:spacing w:after="60"/>
      </w:pPr>
      <w:r>
        <w:t xml:space="preserve">Associated pre-checks, backups, validation, rollback, and sign-off activities.</w:t>
      </w:r>
    </w:p>
    <w:p>
      <w:pPr>
        <w:pStyle w:val="Heading2"/>
        <w:spacing w:after="150" w:before="300"/>
      </w:pPr>
      <w:r>
        <w:t xml:space="preserve">2.2 Out of Scope</w:t>
      </w:r>
    </w:p>
    <w:p>
      <w:pPr>
        <w:pStyle w:val="ListParagraph"/>
        <w:numPr>
          <w:ilvl w:val="0"/>
          <w:numId w:val="2"/>
        </w:numPr>
        <w:spacing w:after="60"/>
      </w:pPr>
      <w:r>
        <w:t xml:space="preserve">Migration to new hardware or a side-by-side (build-and-migrate) approach — refer to the separate Migration SOP.</w:t>
      </w:r>
    </w:p>
    <w:p>
      <w:pPr>
        <w:pStyle w:val="ListParagraph"/>
        <w:numPr>
          <w:ilvl w:val="0"/>
          <w:numId w:val="2"/>
        </w:numPr>
        <w:spacing w:after="60"/>
      </w:pPr>
      <w:r>
        <w:t xml:space="preserve">Upgrades of clients, application servers, or middleware not directly hosted on the upgraded server.</w:t>
      </w:r>
    </w:p>
    <w:p>
      <w:pPr>
        <w:pStyle w:val="ListParagraph"/>
        <w:numPr>
          <w:ilvl w:val="0"/>
          <w:numId w:val="2"/>
        </w:numPr>
        <w:spacing w:after="60"/>
      </w:pPr>
      <w:r>
        <w:t xml:space="preserve">Domain Controller role transfers or Active Directory schema upgrades (referenced only where they affect this procedure).</w:t>
      </w:r>
    </w:p>
    <w:p>
      <w:pPr>
        <w:pStyle w:val="ListParagraph"/>
        <w:numPr>
          <w:ilvl w:val="0"/>
          <w:numId w:val="2"/>
        </w:numPr>
        <w:spacing w:after="60"/>
      </w:pPr>
      <w:r>
        <w:t xml:space="preserve">Upgrades of SQL Server editions/features not licensed in the target environment (e.g., Big Data Clusters, discontinued in SQL Server 2019+).</w:t>
      </w:r>
    </w:p>
    <w:p>
      <w:pPr>
        <w:pStyle w:val="Heading1"/>
        <w:spacing w:after="200" w:before="400"/>
      </w:pPr>
      <w:r>
        <w:t xml:space="preserve">3.0 Target Audience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Audience</w:t>
            </w:r>
          </w:p>
        </w:tc>
        <w:tc>
          <w:tcPr>
            <w:tcW w:type="dxa" w:w="6800"/>
            <w:shd w:fill="1F3864" w:val="clear"/>
            <w:tcMar>
              <w:top w:type="dxa" w:w="80"/>
              <w:left w:type="dxa" w:w="100"/>
              <w:bottom w:type="dxa" w:w="80"/>
              <w:right w:type="dxa" w:w="100"/>
            </w:tcMar>
            <w:vAlign w:val="center"/>
          </w:tcPr>
          <w:p>
            <w:r>
              <w:rPr>
                <w:b/>
                <w:bCs/>
                <w:color w:val="FFFFFF"/>
                <w:sz w:val="20"/>
                <w:szCs w:val="20"/>
              </w:rPr>
              <w:t xml:space="preserve">Use of This Document</w:t>
            </w:r>
          </w:p>
        </w:tc>
      </w:tr>
      <w:tr>
        <w:tc>
          <w:tcPr>
            <w:tcW w:type="dxa" w:w="3200"/>
            <w:tcMar>
              <w:top w:type="dxa" w:w="80"/>
              <w:left w:type="dxa" w:w="100"/>
              <w:bottom w:type="dxa" w:w="80"/>
              <w:right w:type="dxa" w:w="100"/>
            </w:tcMar>
          </w:tcPr>
          <w:p>
            <w:r>
              <w:rPr>
                <w:sz w:val="20"/>
                <w:szCs w:val="20"/>
              </w:rPr>
              <w:t xml:space="preserve">Infrastructure Engineers</w:t>
            </w:r>
          </w:p>
        </w:tc>
        <w:tc>
          <w:tcPr>
            <w:tcW w:type="dxa" w:w="6800"/>
            <w:tcMar>
              <w:top w:type="dxa" w:w="80"/>
              <w:left w:type="dxa" w:w="100"/>
              <w:bottom w:type="dxa" w:w="80"/>
              <w:right w:type="dxa" w:w="100"/>
            </w:tcMar>
          </w:tcPr>
          <w:p>
            <w:r>
              <w:rPr>
                <w:sz w:val="20"/>
                <w:szCs w:val="20"/>
              </w:rPr>
              <w:t xml:space="preserve">Execute the Windows OS upgrade procedure end to end.</w:t>
            </w:r>
          </w:p>
        </w:tc>
      </w:tr>
      <w:tr>
        <w:tc>
          <w:tcPr>
            <w:tcW w:type="dxa" w:w="3200"/>
            <w:shd w:fill="F2F2F2" w:val="clear"/>
            <w:tcMar>
              <w:top w:type="dxa" w:w="80"/>
              <w:left w:type="dxa" w:w="100"/>
              <w:bottom w:type="dxa" w:w="80"/>
              <w:right w:type="dxa" w:w="100"/>
            </w:tcMar>
          </w:tcPr>
          <w:p>
            <w:r>
              <w:rPr>
                <w:sz w:val="20"/>
                <w:szCs w:val="20"/>
              </w:rPr>
              <w:t xml:space="preserve">Database Administrators (DBAs)</w:t>
            </w:r>
          </w:p>
        </w:tc>
        <w:tc>
          <w:tcPr>
            <w:tcW w:type="dxa" w:w="6800"/>
            <w:shd w:fill="F2F2F2" w:val="clear"/>
            <w:tcMar>
              <w:top w:type="dxa" w:w="80"/>
              <w:left w:type="dxa" w:w="100"/>
              <w:bottom w:type="dxa" w:w="80"/>
              <w:right w:type="dxa" w:w="100"/>
            </w:tcMar>
          </w:tcPr>
          <w:p>
            <w:r>
              <w:rPr>
                <w:sz w:val="20"/>
                <w:szCs w:val="20"/>
              </w:rPr>
              <w:t xml:space="preserve">Execute the SQL Server upgrade, pre-checks, and post-upgrade validation.</w:t>
            </w:r>
          </w:p>
        </w:tc>
      </w:tr>
      <w:tr>
        <w:tc>
          <w:tcPr>
            <w:tcW w:type="dxa" w:w="3200"/>
            <w:tcMar>
              <w:top w:type="dxa" w:w="80"/>
              <w:left w:type="dxa" w:w="100"/>
              <w:bottom w:type="dxa" w:w="80"/>
              <w:right w:type="dxa" w:w="100"/>
            </w:tcMar>
          </w:tcPr>
          <w:p>
            <w:r>
              <w:rPr>
                <w:sz w:val="20"/>
                <w:szCs w:val="20"/>
              </w:rPr>
              <w:t xml:space="preserve">Implementation / Delivery Teams</w:t>
            </w:r>
          </w:p>
        </w:tc>
        <w:tc>
          <w:tcPr>
            <w:tcW w:type="dxa" w:w="6800"/>
            <w:tcMar>
              <w:top w:type="dxa" w:w="80"/>
              <w:left w:type="dxa" w:w="100"/>
              <w:bottom w:type="dxa" w:w="80"/>
              <w:right w:type="dxa" w:w="100"/>
            </w:tcMar>
          </w:tcPr>
          <w:p>
            <w:r>
              <w:rPr>
                <w:sz w:val="20"/>
                <w:szCs w:val="20"/>
              </w:rPr>
              <w:t xml:space="preserve">Coordinate scheduling, resourcing, and execution sequencing.</w:t>
            </w:r>
          </w:p>
        </w:tc>
      </w:tr>
      <w:tr>
        <w:tc>
          <w:tcPr>
            <w:tcW w:type="dxa" w:w="3200"/>
            <w:shd w:fill="F2F2F2" w:val="clear"/>
            <w:tcMar>
              <w:top w:type="dxa" w:w="80"/>
              <w:left w:type="dxa" w:w="100"/>
              <w:bottom w:type="dxa" w:w="80"/>
              <w:right w:type="dxa" w:w="100"/>
            </w:tcMar>
          </w:tcPr>
          <w:p>
            <w:r>
              <w:rPr>
                <w:sz w:val="20"/>
                <w:szCs w:val="20"/>
              </w:rPr>
              <w:t xml:space="preserve">Change Management / CAB</w:t>
            </w:r>
          </w:p>
        </w:tc>
        <w:tc>
          <w:tcPr>
            <w:tcW w:type="dxa" w:w="6800"/>
            <w:shd w:fill="F2F2F2" w:val="clear"/>
            <w:tcMar>
              <w:top w:type="dxa" w:w="80"/>
              <w:left w:type="dxa" w:w="100"/>
              <w:bottom w:type="dxa" w:w="80"/>
              <w:right w:type="dxa" w:w="100"/>
            </w:tcMar>
          </w:tcPr>
          <w:p>
            <w:r>
              <w:rPr>
                <w:sz w:val="20"/>
                <w:szCs w:val="20"/>
              </w:rPr>
              <w:t xml:space="preserve">Review risk, rollback plan, and approve the change window.</w:t>
            </w:r>
          </w:p>
        </w:tc>
      </w:tr>
      <w:tr>
        <w:tc>
          <w:tcPr>
            <w:tcW w:type="dxa" w:w="3200"/>
            <w:tcMar>
              <w:top w:type="dxa" w:w="80"/>
              <w:left w:type="dxa" w:w="100"/>
              <w:bottom w:type="dxa" w:w="80"/>
              <w:right w:type="dxa" w:w="100"/>
            </w:tcMar>
          </w:tcPr>
          <w:p>
            <w:r>
              <w:rPr>
                <w:sz w:val="20"/>
                <w:szCs w:val="20"/>
              </w:rPr>
              <w:t xml:space="preserve">Operations / NOC</w:t>
            </w:r>
          </w:p>
        </w:tc>
        <w:tc>
          <w:tcPr>
            <w:tcW w:type="dxa" w:w="6800"/>
            <w:tcMar>
              <w:top w:type="dxa" w:w="80"/>
              <w:left w:type="dxa" w:w="100"/>
              <w:bottom w:type="dxa" w:w="80"/>
              <w:right w:type="dxa" w:w="100"/>
            </w:tcMar>
          </w:tcPr>
          <w:p>
            <w:r>
              <w:rPr>
                <w:sz w:val="20"/>
                <w:szCs w:val="20"/>
              </w:rPr>
              <w:t xml:space="preserve">Monitor the change window, respond to alerts, and execute escalation.</w:t>
            </w:r>
          </w:p>
        </w:tc>
      </w:tr>
      <w:tr>
        <w:tc>
          <w:tcPr>
            <w:tcW w:type="dxa" w:w="3200"/>
            <w:shd w:fill="F2F2F2" w:val="clear"/>
            <w:tcMar>
              <w:top w:type="dxa" w:w="80"/>
              <w:left w:type="dxa" w:w="100"/>
              <w:bottom w:type="dxa" w:w="80"/>
              <w:right w:type="dxa" w:w="100"/>
            </w:tcMar>
          </w:tcPr>
          <w:p>
            <w:r>
              <w:rPr>
                <w:sz w:val="20"/>
                <w:szCs w:val="20"/>
              </w:rPr>
              <w:t xml:space="preserve">Disaster Recovery (DR) Team</w:t>
            </w:r>
          </w:p>
        </w:tc>
        <w:tc>
          <w:tcPr>
            <w:tcW w:type="dxa" w:w="6800"/>
            <w:shd w:fill="F2F2F2" w:val="clear"/>
            <w:tcMar>
              <w:top w:type="dxa" w:w="80"/>
              <w:left w:type="dxa" w:w="100"/>
              <w:bottom w:type="dxa" w:w="80"/>
              <w:right w:type="dxa" w:w="100"/>
            </w:tcMar>
          </w:tcPr>
          <w:p>
            <w:r>
              <w:rPr>
                <w:sz w:val="20"/>
                <w:szCs w:val="20"/>
              </w:rPr>
              <w:t xml:space="preserve">Confirm DR/replication posture before and after the change.</w:t>
            </w:r>
          </w:p>
        </w:tc>
      </w:tr>
      <w:tr>
        <w:tc>
          <w:tcPr>
            <w:tcW w:type="dxa" w:w="3200"/>
            <w:tcMar>
              <w:top w:type="dxa" w:w="80"/>
              <w:left w:type="dxa" w:w="100"/>
              <w:bottom w:type="dxa" w:w="80"/>
              <w:right w:type="dxa" w:w="100"/>
            </w:tcMar>
          </w:tcPr>
          <w:p>
            <w:r>
              <w:rPr>
                <w:sz w:val="20"/>
                <w:szCs w:val="20"/>
              </w:rPr>
              <w:t xml:space="preserve">Audit &amp; Compliance</w:t>
            </w:r>
          </w:p>
        </w:tc>
        <w:tc>
          <w:tcPr>
            <w:tcW w:type="dxa" w:w="6800"/>
            <w:tcMar>
              <w:top w:type="dxa" w:w="80"/>
              <w:left w:type="dxa" w:w="100"/>
              <w:bottom w:type="dxa" w:w="80"/>
              <w:right w:type="dxa" w:w="100"/>
            </w:tcMar>
          </w:tcPr>
          <w:p>
            <w:r>
              <w:rPr>
                <w:sz w:val="20"/>
                <w:szCs w:val="20"/>
              </w:rPr>
              <w:t xml:space="preserve">Retain evidence of controlled execution for regulatory review.</w:t>
            </w:r>
          </w:p>
        </w:tc>
      </w:tr>
    </w:tbl>
    <w:p>
      <w:pPr>
        <w:pStyle w:val="Heading1"/>
        <w:spacing w:after="200" w:before="400"/>
      </w:pPr>
      <w:r>
        <w:t xml:space="preserve">4.0 Assumptions</w:t>
      </w:r>
    </w:p>
    <w:p>
      <w:pPr>
        <w:spacing w:after="150"/>
      </w:pPr>
      <w:r>
        <w:t xml:space="preserve">Unless explicitly stated otherwise, this manual assumes the following baseline environment. Where an environment differs, alternative guidance is called out in a Tip or Important box within the relevant section.</w:t>
      </w:r>
    </w:p>
    <w:p>
      <w:pPr>
        <w:pStyle w:val="ListParagraph"/>
        <w:numPr>
          <w:ilvl w:val="0"/>
          <w:numId w:val="2"/>
        </w:numPr>
        <w:spacing w:after="60"/>
      </w:pPr>
      <w:r>
        <w:t xml:space="preserve">Servers are virtualized on VMware vSphere (ESXi 7.0 U3 or later recommended for Windows Server 2022 and SQL Server 2022 support).</w:t>
      </w:r>
    </w:p>
    <w:p>
      <w:pPr>
        <w:pStyle w:val="ListParagraph"/>
        <w:numPr>
          <w:ilvl w:val="0"/>
          <w:numId w:val="2"/>
        </w:numPr>
        <w:spacing w:after="60"/>
      </w:pPr>
      <w:r>
        <w:t xml:space="preserve">Servers are domain-joined to an existing Active Directory forest/domain in a supported functional level.</w:t>
      </w:r>
    </w:p>
    <w:p>
      <w:pPr>
        <w:pStyle w:val="ListParagraph"/>
        <w:numPr>
          <w:ilvl w:val="0"/>
          <w:numId w:val="2"/>
        </w:numPr>
        <w:spacing w:after="60"/>
      </w:pPr>
      <w:r>
        <w:t xml:space="preserve">SQL Server is Standard or Enterprise edition; Express/Web edition environments follow the same steps with feature restrictions noted inline.</w:t>
      </w:r>
    </w:p>
    <w:p>
      <w:pPr>
        <w:pStyle w:val="ListParagraph"/>
        <w:numPr>
          <w:ilvl w:val="0"/>
          <w:numId w:val="2"/>
        </w:numPr>
        <w:spacing w:after="60"/>
      </w:pPr>
      <w:r>
        <w:t xml:space="preserve">SQL Server AlwaysOn Availability Groups or Failover Cluster Instances (FCI) may or may not be present — both paths are documented.</w:t>
      </w:r>
    </w:p>
    <w:p>
      <w:pPr>
        <w:pStyle w:val="ListParagraph"/>
        <w:numPr>
          <w:ilvl w:val="0"/>
          <w:numId w:val="2"/>
        </w:numPr>
        <w:spacing w:after="60"/>
      </w:pPr>
      <w:r>
        <w:t xml:space="preserve">An enterprise backup solution (e.g., Veeam, Commvault, NetBackup, or native VMware snapshot + SQL native backup) is available and tested.</w:t>
      </w:r>
    </w:p>
    <w:p>
      <w:pPr>
        <w:pStyle w:val="ListParagraph"/>
        <w:numPr>
          <w:ilvl w:val="0"/>
          <w:numId w:val="2"/>
        </w:numPr>
        <w:spacing w:after="60"/>
      </w:pPr>
      <w:r>
        <w:t xml:space="preserve">Monitoring is integrated with SCOM, SolarWinds, and/or Splunk; agent-specific steps are given as representative examples.</w:t>
      </w:r>
    </w:p>
    <w:p>
      <w:pPr>
        <w:pStyle w:val="ListParagraph"/>
        <w:numPr>
          <w:ilvl w:val="0"/>
          <w:numId w:val="2"/>
        </w:numPr>
        <w:spacing w:after="60"/>
      </w:pPr>
      <w:r>
        <w:t xml:space="preserve">Endpoint protection / antivirus is installed and centrally managed (e.g., Defender for Endpoint, McAfee, CrowdStrike, Trellix).</w:t>
      </w:r>
    </w:p>
    <w:p>
      <w:pPr>
        <w:pStyle w:val="ListParagraph"/>
        <w:numPr>
          <w:ilvl w:val="0"/>
          <w:numId w:val="2"/>
        </w:numPr>
        <w:spacing w:after="60"/>
      </w:pPr>
      <w:r>
        <w:t xml:space="preserve">Multiple SQL Server instances may be present on a single host.</w:t>
      </w:r>
    </w:p>
    <w:p/>
    <w:tbl>
      <w:tblPr>
        <w:tblW w:type="pct" w:w="100%"/>
        <w:tblBorders>
          <w:top w:val="single" w:color="1E8449" w:sz="6"/>
          <w:left w:val="single" w:color="1E8449" w:sz="6"/>
          <w:bottom w:val="single" w:color="1E8449" w:sz="6"/>
          <w:right w:val="single" w:color="1E8449" w:sz="6"/>
          <w:insideH w:val="none" w:color="FFFFFF" w:sz="0"/>
          <w:insideV w:val="none" w:color="FFFFFF" w:sz="0"/>
        </w:tblBorders>
      </w:tblPr>
      <w:tblGrid>
        <w:gridCol w:w="100"/>
      </w:tblGrid>
      <w:tr>
        <w:tc>
          <w:tcPr>
            <w:shd w:fill="E8F6EF" w:val="clear"/>
            <w:tcMar>
              <w:top w:type="dxa" w:w="100"/>
              <w:left w:type="dxa" w:w="150"/>
              <w:bottom w:type="dxa" w:w="100"/>
              <w:right w:type="dxa" w:w="150"/>
            </w:tcMar>
          </w:tcPr>
          <w:p>
            <w:r>
              <w:rPr>
                <w:b/>
                <w:bCs/>
                <w:color w:val="1E8449"/>
              </w:rPr>
              <w:t xml:space="preserve">TIP</w:t>
            </w:r>
          </w:p>
          <w:p>
            <w:r>
              <w:t xml:space="preserve">Where your environment differs from these assumptions (e.g., bare-metal hosts, physical clustering, third-party HA tools such as SIOS DataKeeper, or non-domain-joined servers), treat each procedure step as a template: the validation intent stays the same even where the exact command changes.</w:t>
            </w:r>
          </w:p>
        </w:tc>
      </w:tr>
    </w:tbl>
    <w:p>
      <w:pPr>
        <w:pStyle w:val="Heading1"/>
        <w:spacing w:after="200" w:before="400"/>
      </w:pPr>
      <w:r>
        <w:t xml:space="preserve">5.0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1400"/>
            <w:shd w:fill="1F3864" w:val="clear"/>
            <w:tcMar>
              <w:top w:type="dxa" w:w="80"/>
              <w:left w:type="dxa" w:w="100"/>
              <w:bottom w:type="dxa" w:w="80"/>
              <w:right w:type="dxa" w:w="100"/>
            </w:tcMar>
            <w:vAlign w:val="center"/>
          </w:tcPr>
          <w:p>
            <w:r>
              <w:rPr>
                <w:b/>
                <w:bCs/>
                <w:color w:val="FFFFFF"/>
                <w:sz w:val="20"/>
                <w:szCs w:val="20"/>
              </w:rPr>
              <w:t xml:space="preserve">Likelihood</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Impact</w:t>
            </w:r>
          </w:p>
        </w:tc>
        <w:tc>
          <w:tcPr>
            <w:tcW w:type="dxa" w:w="3200"/>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3000"/>
            <w:tcMar>
              <w:top w:type="dxa" w:w="80"/>
              <w:left w:type="dxa" w:w="100"/>
              <w:bottom w:type="dxa" w:w="80"/>
              <w:right w:type="dxa" w:w="100"/>
            </w:tcMar>
          </w:tcPr>
          <w:p>
            <w:r>
              <w:rPr>
                <w:sz w:val="20"/>
                <w:szCs w:val="20"/>
              </w:rPr>
              <w:t xml:space="preserve">In-place upgrade fails mid-installation, leaving OS in an unbootable or unsupported state.</w:t>
            </w:r>
          </w:p>
        </w:tc>
        <w:tc>
          <w:tcPr>
            <w:tcW w:type="dxa" w:w="1400"/>
            <w:tcMar>
              <w:top w:type="dxa" w:w="80"/>
              <w:left w:type="dxa" w:w="100"/>
              <w:bottom w:type="dxa" w:w="80"/>
              <w:right w:type="dxa" w:w="100"/>
            </w:tcMar>
          </w:tcPr>
          <w:p>
            <w:r>
              <w:rPr>
                <w:sz w:val="20"/>
                <w:szCs w:val="20"/>
              </w:rPr>
              <w:t xml:space="preserve">Low–Medium</w:t>
            </w:r>
          </w:p>
        </w:tc>
        <w:tc>
          <w:tcPr>
            <w:tcW w:type="dxa" w:w="1400"/>
            <w:tcMar>
              <w:top w:type="dxa" w:w="80"/>
              <w:left w:type="dxa" w:w="100"/>
              <w:bottom w:type="dxa" w:w="80"/>
              <w:right w:type="dxa" w:w="100"/>
            </w:tcMar>
          </w:tcPr>
          <w:p>
            <w:r>
              <w:rPr>
                <w:sz w:val="20"/>
                <w:szCs w:val="20"/>
              </w:rPr>
              <w:t xml:space="preserve">High</w:t>
            </w:r>
          </w:p>
        </w:tc>
        <w:tc>
          <w:tcPr>
            <w:tcW w:type="dxa" w:w="3200"/>
            <w:tcMar>
              <w:top w:type="dxa" w:w="80"/>
              <w:left w:type="dxa" w:w="100"/>
              <w:bottom w:type="dxa" w:w="80"/>
              <w:right w:type="dxa" w:w="100"/>
            </w:tcMar>
          </w:tcPr>
          <w:p>
            <w:r>
              <w:rPr>
                <w:sz w:val="20"/>
                <w:szCs w:val="20"/>
              </w:rPr>
              <w:t xml:space="preserve">Full VM snapshot and system state backup prior to execution; documented rollback via snapshot revert.</w:t>
            </w:r>
          </w:p>
        </w:tc>
      </w:tr>
      <w:tr>
        <w:tc>
          <w:tcPr>
            <w:tcW w:type="dxa" w:w="3000"/>
            <w:shd w:fill="F2F2F2" w:val="clear"/>
            <w:tcMar>
              <w:top w:type="dxa" w:w="80"/>
              <w:left w:type="dxa" w:w="100"/>
              <w:bottom w:type="dxa" w:w="80"/>
              <w:right w:type="dxa" w:w="100"/>
            </w:tcMar>
          </w:tcPr>
          <w:p>
            <w:r>
              <w:rPr>
                <w:sz w:val="20"/>
                <w:szCs w:val="20"/>
              </w:rPr>
              <w:t xml:space="preserve">SQL Server upgrade fails or leaves databases in an unusable compatibility state.</w:t>
            </w:r>
          </w:p>
        </w:tc>
        <w:tc>
          <w:tcPr>
            <w:tcW w:type="dxa" w:w="1400"/>
            <w:shd w:fill="F2F2F2" w:val="clear"/>
            <w:tcMar>
              <w:top w:type="dxa" w:w="80"/>
              <w:left w:type="dxa" w:w="100"/>
              <w:bottom w:type="dxa" w:w="80"/>
              <w:right w:type="dxa" w:w="100"/>
            </w:tcMar>
          </w:tcPr>
          <w:p>
            <w:r>
              <w:rPr>
                <w:sz w:val="20"/>
                <w:szCs w:val="20"/>
              </w:rPr>
              <w:t xml:space="preserve">Low–Medium</w:t>
            </w:r>
          </w:p>
        </w:tc>
        <w:tc>
          <w:tcPr>
            <w:tcW w:type="dxa" w:w="1400"/>
            <w:shd w:fill="F2F2F2" w:val="clear"/>
            <w:tcMar>
              <w:top w:type="dxa" w:w="80"/>
              <w:left w:type="dxa" w:w="100"/>
              <w:bottom w:type="dxa" w:w="80"/>
              <w:right w:type="dxa" w:w="100"/>
            </w:tcMar>
          </w:tcPr>
          <w:p>
            <w:r>
              <w:rPr>
                <w:sz w:val="20"/>
                <w:szCs w:val="20"/>
              </w:rPr>
              <w:t xml:space="preserve">High</w:t>
            </w:r>
          </w:p>
        </w:tc>
        <w:tc>
          <w:tcPr>
            <w:tcW w:type="dxa" w:w="3200"/>
            <w:shd w:fill="F2F2F2" w:val="clear"/>
            <w:tcMar>
              <w:top w:type="dxa" w:w="80"/>
              <w:left w:type="dxa" w:w="100"/>
              <w:bottom w:type="dxa" w:w="80"/>
              <w:right w:type="dxa" w:w="100"/>
            </w:tcMar>
          </w:tcPr>
          <w:p>
            <w:r>
              <w:rPr>
                <w:sz w:val="20"/>
                <w:szCs w:val="20"/>
              </w:rPr>
              <w:t xml:space="preserve">Full/verified SQL backups, restore test on a non-production instance, and documented SQL rollback procedure.</w:t>
            </w:r>
          </w:p>
        </w:tc>
      </w:tr>
      <w:tr>
        <w:tc>
          <w:tcPr>
            <w:tcW w:type="dxa" w:w="3000"/>
            <w:tcMar>
              <w:top w:type="dxa" w:w="80"/>
              <w:left w:type="dxa" w:w="100"/>
              <w:bottom w:type="dxa" w:w="80"/>
              <w:right w:type="dxa" w:w="100"/>
            </w:tcMar>
          </w:tcPr>
          <w:p>
            <w:r>
              <w:rPr>
                <w:sz w:val="20"/>
                <w:szCs w:val="20"/>
              </w:rPr>
              <w:t xml:space="preserve">Third-party application, driver, or AV agent is incompatible with the target OS/SQL version.</w:t>
            </w:r>
          </w:p>
        </w:tc>
        <w:tc>
          <w:tcPr>
            <w:tcW w:type="dxa" w:w="1400"/>
            <w:tcMar>
              <w:top w:type="dxa" w:w="80"/>
              <w:left w:type="dxa" w:w="100"/>
              <w:bottom w:type="dxa" w:w="80"/>
              <w:right w:type="dxa" w:w="100"/>
            </w:tcMar>
          </w:tcPr>
          <w:p>
            <w:r>
              <w:rPr>
                <w:sz w:val="20"/>
                <w:szCs w:val="20"/>
              </w:rPr>
              <w:t xml:space="preserve">Medium</w:t>
            </w:r>
          </w:p>
        </w:tc>
        <w:tc>
          <w:tcPr>
            <w:tcW w:type="dxa" w:w="1400"/>
            <w:tcMar>
              <w:top w:type="dxa" w:w="80"/>
              <w:left w:type="dxa" w:w="100"/>
              <w:bottom w:type="dxa" w:w="80"/>
              <w:right w:type="dxa" w:w="100"/>
            </w:tcMar>
          </w:tcPr>
          <w:p>
            <w:r>
              <w:rPr>
                <w:sz w:val="20"/>
                <w:szCs w:val="20"/>
              </w:rPr>
              <w:t xml:space="preserve">Medium–High</w:t>
            </w:r>
          </w:p>
        </w:tc>
        <w:tc>
          <w:tcPr>
            <w:tcW w:type="dxa" w:w="3200"/>
            <w:tcMar>
              <w:top w:type="dxa" w:w="80"/>
              <w:left w:type="dxa" w:w="100"/>
              <w:bottom w:type="dxa" w:w="80"/>
              <w:right w:type="dxa" w:w="100"/>
            </w:tcMar>
          </w:tcPr>
          <w:p>
            <w:r>
              <w:rPr>
                <w:sz w:val="20"/>
                <w:szCs w:val="20"/>
              </w:rPr>
              <w:t xml:space="preserve">Compatibility assessment (Section 3, Part 1) and vendor support-matrix verification prior to CAB submission.</w:t>
            </w:r>
          </w:p>
        </w:tc>
      </w:tr>
      <w:tr>
        <w:tc>
          <w:tcPr>
            <w:tcW w:type="dxa" w:w="3000"/>
            <w:shd w:fill="F2F2F2" w:val="clear"/>
            <w:tcMar>
              <w:top w:type="dxa" w:w="80"/>
              <w:left w:type="dxa" w:w="100"/>
              <w:bottom w:type="dxa" w:w="80"/>
              <w:right w:type="dxa" w:w="100"/>
            </w:tcMar>
          </w:tcPr>
          <w:p>
            <w:r>
              <w:rPr>
                <w:sz w:val="20"/>
                <w:szCs w:val="20"/>
              </w:rPr>
              <w:t xml:space="preserve">Extended downtime beyond the approved change window.</w:t>
            </w:r>
          </w:p>
        </w:tc>
        <w:tc>
          <w:tcPr>
            <w:tcW w:type="dxa" w:w="1400"/>
            <w:shd w:fill="F2F2F2" w:val="clear"/>
            <w:tcMar>
              <w:top w:type="dxa" w:w="80"/>
              <w:left w:type="dxa" w:w="100"/>
              <w:bottom w:type="dxa" w:w="80"/>
              <w:right w:type="dxa" w:w="100"/>
            </w:tcMar>
          </w:tcPr>
          <w:p>
            <w:r>
              <w:rPr>
                <w:sz w:val="20"/>
                <w:szCs w:val="20"/>
              </w:rPr>
              <w:t xml:space="preserve">Medium</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200"/>
            <w:shd w:fill="F2F2F2" w:val="clear"/>
            <w:tcMar>
              <w:top w:type="dxa" w:w="80"/>
              <w:left w:type="dxa" w:w="100"/>
              <w:bottom w:type="dxa" w:w="80"/>
              <w:right w:type="dxa" w:w="100"/>
            </w:tcMar>
          </w:tcPr>
          <w:p>
            <w:r>
              <w:rPr>
                <w:sz w:val="20"/>
                <w:szCs w:val="20"/>
              </w:rPr>
              <w:t xml:space="preserve">Time-boxed procedure with estimated durations per step and a documented go/no-go decision point.</w:t>
            </w:r>
          </w:p>
        </w:tc>
      </w:tr>
      <w:tr>
        <w:tc>
          <w:tcPr>
            <w:tcW w:type="dxa" w:w="3000"/>
            <w:tcMar>
              <w:top w:type="dxa" w:w="80"/>
              <w:left w:type="dxa" w:w="100"/>
              <w:bottom w:type="dxa" w:w="80"/>
              <w:right w:type="dxa" w:w="100"/>
            </w:tcMar>
          </w:tcPr>
          <w:p>
            <w:r>
              <w:rPr>
                <w:sz w:val="20"/>
                <w:szCs w:val="20"/>
              </w:rPr>
              <w:t xml:space="preserve">Loss of SQL AlwaysOn AG or Failover Cluster quorum during upgrade.</w:t>
            </w:r>
          </w:p>
        </w:tc>
        <w:tc>
          <w:tcPr>
            <w:tcW w:type="dxa" w:w="1400"/>
            <w:tcMar>
              <w:top w:type="dxa" w:w="80"/>
              <w:left w:type="dxa" w:w="100"/>
              <w:bottom w:type="dxa" w:w="80"/>
              <w:right w:type="dxa" w:w="100"/>
            </w:tcMar>
          </w:tcPr>
          <w:p>
            <w:r>
              <w:rPr>
                <w:sz w:val="20"/>
                <w:szCs w:val="20"/>
              </w:rPr>
              <w:t xml:space="preserve">Low–Medium</w:t>
            </w:r>
          </w:p>
        </w:tc>
        <w:tc>
          <w:tcPr>
            <w:tcW w:type="dxa" w:w="1400"/>
            <w:tcMar>
              <w:top w:type="dxa" w:w="80"/>
              <w:left w:type="dxa" w:w="100"/>
              <w:bottom w:type="dxa" w:w="80"/>
              <w:right w:type="dxa" w:w="100"/>
            </w:tcMar>
          </w:tcPr>
          <w:p>
            <w:r>
              <w:rPr>
                <w:sz w:val="20"/>
                <w:szCs w:val="20"/>
              </w:rPr>
              <w:t xml:space="preserve">High</w:t>
            </w:r>
          </w:p>
        </w:tc>
        <w:tc>
          <w:tcPr>
            <w:tcW w:type="dxa" w:w="3200"/>
            <w:tcMar>
              <w:top w:type="dxa" w:w="80"/>
              <w:left w:type="dxa" w:w="100"/>
              <w:bottom w:type="dxa" w:w="80"/>
              <w:right w:type="dxa" w:w="100"/>
            </w:tcMar>
          </w:tcPr>
          <w:p>
            <w:r>
              <w:rPr>
                <w:sz w:val="20"/>
                <w:szCs w:val="20"/>
              </w:rPr>
              <w:t xml:space="preserve">Sequenced node-by-node upgrade with health checks between nodes; documented AG/cluster validation steps.</w:t>
            </w:r>
          </w:p>
        </w:tc>
      </w:tr>
      <w:tr>
        <w:tc>
          <w:tcPr>
            <w:tcW w:type="dxa" w:w="3000"/>
            <w:shd w:fill="F2F2F2" w:val="clear"/>
            <w:tcMar>
              <w:top w:type="dxa" w:w="80"/>
              <w:left w:type="dxa" w:w="100"/>
              <w:bottom w:type="dxa" w:w="80"/>
              <w:right w:type="dxa" w:w="100"/>
            </w:tcMar>
          </w:tcPr>
          <w:p>
            <w:r>
              <w:rPr>
                <w:sz w:val="20"/>
                <w:szCs w:val="20"/>
              </w:rPr>
              <w:t xml:space="preserve">Licensing/activation failure post-upgrade (KMS/MAK).</w:t>
            </w:r>
          </w:p>
        </w:tc>
        <w:tc>
          <w:tcPr>
            <w:tcW w:type="dxa" w:w="1400"/>
            <w:shd w:fill="F2F2F2" w:val="clear"/>
            <w:tcMar>
              <w:top w:type="dxa" w:w="80"/>
              <w:left w:type="dxa" w:w="100"/>
              <w:bottom w:type="dxa" w:w="80"/>
              <w:right w:type="dxa" w:w="100"/>
            </w:tcMar>
          </w:tcPr>
          <w:p>
            <w:r>
              <w:rPr>
                <w:sz w:val="20"/>
                <w:szCs w:val="20"/>
              </w:rPr>
              <w:t xml:space="preserve">Low</w:t>
            </w:r>
          </w:p>
        </w:tc>
        <w:tc>
          <w:tcPr>
            <w:tcW w:type="dxa" w:w="1400"/>
            <w:shd w:fill="F2F2F2" w:val="clear"/>
            <w:tcMar>
              <w:top w:type="dxa" w:w="80"/>
              <w:left w:type="dxa" w:w="100"/>
              <w:bottom w:type="dxa" w:w="80"/>
              <w:right w:type="dxa" w:w="100"/>
            </w:tcMar>
          </w:tcPr>
          <w:p>
            <w:r>
              <w:rPr>
                <w:sz w:val="20"/>
                <w:szCs w:val="20"/>
              </w:rPr>
              <w:t xml:space="preserve">Medium</w:t>
            </w:r>
          </w:p>
        </w:tc>
        <w:tc>
          <w:tcPr>
            <w:tcW w:type="dxa" w:w="3200"/>
            <w:shd w:fill="F2F2F2" w:val="clear"/>
            <w:tcMar>
              <w:top w:type="dxa" w:w="80"/>
              <w:left w:type="dxa" w:w="100"/>
              <w:bottom w:type="dxa" w:w="80"/>
              <w:right w:type="dxa" w:w="100"/>
            </w:tcMar>
          </w:tcPr>
          <w:p>
            <w:r>
              <w:rPr>
                <w:sz w:val="20"/>
                <w:szCs w:val="20"/>
              </w:rPr>
              <w:t xml:space="preserve">Pre-validated license keys and KMS host compatibility check prior to upgrade.</w:t>
            </w:r>
          </w:p>
        </w:tc>
      </w:tr>
      <w:tr>
        <w:tc>
          <w:tcPr>
            <w:tcW w:type="dxa" w:w="3000"/>
            <w:tcMar>
              <w:top w:type="dxa" w:w="80"/>
              <w:left w:type="dxa" w:w="100"/>
              <w:bottom w:type="dxa" w:w="80"/>
              <w:right w:type="dxa" w:w="100"/>
            </w:tcMar>
          </w:tcPr>
          <w:p>
            <w:r>
              <w:rPr>
                <w:sz w:val="20"/>
                <w:szCs w:val="20"/>
              </w:rPr>
              <w:t xml:space="preserve">Data loss due to unverified or corrupt backups.</w:t>
            </w:r>
          </w:p>
        </w:tc>
        <w:tc>
          <w:tcPr>
            <w:tcW w:type="dxa" w:w="1400"/>
            <w:tcMar>
              <w:top w:type="dxa" w:w="80"/>
              <w:left w:type="dxa" w:w="100"/>
              <w:bottom w:type="dxa" w:w="80"/>
              <w:right w:type="dxa" w:w="100"/>
            </w:tcMar>
          </w:tcPr>
          <w:p>
            <w:r>
              <w:rPr>
                <w:sz w:val="20"/>
                <w:szCs w:val="20"/>
              </w:rPr>
              <w:t xml:space="preserve">Low</w:t>
            </w:r>
          </w:p>
        </w:tc>
        <w:tc>
          <w:tcPr>
            <w:tcW w:type="dxa" w:w="1400"/>
            <w:tcMar>
              <w:top w:type="dxa" w:w="80"/>
              <w:left w:type="dxa" w:w="100"/>
              <w:bottom w:type="dxa" w:w="80"/>
              <w:right w:type="dxa" w:w="100"/>
            </w:tcMar>
          </w:tcPr>
          <w:p>
            <w:r>
              <w:rPr>
                <w:sz w:val="20"/>
                <w:szCs w:val="20"/>
              </w:rPr>
              <w:t xml:space="preserve">Critical</w:t>
            </w:r>
          </w:p>
        </w:tc>
        <w:tc>
          <w:tcPr>
            <w:tcW w:type="dxa" w:w="3200"/>
            <w:tcMar>
              <w:top w:type="dxa" w:w="80"/>
              <w:left w:type="dxa" w:w="100"/>
              <w:bottom w:type="dxa" w:w="80"/>
              <w:right w:type="dxa" w:w="100"/>
            </w:tcMar>
          </w:tcPr>
          <w:p>
            <w:r>
              <w:rPr>
                <w:sz w:val="20"/>
                <w:szCs w:val="20"/>
              </w:rPr>
              <w:t xml:space="preserve">Mandatory restore test as part of backup validation (Section 5, Part 1 and SQL Backup Strategy).</w:t>
            </w:r>
          </w:p>
        </w:tc>
      </w:tr>
    </w:tbl>
    <w:p>
      <w:pPr>
        <w:pStyle w:val="Heading1"/>
        <w:spacing w:after="200" w:before="400"/>
      </w:pPr>
      <w:r>
        <w:t xml:space="preserve">6.0 Dependencies</w:t>
      </w:r>
    </w:p>
    <w:p>
      <w:pPr>
        <w:pStyle w:val="ListParagraph"/>
        <w:numPr>
          <w:ilvl w:val="0"/>
          <w:numId w:val="2"/>
        </w:numPr>
        <w:spacing w:after="60"/>
      </w:pPr>
      <w:r>
        <w:t xml:space="preserve">Approved CAB change record with an assigned implementation window and business sign-off.</w:t>
      </w:r>
    </w:p>
    <w:p>
      <w:pPr>
        <w:pStyle w:val="ListParagraph"/>
        <w:numPr>
          <w:ilvl w:val="0"/>
          <w:numId w:val="2"/>
        </w:numPr>
        <w:spacing w:after="60"/>
      </w:pPr>
      <w:r>
        <w:t xml:space="preserve">Confirmed maintenance window communicated to affected application/business owners.</w:t>
      </w:r>
    </w:p>
    <w:p>
      <w:pPr>
        <w:pStyle w:val="ListParagraph"/>
        <w:numPr>
          <w:ilvl w:val="0"/>
          <w:numId w:val="2"/>
        </w:numPr>
        <w:spacing w:after="60"/>
      </w:pPr>
      <w:r>
        <w:t xml:space="preserve">Verified, restorable backups (VM snapshot, system state, and SQL) completed within the pre-defined RPO window before execution begins.</w:t>
      </w:r>
    </w:p>
    <w:p>
      <w:pPr>
        <w:pStyle w:val="ListParagraph"/>
        <w:numPr>
          <w:ilvl w:val="0"/>
          <w:numId w:val="2"/>
        </w:numPr>
        <w:spacing w:after="60"/>
      </w:pPr>
      <w:r>
        <w:t xml:space="preserve">Available engineering and DBA resources for the full duration of the change, including the post-implementation validation window.</w:t>
      </w:r>
    </w:p>
    <w:p>
      <w:pPr>
        <w:pStyle w:val="ListParagraph"/>
        <w:numPr>
          <w:ilvl w:val="0"/>
          <w:numId w:val="2"/>
        </w:numPr>
        <w:spacing w:after="60"/>
      </w:pPr>
      <w:r>
        <w:t xml:space="preserve">Vendor/ISV confirmation that third-party applications and SQL-dependent applications support Windows Server 2022 and SQL Server 2022.</w:t>
      </w:r>
    </w:p>
    <w:p>
      <w:pPr>
        <w:pStyle w:val="ListParagraph"/>
        <w:numPr>
          <w:ilvl w:val="0"/>
          <w:numId w:val="2"/>
        </w:numPr>
        <w:spacing w:after="60"/>
      </w:pPr>
      <w:r>
        <w:t xml:space="preserve">KMS/MAK licensing infrastructure reachable from the target server, or evaluation/activation alternative confirmed.</w:t>
      </w:r>
    </w:p>
    <w:p>
      <w:pPr>
        <w:pStyle w:val="ListParagraph"/>
        <w:numPr>
          <w:ilvl w:val="0"/>
          <w:numId w:val="2"/>
        </w:numPr>
        <w:spacing w:after="60"/>
      </w:pPr>
      <w:r>
        <w:t xml:space="preserve">Network, firewall, and monitoring change requests submitted where new ports or agent versions are required.</w:t>
      </w:r>
    </w:p>
    <w:p>
      <w:pPr>
        <w:pStyle w:val="Heading1"/>
        <w:spacing w:after="200" w:before="400"/>
      </w:pPr>
      <w:r>
        <w:t xml:space="preserve">7.0 References</w:t>
      </w:r>
    </w:p>
    <w:p>
      <w:pPr>
        <w:pStyle w:val="ListParagraph"/>
        <w:numPr>
          <w:ilvl w:val="0"/>
          <w:numId w:val="2"/>
        </w:numPr>
        <w:spacing w:after="60"/>
      </w:pPr>
      <w:r>
        <w:t xml:space="preserve">Microsoft Learn — Windows Server upgrade documentation: https://learn.microsoft.com/windows-server/get-started/</w:t>
      </w:r>
    </w:p>
    <w:p>
      <w:pPr>
        <w:pStyle w:val="ListParagraph"/>
        <w:numPr>
          <w:ilvl w:val="0"/>
          <w:numId w:val="2"/>
        </w:numPr>
        <w:spacing w:after="60"/>
      </w:pPr>
      <w:r>
        <w:t xml:space="preserve">Microsoft Learn — SQL Server upgrade documentation: https://learn.microsoft.com/sql/database-engine/install-windows/upgrade-sql-server</w:t>
      </w:r>
    </w:p>
    <w:p>
      <w:pPr>
        <w:pStyle w:val="ListParagraph"/>
        <w:numPr>
          <w:ilvl w:val="0"/>
          <w:numId w:val="2"/>
        </w:numPr>
        <w:spacing w:after="60"/>
      </w:pPr>
      <w:r>
        <w:t xml:space="preserve">Microsoft Learn — SQL Server 2022 system requirements: https://learn.microsoft.com/sql/sql-server/install/hardware-and-software-requirements-for-installing-sql-server</w:t>
      </w:r>
    </w:p>
    <w:p>
      <w:pPr>
        <w:pStyle w:val="ListParagraph"/>
        <w:numPr>
          <w:ilvl w:val="0"/>
          <w:numId w:val="2"/>
        </w:numPr>
        <w:spacing w:after="60"/>
      </w:pPr>
      <w:r>
        <w:t xml:space="preserve">VMware Compatibility Guide: https://www.vmware.com/resources/compatibility</w:t>
      </w:r>
    </w:p>
    <w:p>
      <w:pPr>
        <w:pStyle w:val="ListParagraph"/>
        <w:numPr>
          <w:ilvl w:val="0"/>
          <w:numId w:val="2"/>
        </w:numPr>
        <w:spacing w:after="60"/>
      </w:pPr>
      <w:r>
        <w:t xml:space="preserve">Organizational Backup &amp; Retention Policy [internal reference — insert link]</w:t>
      </w:r>
    </w:p>
    <w:p>
      <w:pPr>
        <w:pStyle w:val="ListParagraph"/>
        <w:numPr>
          <w:ilvl w:val="0"/>
          <w:numId w:val="2"/>
        </w:numPr>
        <w:spacing w:after="60"/>
      </w:pPr>
      <w:r>
        <w:t xml:space="preserve">Organizational Change Management Policy [internal reference — insert link]</w:t>
      </w:r>
    </w:p>
    <w:p>
      <w:pPr>
        <w:pStyle w:val="ListParagraph"/>
        <w:numPr>
          <w:ilvl w:val="0"/>
          <w:numId w:val="2"/>
        </w:numPr>
        <w:spacing w:after="60"/>
      </w:pPr>
      <w:r>
        <w:t xml:space="preserve">Organizational Disaster Recovery Runbook [internal reference — insert link]</w:t>
      </w:r>
    </w:p>
    <w:p>
      <w:pPr>
        <w:pStyle w:val="Heading1"/>
        <w:spacing w:after="200" w:before="400"/>
      </w:pPr>
      <w:r>
        <w:t xml:space="preserve">8.0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Acronym</w:t>
            </w:r>
          </w:p>
        </w:tc>
        <w:tc>
          <w:tcPr>
            <w:tcW w:type="dxa" w:w="720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1800"/>
            <w:tcMar>
              <w:top w:type="dxa" w:w="80"/>
              <w:left w:type="dxa" w:w="100"/>
              <w:bottom w:type="dxa" w:w="80"/>
              <w:right w:type="dxa" w:w="100"/>
            </w:tcMar>
          </w:tcPr>
          <w:p>
            <w:r>
              <w:rPr>
                <w:sz w:val="20"/>
                <w:szCs w:val="20"/>
              </w:rPr>
              <w:t xml:space="preserve">AG</w:t>
            </w:r>
          </w:p>
        </w:tc>
        <w:tc>
          <w:tcPr>
            <w:tcW w:type="dxa" w:w="7200"/>
            <w:tcMar>
              <w:top w:type="dxa" w:w="80"/>
              <w:left w:type="dxa" w:w="100"/>
              <w:bottom w:type="dxa" w:w="80"/>
              <w:right w:type="dxa" w:w="100"/>
            </w:tcMar>
          </w:tcPr>
          <w:p>
            <w:r>
              <w:rPr>
                <w:sz w:val="20"/>
                <w:szCs w:val="20"/>
              </w:rPr>
              <w:t xml:space="preserve">Availability Group (SQL Server AlwaysOn)</w:t>
            </w:r>
          </w:p>
        </w:tc>
      </w:tr>
      <w:tr>
        <w:tc>
          <w:tcPr>
            <w:tcW w:type="dxa" w:w="1800"/>
            <w:shd w:fill="F2F2F2" w:val="clear"/>
            <w:tcMar>
              <w:top w:type="dxa" w:w="80"/>
              <w:left w:type="dxa" w:w="100"/>
              <w:bottom w:type="dxa" w:w="80"/>
              <w:right w:type="dxa" w:w="100"/>
            </w:tcMar>
          </w:tcPr>
          <w:p>
            <w:r>
              <w:rPr>
                <w:sz w:val="20"/>
                <w:szCs w:val="20"/>
              </w:rPr>
              <w:t xml:space="preserve">AV</w:t>
            </w:r>
          </w:p>
        </w:tc>
        <w:tc>
          <w:tcPr>
            <w:tcW w:type="dxa" w:w="7200"/>
            <w:shd w:fill="F2F2F2" w:val="clear"/>
            <w:tcMar>
              <w:top w:type="dxa" w:w="80"/>
              <w:left w:type="dxa" w:w="100"/>
              <w:bottom w:type="dxa" w:w="80"/>
              <w:right w:type="dxa" w:w="100"/>
            </w:tcMar>
          </w:tcPr>
          <w:p>
            <w:r>
              <w:rPr>
                <w:sz w:val="20"/>
                <w:szCs w:val="20"/>
              </w:rPr>
              <w:t xml:space="preserve">Antivirus</w:t>
            </w:r>
          </w:p>
        </w:tc>
      </w:tr>
      <w:tr>
        <w:tc>
          <w:tcPr>
            <w:tcW w:type="dxa" w:w="1800"/>
            <w:tcMar>
              <w:top w:type="dxa" w:w="80"/>
              <w:left w:type="dxa" w:w="100"/>
              <w:bottom w:type="dxa" w:w="80"/>
              <w:right w:type="dxa" w:w="100"/>
            </w:tcMar>
          </w:tcPr>
          <w:p>
            <w:r>
              <w:rPr>
                <w:sz w:val="20"/>
                <w:szCs w:val="20"/>
              </w:rPr>
              <w:t xml:space="preserve">CAB</w:t>
            </w:r>
          </w:p>
        </w:tc>
        <w:tc>
          <w:tcPr>
            <w:tcW w:type="dxa" w:w="7200"/>
            <w:tcMar>
              <w:top w:type="dxa" w:w="80"/>
              <w:left w:type="dxa" w:w="100"/>
              <w:bottom w:type="dxa" w:w="80"/>
              <w:right w:type="dxa" w:w="100"/>
            </w:tcMar>
          </w:tcPr>
          <w:p>
            <w:r>
              <w:rPr>
                <w:sz w:val="20"/>
                <w:szCs w:val="20"/>
              </w:rPr>
              <w:t xml:space="preserve">Change Advisory Board</w:t>
            </w:r>
          </w:p>
        </w:tc>
      </w:tr>
      <w:tr>
        <w:tc>
          <w:tcPr>
            <w:tcW w:type="dxa" w:w="1800"/>
            <w:shd w:fill="F2F2F2" w:val="clear"/>
            <w:tcMar>
              <w:top w:type="dxa" w:w="80"/>
              <w:left w:type="dxa" w:w="100"/>
              <w:bottom w:type="dxa" w:w="80"/>
              <w:right w:type="dxa" w:w="100"/>
            </w:tcMar>
          </w:tcPr>
          <w:p>
            <w:r>
              <w:rPr>
                <w:sz w:val="20"/>
                <w:szCs w:val="20"/>
              </w:rPr>
              <w:t xml:space="preserve">CU</w:t>
            </w:r>
          </w:p>
        </w:tc>
        <w:tc>
          <w:tcPr>
            <w:tcW w:type="dxa" w:w="7200"/>
            <w:shd w:fill="F2F2F2" w:val="clear"/>
            <w:tcMar>
              <w:top w:type="dxa" w:w="80"/>
              <w:left w:type="dxa" w:w="100"/>
              <w:bottom w:type="dxa" w:w="80"/>
              <w:right w:type="dxa" w:w="100"/>
            </w:tcMar>
          </w:tcPr>
          <w:p>
            <w:r>
              <w:rPr>
                <w:sz w:val="20"/>
                <w:szCs w:val="20"/>
              </w:rPr>
              <w:t xml:space="preserve">Cumulative Update</w:t>
            </w:r>
          </w:p>
        </w:tc>
      </w:tr>
      <w:tr>
        <w:tc>
          <w:tcPr>
            <w:tcW w:type="dxa" w:w="1800"/>
            <w:tcMar>
              <w:top w:type="dxa" w:w="80"/>
              <w:left w:type="dxa" w:w="100"/>
              <w:bottom w:type="dxa" w:w="80"/>
              <w:right w:type="dxa" w:w="100"/>
            </w:tcMar>
          </w:tcPr>
          <w:p>
            <w:r>
              <w:rPr>
                <w:sz w:val="20"/>
                <w:szCs w:val="20"/>
              </w:rPr>
              <w:t xml:space="preserve">DR</w:t>
            </w:r>
          </w:p>
        </w:tc>
        <w:tc>
          <w:tcPr>
            <w:tcW w:type="dxa" w:w="7200"/>
            <w:tcMar>
              <w:top w:type="dxa" w:w="80"/>
              <w:left w:type="dxa" w:w="100"/>
              <w:bottom w:type="dxa" w:w="80"/>
              <w:right w:type="dxa" w:w="100"/>
            </w:tcMar>
          </w:tcPr>
          <w:p>
            <w:r>
              <w:rPr>
                <w:sz w:val="20"/>
                <w:szCs w:val="20"/>
              </w:rPr>
              <w:t xml:space="preserve">Disaster Recovery</w:t>
            </w:r>
          </w:p>
        </w:tc>
      </w:tr>
      <w:tr>
        <w:tc>
          <w:tcPr>
            <w:tcW w:type="dxa" w:w="1800"/>
            <w:shd w:fill="F2F2F2" w:val="clear"/>
            <w:tcMar>
              <w:top w:type="dxa" w:w="80"/>
              <w:left w:type="dxa" w:w="100"/>
              <w:bottom w:type="dxa" w:w="80"/>
              <w:right w:type="dxa" w:w="100"/>
            </w:tcMar>
          </w:tcPr>
          <w:p>
            <w:r>
              <w:rPr>
                <w:sz w:val="20"/>
                <w:szCs w:val="20"/>
              </w:rPr>
              <w:t xml:space="preserve">FCI</w:t>
            </w:r>
          </w:p>
        </w:tc>
        <w:tc>
          <w:tcPr>
            <w:tcW w:type="dxa" w:w="7200"/>
            <w:shd w:fill="F2F2F2" w:val="clear"/>
            <w:tcMar>
              <w:top w:type="dxa" w:w="80"/>
              <w:left w:type="dxa" w:w="100"/>
              <w:bottom w:type="dxa" w:w="80"/>
              <w:right w:type="dxa" w:w="100"/>
            </w:tcMar>
          </w:tcPr>
          <w:p>
            <w:r>
              <w:rPr>
                <w:sz w:val="20"/>
                <w:szCs w:val="20"/>
              </w:rPr>
              <w:t xml:space="preserve">Failover Cluster Instance</w:t>
            </w:r>
          </w:p>
        </w:tc>
      </w:tr>
      <w:tr>
        <w:tc>
          <w:tcPr>
            <w:tcW w:type="dxa" w:w="1800"/>
            <w:tcMar>
              <w:top w:type="dxa" w:w="80"/>
              <w:left w:type="dxa" w:w="100"/>
              <w:bottom w:type="dxa" w:w="80"/>
              <w:right w:type="dxa" w:w="100"/>
            </w:tcMar>
          </w:tcPr>
          <w:p>
            <w:r>
              <w:rPr>
                <w:sz w:val="20"/>
                <w:szCs w:val="20"/>
              </w:rPr>
              <w:t xml:space="preserve">FSMO</w:t>
            </w:r>
          </w:p>
        </w:tc>
        <w:tc>
          <w:tcPr>
            <w:tcW w:type="dxa" w:w="7200"/>
            <w:tcMar>
              <w:top w:type="dxa" w:w="80"/>
              <w:left w:type="dxa" w:w="100"/>
              <w:bottom w:type="dxa" w:w="80"/>
              <w:right w:type="dxa" w:w="100"/>
            </w:tcMar>
          </w:tcPr>
          <w:p>
            <w:r>
              <w:rPr>
                <w:sz w:val="20"/>
                <w:szCs w:val="20"/>
              </w:rPr>
              <w:t xml:space="preserve">Flexible Single Master Operation (Active Directory role)</w:t>
            </w:r>
          </w:p>
        </w:tc>
      </w:tr>
      <w:tr>
        <w:tc>
          <w:tcPr>
            <w:tcW w:type="dxa" w:w="1800"/>
            <w:shd w:fill="F2F2F2" w:val="clear"/>
            <w:tcMar>
              <w:top w:type="dxa" w:w="80"/>
              <w:left w:type="dxa" w:w="100"/>
              <w:bottom w:type="dxa" w:w="80"/>
              <w:right w:type="dxa" w:w="100"/>
            </w:tcMar>
          </w:tcPr>
          <w:p>
            <w:r>
              <w:rPr>
                <w:sz w:val="20"/>
                <w:szCs w:val="20"/>
              </w:rPr>
              <w:t xml:space="preserve">GPO</w:t>
            </w:r>
          </w:p>
        </w:tc>
        <w:tc>
          <w:tcPr>
            <w:tcW w:type="dxa" w:w="7200"/>
            <w:shd w:fill="F2F2F2" w:val="clear"/>
            <w:tcMar>
              <w:top w:type="dxa" w:w="80"/>
              <w:left w:type="dxa" w:w="100"/>
              <w:bottom w:type="dxa" w:w="80"/>
              <w:right w:type="dxa" w:w="100"/>
            </w:tcMar>
          </w:tcPr>
          <w:p>
            <w:r>
              <w:rPr>
                <w:sz w:val="20"/>
                <w:szCs w:val="20"/>
              </w:rPr>
              <w:t xml:space="preserve">Group Policy Object</w:t>
            </w:r>
          </w:p>
        </w:tc>
      </w:tr>
      <w:tr>
        <w:tc>
          <w:tcPr>
            <w:tcW w:type="dxa" w:w="1800"/>
            <w:tcMar>
              <w:top w:type="dxa" w:w="80"/>
              <w:left w:type="dxa" w:w="100"/>
              <w:bottom w:type="dxa" w:w="80"/>
              <w:right w:type="dxa" w:w="100"/>
            </w:tcMar>
          </w:tcPr>
          <w:p>
            <w:r>
              <w:rPr>
                <w:sz w:val="20"/>
                <w:szCs w:val="20"/>
              </w:rPr>
              <w:t xml:space="preserve">KMS</w:t>
            </w:r>
          </w:p>
        </w:tc>
        <w:tc>
          <w:tcPr>
            <w:tcW w:type="dxa" w:w="7200"/>
            <w:tcMar>
              <w:top w:type="dxa" w:w="80"/>
              <w:left w:type="dxa" w:w="100"/>
              <w:bottom w:type="dxa" w:w="80"/>
              <w:right w:type="dxa" w:w="100"/>
            </w:tcMar>
          </w:tcPr>
          <w:p>
            <w:r>
              <w:rPr>
                <w:sz w:val="20"/>
                <w:szCs w:val="20"/>
              </w:rPr>
              <w:t xml:space="preserve">Key Management Service (Microsoft licensing)</w:t>
            </w:r>
          </w:p>
        </w:tc>
      </w:tr>
      <w:tr>
        <w:tc>
          <w:tcPr>
            <w:tcW w:type="dxa" w:w="1800"/>
            <w:shd w:fill="F2F2F2" w:val="clear"/>
            <w:tcMar>
              <w:top w:type="dxa" w:w="80"/>
              <w:left w:type="dxa" w:w="100"/>
              <w:bottom w:type="dxa" w:w="80"/>
              <w:right w:type="dxa" w:w="100"/>
            </w:tcMar>
          </w:tcPr>
          <w:p>
            <w:r>
              <w:rPr>
                <w:sz w:val="20"/>
                <w:szCs w:val="20"/>
              </w:rPr>
              <w:t xml:space="preserve">MAK</w:t>
            </w:r>
          </w:p>
        </w:tc>
        <w:tc>
          <w:tcPr>
            <w:tcW w:type="dxa" w:w="7200"/>
            <w:shd w:fill="F2F2F2" w:val="clear"/>
            <w:tcMar>
              <w:top w:type="dxa" w:w="80"/>
              <w:left w:type="dxa" w:w="100"/>
              <w:bottom w:type="dxa" w:w="80"/>
              <w:right w:type="dxa" w:w="100"/>
            </w:tcMar>
          </w:tcPr>
          <w:p>
            <w:r>
              <w:rPr>
                <w:sz w:val="20"/>
                <w:szCs w:val="20"/>
              </w:rPr>
              <w:t xml:space="preserve">Multiple Activation Key</w:t>
            </w:r>
          </w:p>
        </w:tc>
      </w:tr>
      <w:tr>
        <w:tc>
          <w:tcPr>
            <w:tcW w:type="dxa" w:w="1800"/>
            <w:tcMar>
              <w:top w:type="dxa" w:w="80"/>
              <w:left w:type="dxa" w:w="100"/>
              <w:bottom w:type="dxa" w:w="80"/>
              <w:right w:type="dxa" w:w="100"/>
            </w:tcMar>
          </w:tcPr>
          <w:p>
            <w:r>
              <w:rPr>
                <w:sz w:val="20"/>
                <w:szCs w:val="20"/>
              </w:rPr>
              <w:t xml:space="preserve">MAXDOP</w:t>
            </w:r>
          </w:p>
        </w:tc>
        <w:tc>
          <w:tcPr>
            <w:tcW w:type="dxa" w:w="7200"/>
            <w:tcMar>
              <w:top w:type="dxa" w:w="80"/>
              <w:left w:type="dxa" w:w="100"/>
              <w:bottom w:type="dxa" w:w="80"/>
              <w:right w:type="dxa" w:w="100"/>
            </w:tcMar>
          </w:tcPr>
          <w:p>
            <w:r>
              <w:rPr>
                <w:sz w:val="20"/>
                <w:szCs w:val="20"/>
              </w:rPr>
              <w:t xml:space="preserve">Maximum Degree of Parallelism (SQL Server setting)</w:t>
            </w:r>
          </w:p>
        </w:tc>
      </w:tr>
      <w:tr>
        <w:tc>
          <w:tcPr>
            <w:tcW w:type="dxa" w:w="1800"/>
            <w:shd w:fill="F2F2F2" w:val="clear"/>
            <w:tcMar>
              <w:top w:type="dxa" w:w="80"/>
              <w:left w:type="dxa" w:w="100"/>
              <w:bottom w:type="dxa" w:w="80"/>
              <w:right w:type="dxa" w:w="100"/>
            </w:tcMar>
          </w:tcPr>
          <w:p>
            <w:r>
              <w:rPr>
                <w:sz w:val="20"/>
                <w:szCs w:val="20"/>
              </w:rPr>
              <w:t xml:space="preserve">RPO</w:t>
            </w:r>
          </w:p>
        </w:tc>
        <w:tc>
          <w:tcPr>
            <w:tcW w:type="dxa" w:w="7200"/>
            <w:shd w:fill="F2F2F2" w:val="clear"/>
            <w:tcMar>
              <w:top w:type="dxa" w:w="80"/>
              <w:left w:type="dxa" w:w="100"/>
              <w:bottom w:type="dxa" w:w="80"/>
              <w:right w:type="dxa" w:w="100"/>
            </w:tcMar>
          </w:tcPr>
          <w:p>
            <w:r>
              <w:rPr>
                <w:sz w:val="20"/>
                <w:szCs w:val="20"/>
              </w:rPr>
              <w:t xml:space="preserve">Recovery Point Objective</w:t>
            </w:r>
          </w:p>
        </w:tc>
      </w:tr>
      <w:tr>
        <w:tc>
          <w:tcPr>
            <w:tcW w:type="dxa" w:w="1800"/>
            <w:tcMar>
              <w:top w:type="dxa" w:w="80"/>
              <w:left w:type="dxa" w:w="100"/>
              <w:bottom w:type="dxa" w:w="80"/>
              <w:right w:type="dxa" w:w="100"/>
            </w:tcMar>
          </w:tcPr>
          <w:p>
            <w:r>
              <w:rPr>
                <w:sz w:val="20"/>
                <w:szCs w:val="20"/>
              </w:rPr>
              <w:t xml:space="preserve">RTO</w:t>
            </w:r>
          </w:p>
        </w:tc>
        <w:tc>
          <w:tcPr>
            <w:tcW w:type="dxa" w:w="7200"/>
            <w:tcMar>
              <w:top w:type="dxa" w:w="80"/>
              <w:left w:type="dxa" w:w="100"/>
              <w:bottom w:type="dxa" w:w="80"/>
              <w:right w:type="dxa" w:w="100"/>
            </w:tcMar>
          </w:tcPr>
          <w:p>
            <w:r>
              <w:rPr>
                <w:sz w:val="20"/>
                <w:szCs w:val="20"/>
              </w:rPr>
              <w:t xml:space="preserve">Recovery Time Objective</w:t>
            </w:r>
          </w:p>
        </w:tc>
      </w:tr>
      <w:tr>
        <w:tc>
          <w:tcPr>
            <w:tcW w:type="dxa" w:w="1800"/>
            <w:shd w:fill="F2F2F2" w:val="clear"/>
            <w:tcMar>
              <w:top w:type="dxa" w:w="80"/>
              <w:left w:type="dxa" w:w="100"/>
              <w:bottom w:type="dxa" w:w="80"/>
              <w:right w:type="dxa" w:w="100"/>
            </w:tcMar>
          </w:tcPr>
          <w:p>
            <w:r>
              <w:rPr>
                <w:sz w:val="20"/>
                <w:szCs w:val="20"/>
              </w:rPr>
              <w:t xml:space="preserve">SCOM</w:t>
            </w:r>
          </w:p>
        </w:tc>
        <w:tc>
          <w:tcPr>
            <w:tcW w:type="dxa" w:w="7200"/>
            <w:shd w:fill="F2F2F2" w:val="clear"/>
            <w:tcMar>
              <w:top w:type="dxa" w:w="80"/>
              <w:left w:type="dxa" w:w="100"/>
              <w:bottom w:type="dxa" w:w="80"/>
              <w:right w:type="dxa" w:w="100"/>
            </w:tcMar>
          </w:tcPr>
          <w:p>
            <w:r>
              <w:rPr>
                <w:sz w:val="20"/>
                <w:szCs w:val="20"/>
              </w:rPr>
              <w:t xml:space="preserve">System Center Operations Manager</w:t>
            </w:r>
          </w:p>
        </w:tc>
      </w:tr>
      <w:tr>
        <w:tc>
          <w:tcPr>
            <w:tcW w:type="dxa" w:w="1800"/>
            <w:tcMar>
              <w:top w:type="dxa" w:w="80"/>
              <w:left w:type="dxa" w:w="100"/>
              <w:bottom w:type="dxa" w:w="80"/>
              <w:right w:type="dxa" w:w="100"/>
            </w:tcMar>
          </w:tcPr>
          <w:p>
            <w:r>
              <w:rPr>
                <w:sz w:val="20"/>
                <w:szCs w:val="20"/>
              </w:rPr>
              <w:t xml:space="preserve">SPN</w:t>
            </w:r>
          </w:p>
        </w:tc>
        <w:tc>
          <w:tcPr>
            <w:tcW w:type="dxa" w:w="7200"/>
            <w:tcMar>
              <w:top w:type="dxa" w:w="80"/>
              <w:left w:type="dxa" w:w="100"/>
              <w:bottom w:type="dxa" w:w="80"/>
              <w:right w:type="dxa" w:w="100"/>
            </w:tcMar>
          </w:tcPr>
          <w:p>
            <w:r>
              <w:rPr>
                <w:sz w:val="20"/>
                <w:szCs w:val="20"/>
              </w:rPr>
              <w:t xml:space="preserve">Service Principal Name</w:t>
            </w:r>
          </w:p>
        </w:tc>
      </w:tr>
      <w:tr>
        <w:tc>
          <w:tcPr>
            <w:tcW w:type="dxa" w:w="1800"/>
            <w:shd w:fill="F2F2F2" w:val="clear"/>
            <w:tcMar>
              <w:top w:type="dxa" w:w="80"/>
              <w:left w:type="dxa" w:w="100"/>
              <w:bottom w:type="dxa" w:w="80"/>
              <w:right w:type="dxa" w:w="100"/>
            </w:tcMar>
          </w:tcPr>
          <w:p>
            <w:r>
              <w:rPr>
                <w:sz w:val="20"/>
                <w:szCs w:val="20"/>
              </w:rPr>
              <w:t xml:space="preserve">SSAS / SSIS / SSRS</w:t>
            </w:r>
          </w:p>
        </w:tc>
        <w:tc>
          <w:tcPr>
            <w:tcW w:type="dxa" w:w="7200"/>
            <w:shd w:fill="F2F2F2" w:val="clear"/>
            <w:tcMar>
              <w:top w:type="dxa" w:w="80"/>
              <w:left w:type="dxa" w:w="100"/>
              <w:bottom w:type="dxa" w:w="80"/>
              <w:right w:type="dxa" w:w="100"/>
            </w:tcMar>
          </w:tcPr>
          <w:p>
            <w:r>
              <w:rPr>
                <w:sz w:val="20"/>
                <w:szCs w:val="20"/>
              </w:rPr>
              <w:t xml:space="preserve">SQL Server Analysis / Integration / Reporting Services</w:t>
            </w:r>
          </w:p>
        </w:tc>
      </w:tr>
      <w:tr>
        <w:tc>
          <w:tcPr>
            <w:tcW w:type="dxa" w:w="1800"/>
            <w:tcMar>
              <w:top w:type="dxa" w:w="80"/>
              <w:left w:type="dxa" w:w="100"/>
              <w:bottom w:type="dxa" w:w="80"/>
              <w:right w:type="dxa" w:w="100"/>
            </w:tcMar>
          </w:tcPr>
          <w:p>
            <w:r>
              <w:rPr>
                <w:sz w:val="20"/>
                <w:szCs w:val="20"/>
              </w:rPr>
              <w:t xml:space="preserve">TDE</w:t>
            </w:r>
          </w:p>
        </w:tc>
        <w:tc>
          <w:tcPr>
            <w:tcW w:type="dxa" w:w="7200"/>
            <w:tcMar>
              <w:top w:type="dxa" w:w="80"/>
              <w:left w:type="dxa" w:w="100"/>
              <w:bottom w:type="dxa" w:w="80"/>
              <w:right w:type="dxa" w:w="100"/>
            </w:tcMar>
          </w:tcPr>
          <w:p>
            <w:r>
              <w:rPr>
                <w:sz w:val="20"/>
                <w:szCs w:val="20"/>
              </w:rPr>
              <w:t xml:space="preserve">Transparent Data Encryption</w:t>
            </w:r>
          </w:p>
        </w:tc>
      </w:tr>
      <w:tr>
        <w:tc>
          <w:tcPr>
            <w:tcW w:type="dxa" w:w="1800"/>
            <w:shd w:fill="F2F2F2" w:val="clear"/>
            <w:tcMar>
              <w:top w:type="dxa" w:w="80"/>
              <w:left w:type="dxa" w:w="100"/>
              <w:bottom w:type="dxa" w:w="80"/>
              <w:right w:type="dxa" w:w="100"/>
            </w:tcMar>
          </w:tcPr>
          <w:p>
            <w:r>
              <w:rPr>
                <w:sz w:val="20"/>
                <w:szCs w:val="20"/>
              </w:rPr>
              <w:t xml:space="preserve">TPM</w:t>
            </w:r>
          </w:p>
        </w:tc>
        <w:tc>
          <w:tcPr>
            <w:tcW w:type="dxa" w:w="7200"/>
            <w:shd w:fill="F2F2F2" w:val="clear"/>
            <w:tcMar>
              <w:top w:type="dxa" w:w="80"/>
              <w:left w:type="dxa" w:w="100"/>
              <w:bottom w:type="dxa" w:w="80"/>
              <w:right w:type="dxa" w:w="100"/>
            </w:tcMar>
          </w:tcPr>
          <w:p>
            <w:r>
              <w:rPr>
                <w:sz w:val="20"/>
                <w:szCs w:val="20"/>
              </w:rPr>
              <w:t xml:space="preserve">Trusted Platform Module</w:t>
            </w:r>
          </w:p>
        </w:tc>
      </w:tr>
      <w:tr>
        <w:tc>
          <w:tcPr>
            <w:tcW w:type="dxa" w:w="1800"/>
            <w:tcMar>
              <w:top w:type="dxa" w:w="80"/>
              <w:left w:type="dxa" w:w="100"/>
              <w:bottom w:type="dxa" w:w="80"/>
              <w:right w:type="dxa" w:w="100"/>
            </w:tcMar>
          </w:tcPr>
          <w:p>
            <w:r>
              <w:rPr>
                <w:sz w:val="20"/>
                <w:szCs w:val="20"/>
              </w:rPr>
              <w:t xml:space="preserve">UEFI</w:t>
            </w:r>
          </w:p>
        </w:tc>
        <w:tc>
          <w:tcPr>
            <w:tcW w:type="dxa" w:w="7200"/>
            <w:tcMar>
              <w:top w:type="dxa" w:w="80"/>
              <w:left w:type="dxa" w:w="100"/>
              <w:bottom w:type="dxa" w:w="80"/>
              <w:right w:type="dxa" w:w="100"/>
            </w:tcMar>
          </w:tcPr>
          <w:p>
            <w:r>
              <w:rPr>
                <w:sz w:val="20"/>
                <w:szCs w:val="20"/>
              </w:rPr>
              <w:t xml:space="preserve">Unified Extensible Firmware Interface</w:t>
            </w:r>
          </w:p>
        </w:tc>
      </w:tr>
      <w:tr>
        <w:tc>
          <w:tcPr>
            <w:tcW w:type="dxa" w:w="1800"/>
            <w:shd w:fill="F2F2F2" w:val="clear"/>
            <w:tcMar>
              <w:top w:type="dxa" w:w="80"/>
              <w:left w:type="dxa" w:w="100"/>
              <w:bottom w:type="dxa" w:w="80"/>
              <w:right w:type="dxa" w:w="100"/>
            </w:tcMar>
          </w:tcPr>
          <w:p>
            <w:r>
              <w:rPr>
                <w:sz w:val="20"/>
                <w:szCs w:val="20"/>
              </w:rPr>
              <w:t xml:space="preserve">VM</w:t>
            </w:r>
          </w:p>
        </w:tc>
        <w:tc>
          <w:tcPr>
            <w:tcW w:type="dxa" w:w="7200"/>
            <w:shd w:fill="F2F2F2" w:val="clear"/>
            <w:tcMar>
              <w:top w:type="dxa" w:w="80"/>
              <w:left w:type="dxa" w:w="100"/>
              <w:bottom w:type="dxa" w:w="80"/>
              <w:right w:type="dxa" w:w="100"/>
            </w:tcMar>
          </w:tcPr>
          <w:p>
            <w:r>
              <w:rPr>
                <w:sz w:val="20"/>
                <w:szCs w:val="20"/>
              </w:rPr>
              <w:t xml:space="preserve">Virtual Machine</w:t>
            </w:r>
          </w:p>
        </w:tc>
      </w:tr>
    </w:tbl>
    <w:p>
      <w:r>
        <w:br w:type="page"/>
      </w:r>
    </w:p>
    <w:p>
      <w:pPr>
        <w:pStyle w:val="Heading1"/>
        <w:spacing w:after="200" w:before="400"/>
      </w:pPr>
      <w:r>
        <w:rPr>
          <w:b/>
          <w:bCs/>
          <w:color w:val="1F3864"/>
        </w:rPr>
        <w:t xml:space="preserve">PART 1 — WINDOWS SERVER 2016 → WINDOWS SERVER 2022</w:t>
      </w:r>
    </w:p>
    <w:p>
      <w:pPr>
        <w:spacing w:after="150"/>
      </w:pPr>
      <w:r>
        <w:t xml:space="preserve">This part covers the complete in-place upgrade of the Windows Server operating system, including compatibility assessment, pre-checks, backup, execution, and post-upgrade validation.</w:t>
      </w:r>
    </w:p>
    <w:p>
      <w:r>
        <w:br w:type="page"/>
      </w:r>
    </w:p>
    <w:p>
      <w:pPr>
        <w:pStyle w:val="Heading1"/>
        <w:spacing w:after="200" w:before="400"/>
      </w:pPr>
      <w:r>
        <w:t xml:space="preserve">1.0 Supported Upgrade Paths</w:t>
      </w:r>
    </w:p>
    <w:p>
      <w:pPr>
        <w:pStyle w:val="Heading2"/>
        <w:spacing w:after="150" w:before="300"/>
      </w:pPr>
      <w:r>
        <w:t xml:space="preserve">1.1 Supported In-Place Paths</w:t>
      </w:r>
    </w:p>
    <w:p>
      <w:pPr>
        <w:spacing w:after="150"/>
      </w:pPr>
      <w:r>
        <w:t xml:space="preserve">Microsoft supports a direct in-place upgrade from Windows Server 2016 to Windows Server 2022. An intermediate hop through Windows Server 2019 is not required by setup, but is recommended as a fallback path where compatibility tooling (drivers, agents) has not yet been validated for a direct 2016→2022 jump.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Source Edition</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Target Edition</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Supported In-Place?</w:t>
            </w:r>
          </w:p>
        </w:tc>
      </w:tr>
      <w:tr>
        <w:tc>
          <w:tcPr>
            <w:tcW w:type="dxa" w:w="3600"/>
            <w:tcMar>
              <w:top w:type="dxa" w:w="80"/>
              <w:left w:type="dxa" w:w="100"/>
              <w:bottom w:type="dxa" w:w="80"/>
              <w:right w:type="dxa" w:w="100"/>
            </w:tcMar>
          </w:tcPr>
          <w:p>
            <w:r>
              <w:rPr>
                <w:sz w:val="20"/>
                <w:szCs w:val="20"/>
              </w:rPr>
              <w:t xml:space="preserve">Server 2016 Standard (GUI)</w:t>
            </w:r>
          </w:p>
        </w:tc>
        <w:tc>
          <w:tcPr>
            <w:tcW w:type="dxa" w:w="3600"/>
            <w:tcMar>
              <w:top w:type="dxa" w:w="80"/>
              <w:left w:type="dxa" w:w="100"/>
              <w:bottom w:type="dxa" w:w="80"/>
              <w:right w:type="dxa" w:w="100"/>
            </w:tcMar>
          </w:tcPr>
          <w:p>
            <w:r>
              <w:rPr>
                <w:sz w:val="20"/>
                <w:szCs w:val="20"/>
              </w:rPr>
              <w:t xml:space="preserve">Server 2022 Standard (GUI)</w:t>
            </w:r>
          </w:p>
        </w:tc>
        <w:tc>
          <w:tcPr>
            <w:tcW w:type="dxa" w:w="2400"/>
            <w:tcMar>
              <w:top w:type="dxa" w:w="80"/>
              <w:left w:type="dxa" w:w="100"/>
              <w:bottom w:type="dxa" w:w="80"/>
              <w:right w:type="dxa" w:w="100"/>
            </w:tcMar>
          </w:tcPr>
          <w:p>
            <w:r>
              <w:rPr>
                <w:sz w:val="20"/>
                <w:szCs w:val="20"/>
              </w:rPr>
              <w:t xml:space="preserve">Yes</w:t>
            </w:r>
          </w:p>
        </w:tc>
      </w:tr>
      <w:tr>
        <w:tc>
          <w:tcPr>
            <w:tcW w:type="dxa" w:w="3600"/>
            <w:shd w:fill="F2F2F2" w:val="clear"/>
            <w:tcMar>
              <w:top w:type="dxa" w:w="80"/>
              <w:left w:type="dxa" w:w="100"/>
              <w:bottom w:type="dxa" w:w="80"/>
              <w:right w:type="dxa" w:w="100"/>
            </w:tcMar>
          </w:tcPr>
          <w:p>
            <w:r>
              <w:rPr>
                <w:sz w:val="20"/>
                <w:szCs w:val="20"/>
              </w:rPr>
              <w:t xml:space="preserve">Server 2016 Standard (Core)</w:t>
            </w:r>
          </w:p>
        </w:tc>
        <w:tc>
          <w:tcPr>
            <w:tcW w:type="dxa" w:w="3600"/>
            <w:shd w:fill="F2F2F2" w:val="clear"/>
            <w:tcMar>
              <w:top w:type="dxa" w:w="80"/>
              <w:left w:type="dxa" w:w="100"/>
              <w:bottom w:type="dxa" w:w="80"/>
              <w:right w:type="dxa" w:w="100"/>
            </w:tcMar>
          </w:tcPr>
          <w:p>
            <w:r>
              <w:rPr>
                <w:sz w:val="20"/>
                <w:szCs w:val="20"/>
              </w:rPr>
              <w:t xml:space="preserve">Server 2022 Standard (Core)</w:t>
            </w:r>
          </w:p>
        </w:tc>
        <w:tc>
          <w:tcPr>
            <w:tcW w:type="dxa" w:w="2400"/>
            <w:shd w:fill="F2F2F2" w:val="clear"/>
            <w:tcMar>
              <w:top w:type="dxa" w:w="80"/>
              <w:left w:type="dxa" w:w="100"/>
              <w:bottom w:type="dxa" w:w="80"/>
              <w:right w:type="dxa" w:w="100"/>
            </w:tcMar>
          </w:tcPr>
          <w:p>
            <w:r>
              <w:rPr>
                <w:sz w:val="20"/>
                <w:szCs w:val="20"/>
              </w:rPr>
              <w:t xml:space="preserve">Yes</w:t>
            </w:r>
          </w:p>
        </w:tc>
      </w:tr>
      <w:tr>
        <w:tc>
          <w:tcPr>
            <w:tcW w:type="dxa" w:w="3600"/>
            <w:tcMar>
              <w:top w:type="dxa" w:w="80"/>
              <w:left w:type="dxa" w:w="100"/>
              <w:bottom w:type="dxa" w:w="80"/>
              <w:right w:type="dxa" w:w="100"/>
            </w:tcMar>
          </w:tcPr>
          <w:p>
            <w:r>
              <w:rPr>
                <w:sz w:val="20"/>
                <w:szCs w:val="20"/>
              </w:rPr>
              <w:t xml:space="preserve">Server 2016 Datacenter</w:t>
            </w:r>
          </w:p>
        </w:tc>
        <w:tc>
          <w:tcPr>
            <w:tcW w:type="dxa" w:w="3600"/>
            <w:tcMar>
              <w:top w:type="dxa" w:w="80"/>
              <w:left w:type="dxa" w:w="100"/>
              <w:bottom w:type="dxa" w:w="80"/>
              <w:right w:type="dxa" w:w="100"/>
            </w:tcMar>
          </w:tcPr>
          <w:p>
            <w:r>
              <w:rPr>
                <w:sz w:val="20"/>
                <w:szCs w:val="20"/>
              </w:rPr>
              <w:t xml:space="preserve">Server 2022 Datacenter</w:t>
            </w:r>
          </w:p>
        </w:tc>
        <w:tc>
          <w:tcPr>
            <w:tcW w:type="dxa" w:w="2400"/>
            <w:tcMar>
              <w:top w:type="dxa" w:w="80"/>
              <w:left w:type="dxa" w:w="100"/>
              <w:bottom w:type="dxa" w:w="80"/>
              <w:right w:type="dxa" w:w="100"/>
            </w:tcMar>
          </w:tcPr>
          <w:p>
            <w:r>
              <w:rPr>
                <w:sz w:val="20"/>
                <w:szCs w:val="20"/>
              </w:rPr>
              <w:t xml:space="preserve">Yes</w:t>
            </w:r>
          </w:p>
        </w:tc>
      </w:tr>
      <w:tr>
        <w:tc>
          <w:tcPr>
            <w:tcW w:type="dxa" w:w="3600"/>
            <w:shd w:fill="F2F2F2" w:val="clear"/>
            <w:tcMar>
              <w:top w:type="dxa" w:w="80"/>
              <w:left w:type="dxa" w:w="100"/>
              <w:bottom w:type="dxa" w:w="80"/>
              <w:right w:type="dxa" w:w="100"/>
            </w:tcMar>
          </w:tcPr>
          <w:p>
            <w:r>
              <w:rPr>
                <w:sz w:val="20"/>
                <w:szCs w:val="20"/>
              </w:rPr>
              <w:t xml:space="preserve">Server 2016 Standard (GUI)</w:t>
            </w:r>
          </w:p>
        </w:tc>
        <w:tc>
          <w:tcPr>
            <w:tcW w:type="dxa" w:w="3600"/>
            <w:shd w:fill="F2F2F2" w:val="clear"/>
            <w:tcMar>
              <w:top w:type="dxa" w:w="80"/>
              <w:left w:type="dxa" w:w="100"/>
              <w:bottom w:type="dxa" w:w="80"/>
              <w:right w:type="dxa" w:w="100"/>
            </w:tcMar>
          </w:tcPr>
          <w:p>
            <w:r>
              <w:rPr>
                <w:sz w:val="20"/>
                <w:szCs w:val="20"/>
              </w:rPr>
              <w:t xml:space="preserve">Server 2022 Standard (Core)</w:t>
            </w:r>
          </w:p>
        </w:tc>
        <w:tc>
          <w:tcPr>
            <w:tcW w:type="dxa" w:w="2400"/>
            <w:shd w:fill="F2F2F2" w:val="clear"/>
            <w:tcMar>
              <w:top w:type="dxa" w:w="80"/>
              <w:left w:type="dxa" w:w="100"/>
              <w:bottom w:type="dxa" w:w="80"/>
              <w:right w:type="dxa" w:w="100"/>
            </w:tcMar>
          </w:tcPr>
          <w:p>
            <w:r>
              <w:rPr>
                <w:sz w:val="20"/>
                <w:szCs w:val="20"/>
              </w:rPr>
              <w:t xml:space="preserve">No — GUI-to-Core requires the Features-on-Demand removal path, not setup.exe</w:t>
            </w:r>
          </w:p>
        </w:tc>
      </w:tr>
      <w:tr>
        <w:tc>
          <w:tcPr>
            <w:tcW w:type="dxa" w:w="3600"/>
            <w:tcMar>
              <w:top w:type="dxa" w:w="80"/>
              <w:left w:type="dxa" w:w="100"/>
              <w:bottom w:type="dxa" w:w="80"/>
              <w:right w:type="dxa" w:w="100"/>
            </w:tcMar>
          </w:tcPr>
          <w:p>
            <w:r>
              <w:rPr>
                <w:sz w:val="20"/>
                <w:szCs w:val="20"/>
              </w:rPr>
              <w:t xml:space="preserve">Server 2016 Essentials</w:t>
            </w:r>
          </w:p>
        </w:tc>
        <w:tc>
          <w:tcPr>
            <w:tcW w:type="dxa" w:w="3600"/>
            <w:tcMar>
              <w:top w:type="dxa" w:w="80"/>
              <w:left w:type="dxa" w:w="100"/>
              <w:bottom w:type="dxa" w:w="80"/>
              <w:right w:type="dxa" w:w="100"/>
            </w:tcMar>
          </w:tcPr>
          <w:p>
            <w:r>
              <w:rPr>
                <w:sz w:val="20"/>
                <w:szCs w:val="20"/>
              </w:rPr>
              <w:t xml:space="preserve">Server 2022 Essentials</w:t>
            </w:r>
          </w:p>
        </w:tc>
        <w:tc>
          <w:tcPr>
            <w:tcW w:type="dxa" w:w="2400"/>
            <w:tcMar>
              <w:top w:type="dxa" w:w="80"/>
              <w:left w:type="dxa" w:w="100"/>
              <w:bottom w:type="dxa" w:w="80"/>
              <w:right w:type="dxa" w:w="100"/>
            </w:tcMar>
          </w:tcPr>
          <w:p>
            <w:r>
              <w:rPr>
                <w:sz w:val="20"/>
                <w:szCs w:val="20"/>
              </w:rPr>
              <w:t xml:space="preserve">No — Essentials in-place upgrade path was retired; migrate instead</w:t>
            </w:r>
          </w:p>
        </w:tc>
      </w:tr>
      <w:tr>
        <w:tc>
          <w:tcPr>
            <w:tcW w:type="dxa" w:w="3600"/>
            <w:shd w:fill="F2F2F2" w:val="clear"/>
            <w:tcMar>
              <w:top w:type="dxa" w:w="80"/>
              <w:left w:type="dxa" w:w="100"/>
              <w:bottom w:type="dxa" w:w="80"/>
              <w:right w:type="dxa" w:w="100"/>
            </w:tcMar>
          </w:tcPr>
          <w:p>
            <w:r>
              <w:rPr>
                <w:sz w:val="20"/>
                <w:szCs w:val="20"/>
              </w:rPr>
              <w:t xml:space="preserve">Server 2016 Evaluation</w:t>
            </w:r>
          </w:p>
        </w:tc>
        <w:tc>
          <w:tcPr>
            <w:tcW w:type="dxa" w:w="3600"/>
            <w:shd w:fill="F2F2F2" w:val="clear"/>
            <w:tcMar>
              <w:top w:type="dxa" w:w="80"/>
              <w:left w:type="dxa" w:w="100"/>
              <w:bottom w:type="dxa" w:w="80"/>
              <w:right w:type="dxa" w:w="100"/>
            </w:tcMar>
          </w:tcPr>
          <w:p>
            <w:r>
              <w:rPr>
                <w:sz w:val="20"/>
                <w:szCs w:val="20"/>
              </w:rPr>
              <w:t xml:space="preserve">Server 2022 (any)</w:t>
            </w:r>
          </w:p>
        </w:tc>
        <w:tc>
          <w:tcPr>
            <w:tcW w:type="dxa" w:w="2400"/>
            <w:shd w:fill="F2F2F2" w:val="clear"/>
            <w:tcMar>
              <w:top w:type="dxa" w:w="80"/>
              <w:left w:type="dxa" w:w="100"/>
              <w:bottom w:type="dxa" w:w="80"/>
              <w:right w:type="dxa" w:w="100"/>
            </w:tcMar>
          </w:tcPr>
          <w:p>
            <w:r>
              <w:rPr>
                <w:sz w:val="20"/>
                <w:szCs w:val="20"/>
              </w:rPr>
              <w:t xml:space="preserve">Yes, with conversion to retail/volume license before or immediately after upgrade</w:t>
            </w:r>
          </w:p>
        </w:tc>
      </w:tr>
    </w:tbl>
    <w:tbl>
      <w:tblPr>
        <w:tblW w:type="pct" w:w="100%"/>
        <w:tblBorders>
          <w:top w:val="single" w:color="B7950B" w:sz="6"/>
          <w:left w:val="single" w:color="B7950B" w:sz="6"/>
          <w:bottom w:val="single" w:color="B7950B" w:sz="6"/>
          <w:right w:val="single" w:color="B7950B" w:sz="6"/>
          <w:insideH w:val="none" w:color="FFFFFF" w:sz="0"/>
          <w:insideV w:val="none" w:color="FFFFFF" w:sz="0"/>
        </w:tblBorders>
      </w:tblPr>
      <w:tblGrid>
        <w:gridCol w:w="100"/>
      </w:tblGrid>
      <w:tr>
        <w:tc>
          <w:tcPr>
            <w:shd w:fill="FFF4D6" w:val="clear"/>
            <w:tcMar>
              <w:top w:type="dxa" w:w="100"/>
              <w:left w:type="dxa" w:w="150"/>
              <w:bottom w:type="dxa" w:w="100"/>
              <w:right w:type="dxa" w:w="150"/>
            </w:tcMar>
          </w:tcPr>
          <w:p>
            <w:r>
              <w:rPr>
                <w:b/>
                <w:bCs/>
                <w:color w:val="B7950B"/>
              </w:rPr>
              <w:t xml:space="preserve">IMPORTANT</w:t>
            </w:r>
          </w:p>
          <w:p>
            <w:r>
              <w:t xml:space="preserve">Cross-edition in-place upgrades (e.g., Standard → Datacenter) are supported only via `DISM /Set-Edition`, run separately from the OS version upgrade. Do not attempt to change edition and OS version in the same maintenance window without testing in a non-production environment first.</w:t>
            </w:r>
          </w:p>
        </w:tc>
      </w:tr>
    </w:tbl>
    <w:p>
      <w:pPr>
        <w:pStyle w:val="Heading2"/>
        <w:spacing w:after="150" w:before="300"/>
      </w:pPr>
      <w:r>
        <w:t xml:space="preserve">1.2 Licensing and Activation</w:t>
      </w:r>
    </w:p>
    <w:p>
      <w:pPr>
        <w:pStyle w:val="ListParagraph"/>
        <w:numPr>
          <w:ilvl w:val="0"/>
          <w:numId w:val="2"/>
        </w:numPr>
        <w:spacing w:after="60"/>
      </w:pPr>
      <w:r>
        <w:t xml:space="preserve">Confirm the target Windows Server 2022 product key (MAK or KMS client key) is available and validated against the organization's Volume Licensing Service Center (VLSC) or Microsoft 365 admin center entitlement.</w:t>
      </w:r>
    </w:p>
    <w:p>
      <w:pPr>
        <w:pStyle w:val="ListParagraph"/>
        <w:numPr>
          <w:ilvl w:val="0"/>
          <w:numId w:val="2"/>
        </w:numPr>
        <w:spacing w:after="60"/>
      </w:pPr>
      <w:r>
        <w:t xml:space="preserve">KMS clients require reachability to an internal KMS host that has the Windows Server 2022 KMS activation key installed; verify KMS host readiness before scheduling upgrades at scale.</w:t>
      </w:r>
    </w:p>
    <w:p>
      <w:pPr>
        <w:pStyle w:val="ListParagraph"/>
        <w:numPr>
          <w:ilvl w:val="0"/>
          <w:numId w:val="2"/>
        </w:numPr>
        <w:spacing w:after="60"/>
      </w:pPr>
      <w:r>
        <w:t xml:space="preserve">Evaluation media must not be used for production upgrades; if a server is currently running Evaluation edition, convert it to Retail/Volume via `DISM /Set-Edition /ProductKey` before the maintenance window.</w:t>
      </w:r>
    </w:p>
    <w:p>
      <w:pPr>
        <w:pStyle w:val="Heading2"/>
        <w:spacing w:after="150" w:before="300"/>
      </w:pPr>
      <w:r>
        <w:t xml:space="preserve">1.3 Server Core vs. Desktop Experience (GUI)</w:t>
      </w:r>
    </w:p>
    <w:p>
      <w:pPr>
        <w:spacing w:after="150"/>
      </w:pPr>
      <w:r>
        <w:t xml:space="preserve">The installation type (Core or GUI) on the source server is preserved by the in-place upgrade; setup.exe cannot convert between them. If a change of installation type is required, this must be handled as a separate, explicitly scoped change using Server Manager's 'Add Roles and Features' (Core→GUI, requires source files) or feature removal (GUI→Core).</w:t>
      </w:r>
    </w:p>
    <w:p>
      <w:pPr>
        <w:pStyle w:val="Heading2"/>
        <w:spacing w:after="150" w:before="300"/>
      </w:pPr>
      <w:r>
        <w:t xml:space="preserve">1.4 Prerequisites Summary</w:t>
      </w:r>
    </w:p>
    <w:p>
      <w:pPr>
        <w:pStyle w:val="ListParagraph"/>
        <w:numPr>
          <w:ilvl w:val="0"/>
          <w:numId w:val="2"/>
        </w:numPr>
        <w:spacing w:after="60"/>
      </w:pPr>
      <w:r>
        <w:t xml:space="preserve">Source server is fully patched to the latest Windows Server 2016 cumulative update.</w:t>
      </w:r>
    </w:p>
    <w:p>
      <w:pPr>
        <w:pStyle w:val="ListParagraph"/>
        <w:numPr>
          <w:ilvl w:val="0"/>
          <w:numId w:val="2"/>
        </w:numPr>
        <w:spacing w:after="60"/>
      </w:pPr>
      <w:r>
        <w:t xml:space="preserve">Source server is not in a pending-reboot or pending-installation state.</w:t>
      </w:r>
    </w:p>
    <w:p>
      <w:pPr>
        <w:pStyle w:val="ListParagraph"/>
        <w:numPr>
          <w:ilvl w:val="0"/>
          <w:numId w:val="2"/>
        </w:numPr>
        <w:spacing w:after="60"/>
      </w:pPr>
      <w:r>
        <w:t xml:space="preserve">Target Windows Server 2022 ISO/media is obtained from a verified Microsoft source (VLSC, MSDN/Visual Studio subscriptions, or Microsoft 365 admin center) and checksum-validated.</w:t>
      </w:r>
    </w:p>
    <w:p>
      <w:pPr>
        <w:pStyle w:val="ListParagraph"/>
        <w:numPr>
          <w:ilvl w:val="0"/>
          <w:numId w:val="2"/>
        </w:numPr>
        <w:spacing w:after="60"/>
      </w:pPr>
      <w:r>
        <w:t xml:space="preserve">All applications, agents, and drivers have been checked against the vendor's Windows Server 2022 support matrix (Section 3).</w:t>
      </w:r>
    </w:p>
    <w:p>
      <w:r>
        <w:br w:type="page"/>
      </w:r>
    </w:p>
    <w:p>
      <w:pPr>
        <w:pStyle w:val="Heading1"/>
        <w:spacing w:after="200" w:before="400"/>
      </w:pPr>
      <w:r>
        <w:t xml:space="preserve">2.0 Hardware Requirements</w:t>
      </w:r>
    </w:p>
    <w:p>
      <w:pPr>
        <w:pStyle w:val="Heading2"/>
        <w:spacing w:after="150" w:before="300"/>
      </w:pPr>
      <w:r>
        <w:t xml:space="preserve">2.1 Minimum and Recommended Hardware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Component</w:t>
            </w:r>
          </w:p>
        </w:tc>
        <w:tc>
          <w:tcPr>
            <w:tcW w:type="dxa" w:w="3600"/>
            <w:shd w:fill="1F3864" w:val="clear"/>
            <w:tcMar>
              <w:top w:type="dxa" w:w="80"/>
              <w:left w:type="dxa" w:w="100"/>
              <w:bottom w:type="dxa" w:w="80"/>
              <w:right w:type="dxa" w:w="100"/>
            </w:tcMar>
            <w:vAlign w:val="center"/>
          </w:tcPr>
          <w:p>
            <w:r>
              <w:rPr>
                <w:b/>
                <w:bCs/>
                <w:color w:val="FFFFFF"/>
                <w:sz w:val="20"/>
                <w:szCs w:val="20"/>
              </w:rPr>
              <w:t xml:space="preserve">Minimum (Microsoft)</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Enterprise Recommended</w:t>
            </w:r>
          </w:p>
        </w:tc>
      </w:tr>
      <w:tr>
        <w:tc>
          <w:tcPr>
            <w:tcW w:type="dxa" w:w="2400"/>
            <w:tcMar>
              <w:top w:type="dxa" w:w="80"/>
              <w:left w:type="dxa" w:w="100"/>
              <w:bottom w:type="dxa" w:w="80"/>
              <w:right w:type="dxa" w:w="100"/>
            </w:tcMar>
          </w:tcPr>
          <w:p>
            <w:r>
              <w:rPr>
                <w:sz w:val="20"/>
                <w:szCs w:val="20"/>
              </w:rPr>
              <w:t xml:space="preserve">CPU</w:t>
            </w:r>
          </w:p>
        </w:tc>
        <w:tc>
          <w:tcPr>
            <w:tcW w:type="dxa" w:w="3600"/>
            <w:tcMar>
              <w:top w:type="dxa" w:w="80"/>
              <w:left w:type="dxa" w:w="100"/>
              <w:bottom w:type="dxa" w:w="80"/>
              <w:right w:type="dxa" w:w="100"/>
            </w:tcMar>
          </w:tcPr>
          <w:p>
            <w:r>
              <w:rPr>
                <w:sz w:val="20"/>
                <w:szCs w:val="20"/>
              </w:rPr>
              <w:t xml:space="preserve">1.4 GHz 64-bit, compatible with x64 instruction set, NX, DEP, CMPXCHG16b, LAHF/SAHF, SSE4.2, POPCNT</w:t>
            </w:r>
          </w:p>
        </w:tc>
        <w:tc>
          <w:tcPr>
            <w:tcW w:type="dxa" w:w="3200"/>
            <w:tcMar>
              <w:top w:type="dxa" w:w="80"/>
              <w:left w:type="dxa" w:w="100"/>
              <w:bottom w:type="dxa" w:w="80"/>
              <w:right w:type="dxa" w:w="100"/>
            </w:tcMar>
          </w:tcPr>
          <w:p>
            <w:r>
              <w:rPr>
                <w:sz w:val="20"/>
                <w:szCs w:val="20"/>
              </w:rPr>
              <w:t xml:space="preserve">2+ vCPU reserved per SQL/application workload requirement; verify host CPU generation supports required instruction sets</w:t>
            </w:r>
          </w:p>
        </w:tc>
      </w:tr>
      <w:tr>
        <w:tc>
          <w:tcPr>
            <w:tcW w:type="dxa" w:w="2400"/>
            <w:shd w:fill="F2F2F2" w:val="clear"/>
            <w:tcMar>
              <w:top w:type="dxa" w:w="80"/>
              <w:left w:type="dxa" w:w="100"/>
              <w:bottom w:type="dxa" w:w="80"/>
              <w:right w:type="dxa" w:w="100"/>
            </w:tcMar>
          </w:tcPr>
          <w:p>
            <w:r>
              <w:rPr>
                <w:sz w:val="20"/>
                <w:szCs w:val="20"/>
              </w:rPr>
              <w:t xml:space="preserve">RAM</w:t>
            </w:r>
          </w:p>
        </w:tc>
        <w:tc>
          <w:tcPr>
            <w:tcW w:type="dxa" w:w="3600"/>
            <w:shd w:fill="F2F2F2" w:val="clear"/>
            <w:tcMar>
              <w:top w:type="dxa" w:w="80"/>
              <w:left w:type="dxa" w:w="100"/>
              <w:bottom w:type="dxa" w:w="80"/>
              <w:right w:type="dxa" w:w="100"/>
            </w:tcMar>
          </w:tcPr>
          <w:p>
            <w:r>
              <w:rPr>
                <w:sz w:val="20"/>
                <w:szCs w:val="20"/>
              </w:rPr>
              <w:t xml:space="preserve">512 MB (2 GB for Desktop Experience)</w:t>
            </w:r>
          </w:p>
        </w:tc>
        <w:tc>
          <w:tcPr>
            <w:tcW w:type="dxa" w:w="3200"/>
            <w:shd w:fill="F2F2F2" w:val="clear"/>
            <w:tcMar>
              <w:top w:type="dxa" w:w="80"/>
              <w:left w:type="dxa" w:w="100"/>
              <w:bottom w:type="dxa" w:w="80"/>
              <w:right w:type="dxa" w:w="100"/>
            </w:tcMar>
          </w:tcPr>
          <w:p>
            <w:r>
              <w:rPr>
                <w:sz w:val="20"/>
                <w:szCs w:val="20"/>
              </w:rPr>
              <w:t xml:space="preserve">8 GB minimum for a general-purpose member server; size per SQL Server memory requirements where co-located</w:t>
            </w:r>
          </w:p>
        </w:tc>
      </w:tr>
      <w:tr>
        <w:tc>
          <w:tcPr>
            <w:tcW w:type="dxa" w:w="2400"/>
            <w:tcMar>
              <w:top w:type="dxa" w:w="80"/>
              <w:left w:type="dxa" w:w="100"/>
              <w:bottom w:type="dxa" w:w="80"/>
              <w:right w:type="dxa" w:w="100"/>
            </w:tcMar>
          </w:tcPr>
          <w:p>
            <w:r>
              <w:rPr>
                <w:sz w:val="20"/>
                <w:szCs w:val="20"/>
              </w:rPr>
              <w:t xml:space="preserve">Disk</w:t>
            </w:r>
          </w:p>
        </w:tc>
        <w:tc>
          <w:tcPr>
            <w:tcW w:type="dxa" w:w="3600"/>
            <w:tcMar>
              <w:top w:type="dxa" w:w="80"/>
              <w:left w:type="dxa" w:w="100"/>
              <w:bottom w:type="dxa" w:w="80"/>
              <w:right w:type="dxa" w:w="100"/>
            </w:tcMar>
          </w:tcPr>
          <w:p>
            <w:r>
              <w:rPr>
                <w:sz w:val="20"/>
                <w:szCs w:val="20"/>
              </w:rPr>
              <w:t xml:space="preserve">32 GB minimum for system partition</w:t>
            </w:r>
          </w:p>
        </w:tc>
        <w:tc>
          <w:tcPr>
            <w:tcW w:type="dxa" w:w="3200"/>
            <w:tcMar>
              <w:top w:type="dxa" w:w="80"/>
              <w:left w:type="dxa" w:w="100"/>
              <w:bottom w:type="dxa" w:w="80"/>
              <w:right w:type="dxa" w:w="100"/>
            </w:tcMar>
          </w:tcPr>
          <w:p>
            <w:r>
              <w:rPr>
                <w:sz w:val="20"/>
                <w:szCs w:val="20"/>
              </w:rPr>
              <w:t xml:space="preserve">120 GB+ for OS volume on production servers to allow for CU/patch headroom and WinSxS growth</w:t>
            </w:r>
          </w:p>
        </w:tc>
      </w:tr>
      <w:tr>
        <w:tc>
          <w:tcPr>
            <w:tcW w:type="dxa" w:w="2400"/>
            <w:shd w:fill="F2F2F2" w:val="clear"/>
            <w:tcMar>
              <w:top w:type="dxa" w:w="80"/>
              <w:left w:type="dxa" w:w="100"/>
              <w:bottom w:type="dxa" w:w="80"/>
              <w:right w:type="dxa" w:w="100"/>
            </w:tcMar>
          </w:tcPr>
          <w:p>
            <w:r>
              <w:rPr>
                <w:sz w:val="20"/>
                <w:szCs w:val="20"/>
              </w:rPr>
              <w:t xml:space="preserve">Network</w:t>
            </w:r>
          </w:p>
        </w:tc>
        <w:tc>
          <w:tcPr>
            <w:tcW w:type="dxa" w:w="3600"/>
            <w:shd w:fill="F2F2F2" w:val="clear"/>
            <w:tcMar>
              <w:top w:type="dxa" w:w="80"/>
              <w:left w:type="dxa" w:w="100"/>
              <w:bottom w:type="dxa" w:w="80"/>
              <w:right w:type="dxa" w:w="100"/>
            </w:tcMar>
          </w:tcPr>
          <w:p>
            <w:r>
              <w:rPr>
                <w:sz w:val="20"/>
                <w:szCs w:val="20"/>
              </w:rPr>
              <w:t xml:space="preserve">1 Gbps Ethernet adapter</w:t>
            </w:r>
          </w:p>
        </w:tc>
        <w:tc>
          <w:tcPr>
            <w:tcW w:type="dxa" w:w="3200"/>
            <w:shd w:fill="F2F2F2" w:val="clear"/>
            <w:tcMar>
              <w:top w:type="dxa" w:w="80"/>
              <w:left w:type="dxa" w:w="100"/>
              <w:bottom w:type="dxa" w:w="80"/>
              <w:right w:type="dxa" w:w="100"/>
            </w:tcMar>
          </w:tcPr>
          <w:p>
            <w:r>
              <w:rPr>
                <w:sz w:val="20"/>
                <w:szCs w:val="20"/>
              </w:rPr>
              <w:t xml:space="preserve">Redundant NICs/vNICs with NIC teaming or VMware NIC teaming at the host level</w:t>
            </w:r>
          </w:p>
        </w:tc>
      </w:tr>
      <w:tr>
        <w:tc>
          <w:tcPr>
            <w:tcW w:type="dxa" w:w="2400"/>
            <w:tcMar>
              <w:top w:type="dxa" w:w="80"/>
              <w:left w:type="dxa" w:w="100"/>
              <w:bottom w:type="dxa" w:w="80"/>
              <w:right w:type="dxa" w:w="100"/>
            </w:tcMar>
          </w:tcPr>
          <w:p>
            <w:r>
              <w:rPr>
                <w:sz w:val="20"/>
                <w:szCs w:val="20"/>
              </w:rPr>
              <w:t xml:space="preserve">Optical/Boot Media</w:t>
            </w:r>
          </w:p>
        </w:tc>
        <w:tc>
          <w:tcPr>
            <w:tcW w:type="dxa" w:w="3600"/>
            <w:tcMar>
              <w:top w:type="dxa" w:w="80"/>
              <w:left w:type="dxa" w:w="100"/>
              <w:bottom w:type="dxa" w:w="80"/>
              <w:right w:type="dxa" w:w="100"/>
            </w:tcMar>
          </w:tcPr>
          <w:p>
            <w:r>
              <w:rPr>
                <w:sz w:val="20"/>
                <w:szCs w:val="20"/>
              </w:rPr>
              <w:t xml:space="preserve">DVD-ROM (physical) or USB/ISO (virtual)</w:t>
            </w:r>
          </w:p>
        </w:tc>
        <w:tc>
          <w:tcPr>
            <w:tcW w:type="dxa" w:w="3200"/>
            <w:tcMar>
              <w:top w:type="dxa" w:w="80"/>
              <w:left w:type="dxa" w:w="100"/>
              <w:bottom w:type="dxa" w:w="80"/>
              <w:right w:type="dxa" w:w="100"/>
            </w:tcMar>
          </w:tcPr>
          <w:p>
            <w:r>
              <w:rPr>
                <w:sz w:val="20"/>
                <w:szCs w:val="20"/>
              </w:rPr>
              <w:t xml:space="preserve">Mounted ISO via VMware Remote Console for VM-based upgrades</w:t>
            </w:r>
          </w:p>
        </w:tc>
      </w:tr>
    </w:tbl>
    <w:p>
      <w:pPr>
        <w:pStyle w:val="Heading2"/>
        <w:spacing w:after="150" w:before="300"/>
      </w:pPr>
      <w:r>
        <w:t xml:space="preserve">2.2 UEFI, BIOS, Secure Boot, and TPM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6800"/>
            <w:shd w:fill="1F3864" w:val="clear"/>
            <w:tcMar>
              <w:top w:type="dxa" w:w="80"/>
              <w:left w:type="dxa" w:w="100"/>
              <w:bottom w:type="dxa" w:w="80"/>
              <w:right w:type="dxa" w:w="100"/>
            </w:tcMar>
            <w:vAlign w:val="center"/>
          </w:tcPr>
          <w:p>
            <w:r>
              <w:rPr>
                <w:b/>
                <w:bCs/>
                <w:color w:val="FFFFFF"/>
                <w:sz w:val="20"/>
                <w:szCs w:val="20"/>
              </w:rPr>
              <w:t xml:space="preserve">Windows Server 2022 Position</w:t>
            </w:r>
          </w:p>
        </w:tc>
      </w:tr>
      <w:tr>
        <w:tc>
          <w:tcPr>
            <w:tcW w:type="dxa" w:w="3200"/>
            <w:tcMar>
              <w:top w:type="dxa" w:w="80"/>
              <w:left w:type="dxa" w:w="100"/>
              <w:bottom w:type="dxa" w:w="80"/>
              <w:right w:type="dxa" w:w="100"/>
            </w:tcMar>
          </w:tcPr>
          <w:p>
            <w:r>
              <w:rPr>
                <w:sz w:val="20"/>
                <w:szCs w:val="20"/>
              </w:rPr>
              <w:t xml:space="preserve">UEFI firmware</w:t>
            </w:r>
          </w:p>
        </w:tc>
        <w:tc>
          <w:tcPr>
            <w:tcW w:type="dxa" w:w="6800"/>
            <w:tcMar>
              <w:top w:type="dxa" w:w="80"/>
              <w:left w:type="dxa" w:w="100"/>
              <w:bottom w:type="dxa" w:w="80"/>
              <w:right w:type="dxa" w:w="100"/>
            </w:tcMar>
          </w:tcPr>
          <w:p>
            <w:r>
              <w:rPr>
                <w:sz w:val="20"/>
                <w:szCs w:val="20"/>
              </w:rPr>
              <w:t xml:space="preserve">Recommended, not mandatory for Server 2022 (unlike Windows 11 client). Legacy BIOS boot is still supported.</w:t>
            </w:r>
          </w:p>
        </w:tc>
      </w:tr>
      <w:tr>
        <w:tc>
          <w:tcPr>
            <w:tcW w:type="dxa" w:w="3200"/>
            <w:shd w:fill="F2F2F2" w:val="clear"/>
            <w:tcMar>
              <w:top w:type="dxa" w:w="80"/>
              <w:left w:type="dxa" w:w="100"/>
              <w:bottom w:type="dxa" w:w="80"/>
              <w:right w:type="dxa" w:w="100"/>
            </w:tcMar>
          </w:tcPr>
          <w:p>
            <w:r>
              <w:rPr>
                <w:sz w:val="20"/>
                <w:szCs w:val="20"/>
              </w:rPr>
              <w:t xml:space="preserve">Secure Boot</w:t>
            </w:r>
          </w:p>
        </w:tc>
        <w:tc>
          <w:tcPr>
            <w:tcW w:type="dxa" w:w="6800"/>
            <w:shd w:fill="F2F2F2" w:val="clear"/>
            <w:tcMar>
              <w:top w:type="dxa" w:w="80"/>
              <w:left w:type="dxa" w:w="100"/>
              <w:bottom w:type="dxa" w:w="80"/>
              <w:right w:type="dxa" w:w="100"/>
            </w:tcMar>
          </w:tcPr>
          <w:p>
            <w:r>
              <w:rPr>
                <w:sz w:val="20"/>
                <w:szCs w:val="20"/>
              </w:rPr>
              <w:t xml:space="preserve">Optional but recommended; required if using Virtualization-Based Security (VBS) / HVCI.</w:t>
            </w:r>
          </w:p>
        </w:tc>
      </w:tr>
      <w:tr>
        <w:tc>
          <w:tcPr>
            <w:tcW w:type="dxa" w:w="3200"/>
            <w:tcMar>
              <w:top w:type="dxa" w:w="80"/>
              <w:left w:type="dxa" w:w="100"/>
              <w:bottom w:type="dxa" w:w="80"/>
              <w:right w:type="dxa" w:w="100"/>
            </w:tcMar>
          </w:tcPr>
          <w:p>
            <w:r>
              <w:rPr>
                <w:sz w:val="20"/>
                <w:szCs w:val="20"/>
              </w:rPr>
              <w:t xml:space="preserve">TPM 2.0</w:t>
            </w:r>
          </w:p>
        </w:tc>
        <w:tc>
          <w:tcPr>
            <w:tcW w:type="dxa" w:w="6800"/>
            <w:tcMar>
              <w:top w:type="dxa" w:w="80"/>
              <w:left w:type="dxa" w:w="100"/>
              <w:bottom w:type="dxa" w:w="80"/>
              <w:right w:type="dxa" w:w="100"/>
            </w:tcMar>
          </w:tcPr>
          <w:p>
            <w:r>
              <w:rPr>
                <w:sz w:val="20"/>
                <w:szCs w:val="20"/>
              </w:rPr>
              <w:t xml:space="preserve">Not a hard requirement for Server 2022 setup; required only if enabling Host Guardian Service, BitLocker with TPM-backed keys, or Credential Guard.</w:t>
            </w:r>
          </w:p>
        </w:tc>
      </w:tr>
      <w:tr>
        <w:tc>
          <w:tcPr>
            <w:tcW w:type="dxa" w:w="3200"/>
            <w:shd w:fill="F2F2F2" w:val="clear"/>
            <w:tcMar>
              <w:top w:type="dxa" w:w="80"/>
              <w:left w:type="dxa" w:w="100"/>
              <w:bottom w:type="dxa" w:w="80"/>
              <w:right w:type="dxa" w:w="100"/>
            </w:tcMar>
          </w:tcPr>
          <w:p>
            <w:r>
              <w:rPr>
                <w:sz w:val="20"/>
                <w:szCs w:val="20"/>
              </w:rPr>
              <w:t xml:space="preserve">VM Hardware Version (VMware)</w:t>
            </w:r>
          </w:p>
        </w:tc>
        <w:tc>
          <w:tcPr>
            <w:tcW w:type="dxa" w:w="6800"/>
            <w:shd w:fill="F2F2F2" w:val="clear"/>
            <w:tcMar>
              <w:top w:type="dxa" w:w="80"/>
              <w:left w:type="dxa" w:w="100"/>
              <w:bottom w:type="dxa" w:w="80"/>
              <w:right w:type="dxa" w:w="100"/>
            </w:tcMar>
          </w:tcPr>
          <w:p>
            <w:r>
              <w:rPr>
                <w:sz w:val="20"/>
                <w:szCs w:val="20"/>
              </w:rPr>
              <w:t xml:space="preserve">Minimum vHW 14; vHW 19+ recommended on vSphere 7.0 U2+ for full UEFI/Secure Boot/TPM 2.0 (vTPM) support.</w:t>
            </w:r>
          </w:p>
        </w:tc>
      </w:tr>
    </w:tbl>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If the source VM is running on BIOS firmware and Secure Boot / vTPM will be required post-upgrade, firmware conversion (BIOS → UEFI) must be performed and tested as a separate, pre-validated step — it is not part of the in-place OS upgrade and carries its own boot risk.</w:t>
            </w:r>
          </w:p>
        </w:tc>
      </w:tr>
    </w:tbl>
    <w:p>
      <w:pPr>
        <w:pStyle w:val="Heading2"/>
        <w:spacing w:after="150" w:before="300"/>
      </w:pPr>
      <w:r>
        <w:t xml:space="preserve">2.3 VMware-Specific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680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3200"/>
            <w:tcMar>
              <w:top w:type="dxa" w:w="80"/>
              <w:left w:type="dxa" w:w="100"/>
              <w:bottom w:type="dxa" w:w="80"/>
              <w:right w:type="dxa" w:w="100"/>
            </w:tcMar>
          </w:tcPr>
          <w:p>
            <w:r>
              <w:rPr>
                <w:sz w:val="20"/>
                <w:szCs w:val="20"/>
              </w:rPr>
              <w:t xml:space="preserve">ESXi version</w:t>
            </w:r>
          </w:p>
        </w:tc>
        <w:tc>
          <w:tcPr>
            <w:tcW w:type="dxa" w:w="6800"/>
            <w:tcMar>
              <w:top w:type="dxa" w:w="80"/>
              <w:left w:type="dxa" w:w="100"/>
              <w:bottom w:type="dxa" w:w="80"/>
              <w:right w:type="dxa" w:w="100"/>
            </w:tcMar>
          </w:tcPr>
          <w:p>
            <w:r>
              <w:rPr>
                <w:sz w:val="20"/>
                <w:szCs w:val="20"/>
              </w:rPr>
              <w:t xml:space="preserve">7.0 U3 or later recommended for full Windows Server 2022 guest OS support and patch compatibility.</w:t>
            </w:r>
          </w:p>
        </w:tc>
      </w:tr>
      <w:tr>
        <w:tc>
          <w:tcPr>
            <w:tcW w:type="dxa" w:w="3200"/>
            <w:shd w:fill="F2F2F2" w:val="clear"/>
            <w:tcMar>
              <w:top w:type="dxa" w:w="80"/>
              <w:left w:type="dxa" w:w="100"/>
              <w:bottom w:type="dxa" w:w="80"/>
              <w:right w:type="dxa" w:w="100"/>
            </w:tcMar>
          </w:tcPr>
          <w:p>
            <w:r>
              <w:rPr>
                <w:sz w:val="20"/>
                <w:szCs w:val="20"/>
              </w:rPr>
              <w:t xml:space="preserve">VM Compatibility (vHW)</w:t>
            </w:r>
          </w:p>
        </w:tc>
        <w:tc>
          <w:tcPr>
            <w:tcW w:type="dxa" w:w="6800"/>
            <w:shd w:fill="F2F2F2" w:val="clear"/>
            <w:tcMar>
              <w:top w:type="dxa" w:w="80"/>
              <w:left w:type="dxa" w:w="100"/>
              <w:bottom w:type="dxa" w:w="80"/>
              <w:right w:type="dxa" w:w="100"/>
            </w:tcMar>
          </w:tcPr>
          <w:p>
            <w:r>
              <w:rPr>
                <w:sz w:val="20"/>
                <w:szCs w:val="20"/>
              </w:rPr>
              <w:t xml:space="preserve">vHW 15 minimum; vHW 19/20 recommended where available.</w:t>
            </w:r>
          </w:p>
        </w:tc>
      </w:tr>
      <w:tr>
        <w:tc>
          <w:tcPr>
            <w:tcW w:type="dxa" w:w="3200"/>
            <w:tcMar>
              <w:top w:type="dxa" w:w="80"/>
              <w:left w:type="dxa" w:w="100"/>
              <w:bottom w:type="dxa" w:w="80"/>
              <w:right w:type="dxa" w:w="100"/>
            </w:tcMar>
          </w:tcPr>
          <w:p>
            <w:r>
              <w:rPr>
                <w:sz w:val="20"/>
                <w:szCs w:val="20"/>
              </w:rPr>
              <w:t xml:space="preserve">VMware Tools</w:t>
            </w:r>
          </w:p>
        </w:tc>
        <w:tc>
          <w:tcPr>
            <w:tcW w:type="dxa" w:w="6800"/>
            <w:tcMar>
              <w:top w:type="dxa" w:w="80"/>
              <w:left w:type="dxa" w:w="100"/>
              <w:bottom w:type="dxa" w:w="80"/>
              <w:right w:type="dxa" w:w="100"/>
            </w:tcMar>
          </w:tcPr>
          <w:p>
            <w:r>
              <w:rPr>
                <w:sz w:val="20"/>
                <w:szCs w:val="20"/>
              </w:rPr>
              <w:t xml:space="preserve">Latest version compatible with the target ESXi host; upgrade VMware Tools as part of post-upgrade tasks (Section 7).</w:t>
            </w:r>
          </w:p>
        </w:tc>
      </w:tr>
      <w:tr>
        <w:tc>
          <w:tcPr>
            <w:tcW w:type="dxa" w:w="3200"/>
            <w:shd w:fill="F2F2F2" w:val="clear"/>
            <w:tcMar>
              <w:top w:type="dxa" w:w="80"/>
              <w:left w:type="dxa" w:w="100"/>
              <w:bottom w:type="dxa" w:w="80"/>
              <w:right w:type="dxa" w:w="100"/>
            </w:tcMar>
          </w:tcPr>
          <w:p>
            <w:r>
              <w:rPr>
                <w:sz w:val="20"/>
                <w:szCs w:val="20"/>
              </w:rPr>
              <w:t xml:space="preserve">Guest OS Type Setting</w:t>
            </w:r>
          </w:p>
        </w:tc>
        <w:tc>
          <w:tcPr>
            <w:tcW w:type="dxa" w:w="6800"/>
            <w:shd w:fill="F2F2F2" w:val="clear"/>
            <w:tcMar>
              <w:top w:type="dxa" w:w="80"/>
              <w:left w:type="dxa" w:w="100"/>
              <w:bottom w:type="dxa" w:w="80"/>
              <w:right w:type="dxa" w:w="100"/>
            </w:tcMar>
          </w:tcPr>
          <w:p>
            <w:r>
              <w:rPr>
                <w:sz w:val="20"/>
                <w:szCs w:val="20"/>
              </w:rPr>
              <w:t xml:space="preserve">Update the VM's configured Guest OS field to 'Microsoft Windows Server 2022' post-upgrade for correct default device support.</w:t>
            </w:r>
          </w:p>
        </w:tc>
      </w:tr>
      <w:tr>
        <w:tc>
          <w:tcPr>
            <w:tcW w:type="dxa" w:w="3200"/>
            <w:tcMar>
              <w:top w:type="dxa" w:w="80"/>
              <w:left w:type="dxa" w:w="100"/>
              <w:bottom w:type="dxa" w:w="80"/>
              <w:right w:type="dxa" w:w="100"/>
            </w:tcMar>
          </w:tcPr>
          <w:p>
            <w:r>
              <w:rPr>
                <w:sz w:val="20"/>
                <w:szCs w:val="20"/>
              </w:rPr>
              <w:t xml:space="preserve">Virtual Disk Controller</w:t>
            </w:r>
          </w:p>
        </w:tc>
        <w:tc>
          <w:tcPr>
            <w:tcW w:type="dxa" w:w="6800"/>
            <w:tcMar>
              <w:top w:type="dxa" w:w="80"/>
              <w:left w:type="dxa" w:w="100"/>
              <w:bottom w:type="dxa" w:w="80"/>
              <w:right w:type="dxa" w:w="100"/>
            </w:tcMar>
          </w:tcPr>
          <w:p>
            <w:r>
              <w:rPr>
                <w:sz w:val="20"/>
                <w:szCs w:val="20"/>
              </w:rPr>
              <w:t xml:space="preserve">Verify PVSCSI/LSI Logic SAS driver compatibility is retained across the upgrade; confirm driver version in Device Manager post-upgrade.</w:t>
            </w:r>
          </w:p>
        </w:tc>
      </w:tr>
    </w:tbl>
    <w:p>
      <w:r>
        <w:br w:type="page"/>
      </w:r>
    </w:p>
    <w:p>
      <w:pPr>
        <w:pStyle w:val="Heading1"/>
        <w:spacing w:after="200" w:before="400"/>
      </w:pPr>
      <w:r>
        <w:t xml:space="preserve">3.0 Compatibility Assessment</w:t>
      </w:r>
    </w:p>
    <w:p>
      <w:pPr>
        <w:spacing w:after="150"/>
      </w:pPr>
      <w:r>
        <w:t xml:space="preserve">Before scheduling the change window, perform a full compatibility assessment of the source server. This assessment feeds directly into the CAB risk submission and determines whether remediation work (driver/agent updates) is required before the upgrade can proceed.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Assessment Area</w:t>
            </w:r>
          </w:p>
        </w:tc>
        <w:tc>
          <w:tcPr>
            <w:tcW w:type="dxa" w:w="7200"/>
            <w:shd w:fill="1F3864" w:val="clear"/>
            <w:tcMar>
              <w:top w:type="dxa" w:w="80"/>
              <w:left w:type="dxa" w:w="100"/>
              <w:bottom w:type="dxa" w:w="80"/>
              <w:right w:type="dxa" w:w="100"/>
            </w:tcMar>
            <w:vAlign w:val="center"/>
          </w:tcPr>
          <w:p>
            <w:r>
              <w:rPr>
                <w:b/>
                <w:bCs/>
                <w:color w:val="FFFFFF"/>
                <w:sz w:val="20"/>
                <w:szCs w:val="20"/>
              </w:rPr>
              <w:t xml:space="preserve">Guidance</w:t>
            </w:r>
          </w:p>
        </w:tc>
      </w:tr>
      <w:tr>
        <w:tc>
          <w:tcPr>
            <w:tcW w:type="dxa" w:w="2800"/>
            <w:tcMar>
              <w:top w:type="dxa" w:w="80"/>
              <w:left w:type="dxa" w:w="100"/>
              <w:bottom w:type="dxa" w:w="80"/>
              <w:right w:type="dxa" w:w="100"/>
            </w:tcMar>
          </w:tcPr>
          <w:p>
            <w:r>
              <w:rPr>
                <w:sz w:val="20"/>
                <w:szCs w:val="20"/>
              </w:rPr>
              <w:t xml:space="preserve">Installed Roles &amp; Features</w:t>
            </w:r>
          </w:p>
        </w:tc>
        <w:tc>
          <w:tcPr>
            <w:tcW w:type="dxa" w:w="7200"/>
            <w:tcMar>
              <w:top w:type="dxa" w:w="80"/>
              <w:left w:type="dxa" w:w="100"/>
              <w:bottom w:type="dxa" w:w="80"/>
              <w:right w:type="dxa" w:w="100"/>
            </w:tcMar>
          </w:tcPr>
          <w:p>
            <w:r>
              <w:rPr>
                <w:sz w:val="20"/>
                <w:szCs w:val="20"/>
              </w:rPr>
              <w:t xml:space="preserve">Confirm every installed role/feature has a supported equivalent in Server 2022 (e.g., legacy WINS, NLB, or deprecated FS features).</w:t>
            </w:r>
          </w:p>
        </w:tc>
      </w:tr>
      <w:tr>
        <w:tc>
          <w:tcPr>
            <w:tcW w:type="dxa" w:w="2800"/>
            <w:shd w:fill="F2F2F2" w:val="clear"/>
            <w:tcMar>
              <w:top w:type="dxa" w:w="80"/>
              <w:left w:type="dxa" w:w="100"/>
              <w:bottom w:type="dxa" w:w="80"/>
              <w:right w:type="dxa" w:w="100"/>
            </w:tcMar>
          </w:tcPr>
          <w:p>
            <w:r>
              <w:rPr>
                <w:sz w:val="20"/>
                <w:szCs w:val="20"/>
              </w:rPr>
              <w:t xml:space="preserve">Drivers (Storage/Network)</w:t>
            </w:r>
          </w:p>
        </w:tc>
        <w:tc>
          <w:tcPr>
            <w:tcW w:type="dxa" w:w="7200"/>
            <w:shd w:fill="F2F2F2" w:val="clear"/>
            <w:tcMar>
              <w:top w:type="dxa" w:w="80"/>
              <w:left w:type="dxa" w:w="100"/>
              <w:bottom w:type="dxa" w:w="80"/>
              <w:right w:type="dxa" w:w="100"/>
            </w:tcMar>
          </w:tcPr>
          <w:p>
            <w:r>
              <w:rPr>
                <w:sz w:val="20"/>
                <w:szCs w:val="20"/>
              </w:rPr>
              <w:t xml:space="preserve">Validate OEM/VMware paravirtual drivers are WHQL-signed for Server 2022; check Device Manager for unsigned or third-party drivers.</w:t>
            </w:r>
          </w:p>
        </w:tc>
      </w:tr>
      <w:tr>
        <w:tc>
          <w:tcPr>
            <w:tcW w:type="dxa" w:w="2800"/>
            <w:tcMar>
              <w:top w:type="dxa" w:w="80"/>
              <w:left w:type="dxa" w:w="100"/>
              <w:bottom w:type="dxa" w:w="80"/>
              <w:right w:type="dxa" w:w="100"/>
            </w:tcMar>
          </w:tcPr>
          <w:p>
            <w:r>
              <w:rPr>
                <w:sz w:val="20"/>
                <w:szCs w:val="20"/>
              </w:rPr>
              <w:t xml:space="preserve">Applications</w:t>
            </w:r>
          </w:p>
        </w:tc>
        <w:tc>
          <w:tcPr>
            <w:tcW w:type="dxa" w:w="7200"/>
            <w:tcMar>
              <w:top w:type="dxa" w:w="80"/>
              <w:left w:type="dxa" w:w="100"/>
              <w:bottom w:type="dxa" w:w="80"/>
              <w:right w:type="dxa" w:w="100"/>
            </w:tcMar>
          </w:tcPr>
          <w:p>
            <w:r>
              <w:rPr>
                <w:sz w:val="20"/>
                <w:szCs w:val="20"/>
              </w:rPr>
              <w:t xml:space="preserve">Cross-reference installed application list (Section 4, Installed Applications check) against each vendor's Server 2022 support matrix.</w:t>
            </w:r>
          </w:p>
        </w:tc>
      </w:tr>
      <w:tr>
        <w:tc>
          <w:tcPr>
            <w:tcW w:type="dxa" w:w="2800"/>
            <w:shd w:fill="F2F2F2" w:val="clear"/>
            <w:tcMar>
              <w:top w:type="dxa" w:w="80"/>
              <w:left w:type="dxa" w:w="100"/>
              <w:bottom w:type="dxa" w:w="80"/>
              <w:right w:type="dxa" w:w="100"/>
            </w:tcMar>
          </w:tcPr>
          <w:p>
            <w:r>
              <w:rPr>
                <w:sz w:val="20"/>
                <w:szCs w:val="20"/>
              </w:rPr>
              <w:t xml:space="preserve">Antivirus / EDR</w:t>
            </w:r>
          </w:p>
        </w:tc>
        <w:tc>
          <w:tcPr>
            <w:tcW w:type="dxa" w:w="7200"/>
            <w:shd w:fill="F2F2F2" w:val="clear"/>
            <w:tcMar>
              <w:top w:type="dxa" w:w="80"/>
              <w:left w:type="dxa" w:w="100"/>
              <w:bottom w:type="dxa" w:w="80"/>
              <w:right w:type="dxa" w:w="100"/>
            </w:tcMar>
          </w:tcPr>
          <w:p>
            <w:r>
              <w:rPr>
                <w:sz w:val="20"/>
                <w:szCs w:val="20"/>
              </w:rPr>
              <w:t xml:space="preserve">Confirm the AV/EDR vendor publishes explicit Windows Server 2022 support; many require an agent upgrade prior to OS upgrade.</w:t>
            </w:r>
          </w:p>
        </w:tc>
      </w:tr>
      <w:tr>
        <w:tc>
          <w:tcPr>
            <w:tcW w:type="dxa" w:w="2800"/>
            <w:tcMar>
              <w:top w:type="dxa" w:w="80"/>
              <w:left w:type="dxa" w:w="100"/>
              <w:bottom w:type="dxa" w:w="80"/>
              <w:right w:type="dxa" w:w="100"/>
            </w:tcMar>
          </w:tcPr>
          <w:p>
            <w:r>
              <w:rPr>
                <w:sz w:val="20"/>
                <w:szCs w:val="20"/>
              </w:rPr>
              <w:t xml:space="preserve">Monitoring Agents</w:t>
            </w:r>
          </w:p>
        </w:tc>
        <w:tc>
          <w:tcPr>
            <w:tcW w:type="dxa" w:w="7200"/>
            <w:tcMar>
              <w:top w:type="dxa" w:w="80"/>
              <w:left w:type="dxa" w:w="100"/>
              <w:bottom w:type="dxa" w:w="80"/>
              <w:right w:type="dxa" w:w="100"/>
            </w:tcMar>
          </w:tcPr>
          <w:p>
            <w:r>
              <w:rPr>
                <w:sz w:val="20"/>
                <w:szCs w:val="20"/>
              </w:rPr>
              <w:t xml:space="preserve">Confirm SCOM/SolarWinds/Splunk agent versions are certified for Server 2022; older agents may require a pre-upgrade agent update.</w:t>
            </w:r>
          </w:p>
        </w:tc>
      </w:tr>
      <w:tr>
        <w:tc>
          <w:tcPr>
            <w:tcW w:type="dxa" w:w="2800"/>
            <w:shd w:fill="F2F2F2" w:val="clear"/>
            <w:tcMar>
              <w:top w:type="dxa" w:w="80"/>
              <w:left w:type="dxa" w:w="100"/>
              <w:bottom w:type="dxa" w:w="80"/>
              <w:right w:type="dxa" w:w="100"/>
            </w:tcMar>
          </w:tcPr>
          <w:p>
            <w:r>
              <w:rPr>
                <w:sz w:val="20"/>
                <w:szCs w:val="20"/>
              </w:rPr>
              <w:t xml:space="preserve">Backup Agents</w:t>
            </w:r>
          </w:p>
        </w:tc>
        <w:tc>
          <w:tcPr>
            <w:tcW w:type="dxa" w:w="7200"/>
            <w:shd w:fill="F2F2F2" w:val="clear"/>
            <w:tcMar>
              <w:top w:type="dxa" w:w="80"/>
              <w:left w:type="dxa" w:w="100"/>
              <w:bottom w:type="dxa" w:w="80"/>
              <w:right w:type="dxa" w:w="100"/>
            </w:tcMar>
          </w:tcPr>
          <w:p>
            <w:r>
              <w:rPr>
                <w:sz w:val="20"/>
                <w:szCs w:val="20"/>
              </w:rPr>
              <w:t xml:space="preserve">Confirm backup agent (Veeam, Commvault, NetBackup, etc.) version compatibility with Server 2022 before scheduling the change.</w:t>
            </w:r>
          </w:p>
        </w:tc>
      </w:tr>
      <w:tr>
        <w:tc>
          <w:tcPr>
            <w:tcW w:type="dxa" w:w="2800"/>
            <w:tcMar>
              <w:top w:type="dxa" w:w="80"/>
              <w:left w:type="dxa" w:w="100"/>
              <w:bottom w:type="dxa" w:w="80"/>
              <w:right w:type="dxa" w:w="100"/>
            </w:tcMar>
          </w:tcPr>
          <w:p>
            <w:r>
              <w:rPr>
                <w:sz w:val="20"/>
                <w:szCs w:val="20"/>
              </w:rPr>
              <w:t xml:space="preserve">Storage Drivers / MPIO</w:t>
            </w:r>
          </w:p>
        </w:tc>
        <w:tc>
          <w:tcPr>
            <w:tcW w:type="dxa" w:w="7200"/>
            <w:tcMar>
              <w:top w:type="dxa" w:w="80"/>
              <w:left w:type="dxa" w:w="100"/>
              <w:bottom w:type="dxa" w:w="80"/>
              <w:right w:type="dxa" w:w="100"/>
            </w:tcMar>
          </w:tcPr>
          <w:p>
            <w:r>
              <w:rPr>
                <w:sz w:val="20"/>
                <w:szCs w:val="20"/>
              </w:rPr>
              <w:t xml:space="preserve">For servers using iSCSI/FC storage, validate MPIO and HBA driver support explicitly — this is a common in-place upgrade failure point.</w:t>
            </w:r>
          </w:p>
        </w:tc>
      </w:tr>
      <w:tr>
        <w:tc>
          <w:tcPr>
            <w:tcW w:type="dxa" w:w="2800"/>
            <w:shd w:fill="F2F2F2" w:val="clear"/>
            <w:tcMar>
              <w:top w:type="dxa" w:w="80"/>
              <w:left w:type="dxa" w:w="100"/>
              <w:bottom w:type="dxa" w:w="80"/>
              <w:right w:type="dxa" w:w="100"/>
            </w:tcMar>
          </w:tcPr>
          <w:p>
            <w:r>
              <w:rPr>
                <w:sz w:val="20"/>
                <w:szCs w:val="20"/>
              </w:rPr>
              <w:t xml:space="preserve">VMware Tools</w:t>
            </w:r>
          </w:p>
        </w:tc>
        <w:tc>
          <w:tcPr>
            <w:tcW w:type="dxa" w:w="7200"/>
            <w:shd w:fill="F2F2F2" w:val="clear"/>
            <w:tcMar>
              <w:top w:type="dxa" w:w="80"/>
              <w:left w:type="dxa" w:w="100"/>
              <w:bottom w:type="dxa" w:w="80"/>
              <w:right w:type="dxa" w:w="100"/>
            </w:tcMar>
          </w:tcPr>
          <w:p>
            <w:r>
              <w:rPr>
                <w:sz w:val="20"/>
                <w:szCs w:val="20"/>
              </w:rPr>
              <w:t xml:space="preserve">Confirm the installed VMware Tools build is new enough to survive the upgrade; very old Tools builds can cause NIC or mouse/keyboard issues post-upgrade.</w:t>
            </w:r>
          </w:p>
        </w:tc>
      </w:tr>
      <w:tr>
        <w:tc>
          <w:tcPr>
            <w:tcW w:type="dxa" w:w="2800"/>
            <w:tcMar>
              <w:top w:type="dxa" w:w="80"/>
              <w:left w:type="dxa" w:w="100"/>
              <w:bottom w:type="dxa" w:w="80"/>
              <w:right w:type="dxa" w:w="100"/>
            </w:tcMar>
          </w:tcPr>
          <w:p>
            <w:r>
              <w:rPr>
                <w:sz w:val="20"/>
                <w:szCs w:val="20"/>
              </w:rPr>
              <w:t xml:space="preserve">NIC Teaming</w:t>
            </w:r>
          </w:p>
        </w:tc>
        <w:tc>
          <w:tcPr>
            <w:tcW w:type="dxa" w:w="7200"/>
            <w:tcMar>
              <w:top w:type="dxa" w:w="80"/>
              <w:left w:type="dxa" w:w="100"/>
              <w:bottom w:type="dxa" w:w="80"/>
              <w:right w:type="dxa" w:w="100"/>
            </w:tcMar>
          </w:tcPr>
          <w:p>
            <w:r>
              <w:rPr>
                <w:sz w:val="20"/>
                <w:szCs w:val="20"/>
              </w:rPr>
              <w:t xml:space="preserve">Document whether teaming is OS-level (LBFO) or host-level (VMware vSwitch); OS-level LBFO teams should be validated post-upgrade as Microsoft has deprecated LBFO in favor of Switch Embedded Teaming (SET) on Hyper-V — for VMware guests, teaming is typically host-side and unaffected.</w:t>
            </w:r>
          </w:p>
        </w:tc>
      </w:tr>
      <w:tr>
        <w:tc>
          <w:tcPr>
            <w:tcW w:type="dxa" w:w="2800"/>
            <w:shd w:fill="F2F2F2" w:val="clear"/>
            <w:tcMar>
              <w:top w:type="dxa" w:w="80"/>
              <w:left w:type="dxa" w:w="100"/>
              <w:bottom w:type="dxa" w:w="80"/>
              <w:right w:type="dxa" w:w="100"/>
            </w:tcMar>
          </w:tcPr>
          <w:p>
            <w:r>
              <w:rPr>
                <w:sz w:val="20"/>
                <w:szCs w:val="20"/>
              </w:rPr>
              <w:t xml:space="preserve">PowerShell Version</w:t>
            </w:r>
          </w:p>
        </w:tc>
        <w:tc>
          <w:tcPr>
            <w:tcW w:type="dxa" w:w="7200"/>
            <w:shd w:fill="F2F2F2" w:val="clear"/>
            <w:tcMar>
              <w:top w:type="dxa" w:w="80"/>
              <w:left w:type="dxa" w:w="100"/>
              <w:bottom w:type="dxa" w:w="80"/>
              <w:right w:type="dxa" w:w="100"/>
            </w:tcMar>
          </w:tcPr>
          <w:p>
            <w:r>
              <w:rPr>
                <w:sz w:val="20"/>
                <w:szCs w:val="20"/>
              </w:rPr>
              <w:t xml:space="preserve">Confirm PowerShell 5.1 is present (built into Server 2022); document any dependency on Windows PowerShell 2.0 engine, which is a deprecated optional feature.</w:t>
            </w:r>
          </w:p>
        </w:tc>
      </w:tr>
      <w:tr>
        <w:tc>
          <w:tcPr>
            <w:tcW w:type="dxa" w:w="2800"/>
            <w:tcMar>
              <w:top w:type="dxa" w:w="80"/>
              <w:left w:type="dxa" w:w="100"/>
              <w:bottom w:type="dxa" w:w="80"/>
              <w:right w:type="dxa" w:w="100"/>
            </w:tcMar>
          </w:tcPr>
          <w:p>
            <w:r>
              <w:rPr>
                <w:sz w:val="20"/>
                <w:szCs w:val="20"/>
              </w:rPr>
              <w:t xml:space="preserve">.NET Framework</w:t>
            </w:r>
          </w:p>
        </w:tc>
        <w:tc>
          <w:tcPr>
            <w:tcW w:type="dxa" w:w="7200"/>
            <w:tcMar>
              <w:top w:type="dxa" w:w="80"/>
              <w:left w:type="dxa" w:w="100"/>
              <w:bottom w:type="dxa" w:w="80"/>
              <w:right w:type="dxa" w:w="100"/>
            </w:tcMar>
          </w:tcPr>
          <w:p>
            <w:r>
              <w:rPr>
                <w:sz w:val="20"/>
                <w:szCs w:val="20"/>
              </w:rPr>
              <w:t xml:space="preserve">Server 2022 ships with .NET Framework 4.8; confirm application dependency on any .NET Framework version below 4.8 and plan a side-by-side install if required.</w:t>
            </w:r>
          </w:p>
        </w:tc>
      </w:tr>
    </w:tbl>
    <w:p>
      <w:pPr>
        <w:spacing w:after="120"/>
      </w:pPr>
    </w:p>
    <w:p>
      <w:pPr>
        <w:pStyle w:val="Heading2"/>
        <w:spacing w:after="150" w:before="300"/>
      </w:pPr>
      <w:r>
        <w:t xml:space="preserve">3.1 Recommended Assessment Commands</w:t>
      </w:r>
    </w:p>
    <w:p>
      <w:pPr>
        <w:spacing w:after="150"/>
      </w:pPr>
      <w:r>
        <w:t xml:space="preserve">Installed roles and features:</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Get-WindowsFeature | Where-Object {$_.InstallState -eq 'Installed'} | Select-Object Name, DisplayName</w:t>
      </w:r>
    </w:p>
    <w:p>
      <w:pPr>
        <w:spacing w:after="150"/>
      </w:pPr>
      <w:r>
        <w:t xml:space="preserve">Installed applications (32-bit and 64-bit registry views):</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Get-ItemProperty HKLM:\Software\Microsoft\Windows\CurrentVersion\Uninstall\*, HKLM:\Software\Wow6432Node\Microsoft\Windows\CurrentVersion\Uninstall\* |
  Select-Object DisplayName, DisplayVersion, Publisher | Sort-Object DisplayName</w:t>
      </w:r>
    </w:p>
    <w:p>
      <w:pPr>
        <w:spacing w:after="150"/>
      </w:pPr>
      <w:r>
        <w:t xml:space="preserve">Driver inventory and signature status:</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Get-WindowsDriver -Online -All | Select-Object Driver, OriginalFileName, ClassName, ProviderName, Version
pnputil /enum-drivers</w:t>
      </w:r>
    </w:p>
    <w:p>
      <w:pPr>
        <w:spacing w:after="150"/>
      </w:pPr>
      <w:r>
        <w:t xml:space="preserve">Setup compatibility pre-check (run before committing to the upgrade — surfaces blocking/warning issues without installing):</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setup.exe /Auto Upgrade /DynamicUpdate Disable /Compat ScanOnly</w:t>
      </w:r>
    </w:p>
    <w:tbl>
      <w:tblPr>
        <w:tblW w:type="pct" w:w="100%"/>
        <w:tblBorders>
          <w:top w:val="single" w:color="1E8449" w:sz="6"/>
          <w:left w:val="single" w:color="1E8449" w:sz="6"/>
          <w:bottom w:val="single" w:color="1E8449" w:sz="6"/>
          <w:right w:val="single" w:color="1E8449" w:sz="6"/>
          <w:insideH w:val="none" w:color="FFFFFF" w:sz="0"/>
          <w:insideV w:val="none" w:color="FFFFFF" w:sz="0"/>
        </w:tblBorders>
      </w:tblPr>
      <w:tblGrid>
        <w:gridCol w:w="100"/>
      </w:tblGrid>
      <w:tr>
        <w:tc>
          <w:tcPr>
            <w:shd w:fill="E8F6EF" w:val="clear"/>
            <w:tcMar>
              <w:top w:type="dxa" w:w="100"/>
              <w:left w:type="dxa" w:w="150"/>
              <w:bottom w:type="dxa" w:w="100"/>
              <w:right w:type="dxa" w:w="150"/>
            </w:tcMar>
          </w:tcPr>
          <w:p>
            <w:r>
              <w:rPr>
                <w:b/>
                <w:bCs/>
                <w:color w:val="1E8449"/>
              </w:rPr>
              <w:t xml:space="preserve">TIP</w:t>
            </w:r>
          </w:p>
          <w:p>
            <w:r>
              <w:t xml:space="preserve">`/Compat ScanOnly` writes results to `%windir%\Panther\ScanResult.xml` and to the on-screen compatibility report without starting the actual upgrade. Always run this at least one week before the change window so remediation items can be scheduled.</w:t>
            </w:r>
          </w:p>
        </w:tc>
      </w:tr>
    </w:tbl>
    <w:p>
      <w:r>
        <w:br w:type="page"/>
      </w:r>
    </w:p>
    <w:p>
      <w:pPr>
        <w:pStyle w:val="Heading1"/>
        <w:spacing w:after="200" w:before="400"/>
      </w:pPr>
      <w:r>
        <w:t xml:space="preserve">4.0 Pre-Upgrade Checks</w:t>
      </w:r>
    </w:p>
    <w:p>
      <w:pPr>
        <w:spacing w:after="150"/>
      </w:pPr>
      <w:r>
        <w:t xml:space="preserve">Every item below must be executed and its result captured as evidence (screenshot or command output) and attached to the change record before proceeding to Section 5 (Backup) and Section 6 (Upgrade Procedure). Each row lists the purpose, the PowerShell command to run, and the expected result; capture actual output as your evidence artifact per your organization's change-record format.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240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Check</w:t>
            </w:r>
          </w:p>
        </w:tc>
        <w:tc>
          <w:tcPr>
            <w:tcW w:type="dxa" w:w="26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PowerShell Command</w:t>
            </w:r>
          </w:p>
        </w:tc>
        <w:tc>
          <w:tcPr>
            <w:tcW w:type="dxa" w:w="2400"/>
            <w:shd w:fill="1F3864" w:val="clear"/>
            <w:tcMar>
              <w:top w:type="dxa" w:w="80"/>
              <w:left w:type="dxa" w:w="100"/>
              <w:bottom w:type="dxa" w:w="80"/>
              <w:right w:type="dxa" w:w="100"/>
            </w:tcMar>
            <w:vAlign w:val="center"/>
          </w:tcPr>
          <w:p>
            <w:r>
              <w:rPr>
                <w:b/>
                <w:bCs/>
                <w:color w:val="FFFFFF"/>
                <w:sz w:val="20"/>
                <w:szCs w:val="20"/>
              </w:rPr>
              <w:t xml:space="preserve">Expected Result</w:t>
            </w:r>
          </w:p>
        </w:tc>
      </w:tr>
      <w:tr>
        <w:tc>
          <w:tcPr>
            <w:tcW w:type="dxa" w:w="1800"/>
            <w:tcMar>
              <w:top w:type="dxa" w:w="80"/>
              <w:left w:type="dxa" w:w="100"/>
              <w:bottom w:type="dxa" w:w="80"/>
              <w:right w:type="dxa" w:w="100"/>
            </w:tcMar>
          </w:tcPr>
          <w:p>
            <w:r>
              <w:rPr>
                <w:sz w:val="20"/>
                <w:szCs w:val="20"/>
              </w:rPr>
              <w:t xml:space="preserve">Windows Version</w:t>
            </w:r>
          </w:p>
        </w:tc>
        <w:tc>
          <w:tcPr>
            <w:tcW w:type="dxa" w:w="2600"/>
            <w:tcMar>
              <w:top w:type="dxa" w:w="80"/>
              <w:left w:type="dxa" w:w="100"/>
              <w:bottom w:type="dxa" w:w="80"/>
              <w:right w:type="dxa" w:w="100"/>
            </w:tcMar>
          </w:tcPr>
          <w:p>
            <w:r>
              <w:rPr>
                <w:sz w:val="20"/>
                <w:szCs w:val="20"/>
              </w:rPr>
              <w:t xml:space="preserve">Confirm current build/edition before upgrade</w:t>
            </w:r>
          </w:p>
        </w:tc>
        <w:tc>
          <w:tcPr>
            <w:tcW w:type="dxa" w:w="3200"/>
            <w:tcMar>
              <w:top w:type="dxa" w:w="80"/>
              <w:left w:type="dxa" w:w="100"/>
              <w:bottom w:type="dxa" w:w="80"/>
              <w:right w:type="dxa" w:w="100"/>
            </w:tcMar>
          </w:tcPr>
          <w:p>
            <w:r>
              <w:rPr>
                <w:sz w:val="20"/>
                <w:szCs w:val="20"/>
              </w:rPr>
              <w:t xml:space="preserve">`Get-ComputerInfo | Select WindowsProductName, WindowsVersion, OsHardwareAbstractionLayer`</w:t>
            </w:r>
          </w:p>
        </w:tc>
        <w:tc>
          <w:tcPr>
            <w:tcW w:type="dxa" w:w="2400"/>
            <w:tcMar>
              <w:top w:type="dxa" w:w="80"/>
              <w:left w:type="dxa" w:w="100"/>
              <w:bottom w:type="dxa" w:w="80"/>
              <w:right w:type="dxa" w:w="100"/>
            </w:tcMar>
          </w:tcPr>
          <w:p>
            <w:r>
              <w:rPr>
                <w:sz w:val="20"/>
                <w:szCs w:val="20"/>
              </w:rPr>
              <w:t xml:space="preserve">Windows Server 2016, edition matches CMDB record</w:t>
            </w:r>
          </w:p>
        </w:tc>
      </w:tr>
      <w:tr>
        <w:tc>
          <w:tcPr>
            <w:tcW w:type="dxa" w:w="1800"/>
            <w:shd w:fill="F2F2F2" w:val="clear"/>
            <w:tcMar>
              <w:top w:type="dxa" w:w="80"/>
              <w:left w:type="dxa" w:w="100"/>
              <w:bottom w:type="dxa" w:w="80"/>
              <w:right w:type="dxa" w:w="100"/>
            </w:tcMar>
          </w:tcPr>
          <w:p>
            <w:r>
              <w:rPr>
                <w:sz w:val="20"/>
                <w:szCs w:val="20"/>
              </w:rPr>
              <w:t xml:space="preserve">Hostname</w:t>
            </w:r>
          </w:p>
        </w:tc>
        <w:tc>
          <w:tcPr>
            <w:tcW w:type="dxa" w:w="2600"/>
            <w:shd w:fill="F2F2F2" w:val="clear"/>
            <w:tcMar>
              <w:top w:type="dxa" w:w="80"/>
              <w:left w:type="dxa" w:w="100"/>
              <w:bottom w:type="dxa" w:w="80"/>
              <w:right w:type="dxa" w:w="100"/>
            </w:tcMar>
          </w:tcPr>
          <w:p>
            <w:r>
              <w:rPr>
                <w:sz w:val="20"/>
                <w:szCs w:val="20"/>
              </w:rPr>
              <w:t xml:space="preserve">Confirm server identity matches change record</w:t>
            </w:r>
          </w:p>
        </w:tc>
        <w:tc>
          <w:tcPr>
            <w:tcW w:type="dxa" w:w="3200"/>
            <w:shd w:fill="F2F2F2" w:val="clear"/>
            <w:tcMar>
              <w:top w:type="dxa" w:w="80"/>
              <w:left w:type="dxa" w:w="100"/>
              <w:bottom w:type="dxa" w:w="80"/>
              <w:right w:type="dxa" w:w="100"/>
            </w:tcMar>
          </w:tcPr>
          <w:p>
            <w:r>
              <w:rPr>
                <w:sz w:val="20"/>
                <w:szCs w:val="20"/>
              </w:rPr>
              <w:t xml:space="preserve">`$env:COMPUTERNAME` or `hostname`</w:t>
            </w:r>
          </w:p>
        </w:tc>
        <w:tc>
          <w:tcPr>
            <w:tcW w:type="dxa" w:w="2400"/>
            <w:shd w:fill="F2F2F2" w:val="clear"/>
            <w:tcMar>
              <w:top w:type="dxa" w:w="80"/>
              <w:left w:type="dxa" w:w="100"/>
              <w:bottom w:type="dxa" w:w="80"/>
              <w:right w:type="dxa" w:w="100"/>
            </w:tcMar>
          </w:tcPr>
          <w:p>
            <w:r>
              <w:rPr>
                <w:sz w:val="20"/>
                <w:szCs w:val="20"/>
              </w:rPr>
              <w:t xml:space="preserve">Matches CAB record exactly</w:t>
            </w:r>
          </w:p>
        </w:tc>
      </w:tr>
      <w:tr>
        <w:tc>
          <w:tcPr>
            <w:tcW w:type="dxa" w:w="1800"/>
            <w:tcMar>
              <w:top w:type="dxa" w:w="80"/>
              <w:left w:type="dxa" w:w="100"/>
              <w:bottom w:type="dxa" w:w="80"/>
              <w:right w:type="dxa" w:w="100"/>
            </w:tcMar>
          </w:tcPr>
          <w:p>
            <w:r>
              <w:rPr>
                <w:sz w:val="20"/>
                <w:szCs w:val="20"/>
              </w:rPr>
              <w:t xml:space="preserve">IP Configuration</w:t>
            </w:r>
          </w:p>
        </w:tc>
        <w:tc>
          <w:tcPr>
            <w:tcW w:type="dxa" w:w="2600"/>
            <w:tcMar>
              <w:top w:type="dxa" w:w="80"/>
              <w:left w:type="dxa" w:w="100"/>
              <w:bottom w:type="dxa" w:w="80"/>
              <w:right w:type="dxa" w:w="100"/>
            </w:tcMar>
          </w:tcPr>
          <w:p>
            <w:r>
              <w:rPr>
                <w:sz w:val="20"/>
                <w:szCs w:val="20"/>
              </w:rPr>
              <w:t xml:space="preserve">Baseline network config to detect post-upgrade drift</w:t>
            </w:r>
          </w:p>
        </w:tc>
        <w:tc>
          <w:tcPr>
            <w:tcW w:type="dxa" w:w="3200"/>
            <w:tcMar>
              <w:top w:type="dxa" w:w="80"/>
              <w:left w:type="dxa" w:w="100"/>
              <w:bottom w:type="dxa" w:w="80"/>
              <w:right w:type="dxa" w:w="100"/>
            </w:tcMar>
          </w:tcPr>
          <w:p>
            <w:r>
              <w:rPr>
                <w:sz w:val="20"/>
                <w:szCs w:val="20"/>
              </w:rPr>
              <w:t xml:space="preserve">`Get-NetIPConfiguration`</w:t>
            </w:r>
          </w:p>
        </w:tc>
        <w:tc>
          <w:tcPr>
            <w:tcW w:type="dxa" w:w="2400"/>
            <w:tcMar>
              <w:top w:type="dxa" w:w="80"/>
              <w:left w:type="dxa" w:w="100"/>
              <w:bottom w:type="dxa" w:w="80"/>
              <w:right w:type="dxa" w:w="100"/>
            </w:tcMar>
          </w:tcPr>
          <w:p>
            <w:r>
              <w:rPr>
                <w:sz w:val="20"/>
                <w:szCs w:val="20"/>
              </w:rPr>
              <w:t xml:space="preserve">Static IP, correct subnet/gateway, matches CMDB</w:t>
            </w:r>
          </w:p>
        </w:tc>
      </w:tr>
      <w:tr>
        <w:tc>
          <w:tcPr>
            <w:tcW w:type="dxa" w:w="1800"/>
            <w:shd w:fill="F2F2F2" w:val="clear"/>
            <w:tcMar>
              <w:top w:type="dxa" w:w="80"/>
              <w:left w:type="dxa" w:w="100"/>
              <w:bottom w:type="dxa" w:w="80"/>
              <w:right w:type="dxa" w:w="100"/>
            </w:tcMar>
          </w:tcPr>
          <w:p>
            <w:r>
              <w:rPr>
                <w:sz w:val="20"/>
                <w:szCs w:val="20"/>
              </w:rPr>
              <w:t xml:space="preserve">DNS</w:t>
            </w:r>
          </w:p>
        </w:tc>
        <w:tc>
          <w:tcPr>
            <w:tcW w:type="dxa" w:w="2600"/>
            <w:shd w:fill="F2F2F2" w:val="clear"/>
            <w:tcMar>
              <w:top w:type="dxa" w:w="80"/>
              <w:left w:type="dxa" w:w="100"/>
              <w:bottom w:type="dxa" w:w="80"/>
              <w:right w:type="dxa" w:w="100"/>
            </w:tcMar>
          </w:tcPr>
          <w:p>
            <w:r>
              <w:rPr>
                <w:sz w:val="20"/>
                <w:szCs w:val="20"/>
              </w:rPr>
              <w:t xml:space="preserve">Confirm DNS resolution is functioning</w:t>
            </w:r>
          </w:p>
        </w:tc>
        <w:tc>
          <w:tcPr>
            <w:tcW w:type="dxa" w:w="3200"/>
            <w:shd w:fill="F2F2F2" w:val="clear"/>
            <w:tcMar>
              <w:top w:type="dxa" w:w="80"/>
              <w:left w:type="dxa" w:w="100"/>
              <w:bottom w:type="dxa" w:w="80"/>
              <w:right w:type="dxa" w:w="100"/>
            </w:tcMar>
          </w:tcPr>
          <w:p>
            <w:r>
              <w:rPr>
                <w:sz w:val="20"/>
                <w:szCs w:val="20"/>
              </w:rPr>
              <w:t xml:space="preserve">`Resolve-DnsName &lt;domain-controller-fqdn&gt;`</w:t>
            </w:r>
          </w:p>
        </w:tc>
        <w:tc>
          <w:tcPr>
            <w:tcW w:type="dxa" w:w="2400"/>
            <w:shd w:fill="F2F2F2" w:val="clear"/>
            <w:tcMar>
              <w:top w:type="dxa" w:w="80"/>
              <w:left w:type="dxa" w:w="100"/>
              <w:bottom w:type="dxa" w:w="80"/>
              <w:right w:type="dxa" w:w="100"/>
            </w:tcMar>
          </w:tcPr>
          <w:p>
            <w:r>
              <w:rPr>
                <w:sz w:val="20"/>
                <w:szCs w:val="20"/>
              </w:rPr>
              <w:t xml:space="preserve">Successful resolution, correct DC IP returned</w:t>
            </w:r>
          </w:p>
        </w:tc>
      </w:tr>
      <w:tr>
        <w:tc>
          <w:tcPr>
            <w:tcW w:type="dxa" w:w="1800"/>
            <w:tcMar>
              <w:top w:type="dxa" w:w="80"/>
              <w:left w:type="dxa" w:w="100"/>
              <w:bottom w:type="dxa" w:w="80"/>
              <w:right w:type="dxa" w:w="100"/>
            </w:tcMar>
          </w:tcPr>
          <w:p>
            <w:r>
              <w:rPr>
                <w:sz w:val="20"/>
                <w:szCs w:val="20"/>
              </w:rPr>
              <w:t xml:space="preserve">Default Gateway</w:t>
            </w:r>
          </w:p>
        </w:tc>
        <w:tc>
          <w:tcPr>
            <w:tcW w:type="dxa" w:w="2600"/>
            <w:tcMar>
              <w:top w:type="dxa" w:w="80"/>
              <w:left w:type="dxa" w:w="100"/>
              <w:bottom w:type="dxa" w:w="80"/>
              <w:right w:type="dxa" w:w="100"/>
            </w:tcMar>
          </w:tcPr>
          <w:p>
            <w:r>
              <w:rPr>
                <w:sz w:val="20"/>
                <w:szCs w:val="20"/>
              </w:rPr>
              <w:t xml:space="preserve">Confirm routing is correct pre-change</w:t>
            </w:r>
          </w:p>
        </w:tc>
        <w:tc>
          <w:tcPr>
            <w:tcW w:type="dxa" w:w="3200"/>
            <w:tcMar>
              <w:top w:type="dxa" w:w="80"/>
              <w:left w:type="dxa" w:w="100"/>
              <w:bottom w:type="dxa" w:w="80"/>
              <w:right w:type="dxa" w:w="100"/>
            </w:tcMar>
          </w:tcPr>
          <w:p>
            <w:r>
              <w:rPr>
                <w:sz w:val="20"/>
                <w:szCs w:val="20"/>
              </w:rPr>
              <w:t xml:space="preserve">`Get-NetRoute -DestinationPrefix 0.0.0.0/0`</w:t>
            </w:r>
          </w:p>
        </w:tc>
        <w:tc>
          <w:tcPr>
            <w:tcW w:type="dxa" w:w="2400"/>
            <w:tcMar>
              <w:top w:type="dxa" w:w="80"/>
              <w:left w:type="dxa" w:w="100"/>
              <w:bottom w:type="dxa" w:w="80"/>
              <w:right w:type="dxa" w:w="100"/>
            </w:tcMar>
          </w:tcPr>
          <w:p>
            <w:r>
              <w:rPr>
                <w:sz w:val="20"/>
                <w:szCs w:val="20"/>
              </w:rPr>
              <w:t xml:space="preserve">Matches documented gateway</w:t>
            </w:r>
          </w:p>
        </w:tc>
      </w:tr>
      <w:tr>
        <w:tc>
          <w:tcPr>
            <w:tcW w:type="dxa" w:w="1800"/>
            <w:shd w:fill="F2F2F2" w:val="clear"/>
            <w:tcMar>
              <w:top w:type="dxa" w:w="80"/>
              <w:left w:type="dxa" w:w="100"/>
              <w:bottom w:type="dxa" w:w="80"/>
              <w:right w:type="dxa" w:w="100"/>
            </w:tcMar>
          </w:tcPr>
          <w:p>
            <w:r>
              <w:rPr>
                <w:sz w:val="20"/>
                <w:szCs w:val="20"/>
              </w:rPr>
              <w:t xml:space="preserve">Disk Space</w:t>
            </w:r>
          </w:p>
        </w:tc>
        <w:tc>
          <w:tcPr>
            <w:tcW w:type="dxa" w:w="2600"/>
            <w:shd w:fill="F2F2F2" w:val="clear"/>
            <w:tcMar>
              <w:top w:type="dxa" w:w="80"/>
              <w:left w:type="dxa" w:w="100"/>
              <w:bottom w:type="dxa" w:w="80"/>
              <w:right w:type="dxa" w:w="100"/>
            </w:tcMar>
          </w:tcPr>
          <w:p>
            <w:r>
              <w:rPr>
                <w:sz w:val="20"/>
                <w:szCs w:val="20"/>
              </w:rPr>
              <w:t xml:space="preserve">Confirm sufficient free space for upgrade (min. 32 GB free on system volume, more recommended)</w:t>
            </w:r>
          </w:p>
        </w:tc>
        <w:tc>
          <w:tcPr>
            <w:tcW w:type="dxa" w:w="3200"/>
            <w:shd w:fill="F2F2F2" w:val="clear"/>
            <w:tcMar>
              <w:top w:type="dxa" w:w="80"/>
              <w:left w:type="dxa" w:w="100"/>
              <w:bottom w:type="dxa" w:w="80"/>
              <w:right w:type="dxa" w:w="100"/>
            </w:tcMar>
          </w:tcPr>
          <w:p>
            <w:r>
              <w:rPr>
                <w:sz w:val="20"/>
                <w:szCs w:val="20"/>
              </w:rPr>
              <w:t xml:space="preserve">`Get-PSDrive C | Select Used, Free`</w:t>
            </w:r>
          </w:p>
        </w:tc>
        <w:tc>
          <w:tcPr>
            <w:tcW w:type="dxa" w:w="2400"/>
            <w:shd w:fill="F2F2F2" w:val="clear"/>
            <w:tcMar>
              <w:top w:type="dxa" w:w="80"/>
              <w:left w:type="dxa" w:w="100"/>
              <w:bottom w:type="dxa" w:w="80"/>
              <w:right w:type="dxa" w:w="100"/>
            </w:tcMar>
          </w:tcPr>
          <w:p>
            <w:r>
              <w:rPr>
                <w:sz w:val="20"/>
                <w:szCs w:val="20"/>
              </w:rPr>
              <w:t xml:space="preserve">≥ 50 GB free recommended on C:</w:t>
            </w:r>
          </w:p>
        </w:tc>
      </w:tr>
      <w:tr>
        <w:tc>
          <w:tcPr>
            <w:tcW w:type="dxa" w:w="1800"/>
            <w:tcMar>
              <w:top w:type="dxa" w:w="80"/>
              <w:left w:type="dxa" w:w="100"/>
              <w:bottom w:type="dxa" w:w="80"/>
              <w:right w:type="dxa" w:w="100"/>
            </w:tcMar>
          </w:tcPr>
          <w:p>
            <w:r>
              <w:rPr>
                <w:sz w:val="20"/>
                <w:szCs w:val="20"/>
              </w:rPr>
              <w:t xml:space="preserve">Disk Health</w:t>
            </w:r>
          </w:p>
        </w:tc>
        <w:tc>
          <w:tcPr>
            <w:tcW w:type="dxa" w:w="2600"/>
            <w:tcMar>
              <w:top w:type="dxa" w:w="80"/>
              <w:left w:type="dxa" w:w="100"/>
              <w:bottom w:type="dxa" w:w="80"/>
              <w:right w:type="dxa" w:w="100"/>
            </w:tcMar>
          </w:tcPr>
          <w:p>
            <w:r>
              <w:rPr>
                <w:sz w:val="20"/>
                <w:szCs w:val="20"/>
              </w:rPr>
              <w:t xml:space="preserve">Confirm no underlying disk errors</w:t>
            </w:r>
          </w:p>
        </w:tc>
        <w:tc>
          <w:tcPr>
            <w:tcW w:type="dxa" w:w="3200"/>
            <w:tcMar>
              <w:top w:type="dxa" w:w="80"/>
              <w:left w:type="dxa" w:w="100"/>
              <w:bottom w:type="dxa" w:w="80"/>
              <w:right w:type="dxa" w:w="100"/>
            </w:tcMar>
          </w:tcPr>
          <w:p>
            <w:r>
              <w:rPr>
                <w:sz w:val="20"/>
                <w:szCs w:val="20"/>
              </w:rPr>
              <w:t xml:space="preserve">`Get-PhysicalDisk | Select FriendlyName, HealthStatus, OperationalStatus`</w:t>
            </w:r>
          </w:p>
        </w:tc>
        <w:tc>
          <w:tcPr>
            <w:tcW w:type="dxa" w:w="2400"/>
            <w:tcMar>
              <w:top w:type="dxa" w:w="80"/>
              <w:left w:type="dxa" w:w="100"/>
              <w:bottom w:type="dxa" w:w="80"/>
              <w:right w:type="dxa" w:w="100"/>
            </w:tcMar>
          </w:tcPr>
          <w:p>
            <w:r>
              <w:rPr>
                <w:sz w:val="20"/>
                <w:szCs w:val="20"/>
              </w:rPr>
              <w:t xml:space="preserve">HealthStatus = Healthy</w:t>
            </w:r>
          </w:p>
        </w:tc>
      </w:tr>
      <w:tr>
        <w:tc>
          <w:tcPr>
            <w:tcW w:type="dxa" w:w="1800"/>
            <w:shd w:fill="F2F2F2" w:val="clear"/>
            <w:tcMar>
              <w:top w:type="dxa" w:w="80"/>
              <w:left w:type="dxa" w:w="100"/>
              <w:bottom w:type="dxa" w:w="80"/>
              <w:right w:type="dxa" w:w="100"/>
            </w:tcMar>
          </w:tcPr>
          <w:p>
            <w:r>
              <w:rPr>
                <w:sz w:val="20"/>
                <w:szCs w:val="20"/>
              </w:rPr>
              <w:t xml:space="preserve">BitLocker Status</w:t>
            </w:r>
          </w:p>
        </w:tc>
        <w:tc>
          <w:tcPr>
            <w:tcW w:type="dxa" w:w="2600"/>
            <w:shd w:fill="F2F2F2" w:val="clear"/>
            <w:tcMar>
              <w:top w:type="dxa" w:w="80"/>
              <w:left w:type="dxa" w:w="100"/>
              <w:bottom w:type="dxa" w:w="80"/>
              <w:right w:type="dxa" w:w="100"/>
            </w:tcMar>
          </w:tcPr>
          <w:p>
            <w:r>
              <w:rPr>
                <w:sz w:val="20"/>
                <w:szCs w:val="20"/>
              </w:rPr>
              <w:t xml:space="preserve">Suspend BitLocker before upgrade to avoid recovery-key prompts</w:t>
            </w:r>
          </w:p>
        </w:tc>
        <w:tc>
          <w:tcPr>
            <w:tcW w:type="dxa" w:w="3200"/>
            <w:shd w:fill="F2F2F2" w:val="clear"/>
            <w:tcMar>
              <w:top w:type="dxa" w:w="80"/>
              <w:left w:type="dxa" w:w="100"/>
              <w:bottom w:type="dxa" w:w="80"/>
              <w:right w:type="dxa" w:w="100"/>
            </w:tcMar>
          </w:tcPr>
          <w:p>
            <w:r>
              <w:rPr>
                <w:sz w:val="20"/>
                <w:szCs w:val="20"/>
              </w:rPr>
              <w:t xml:space="preserve">`Get-BitLockerVolume`</w:t>
            </w:r>
          </w:p>
        </w:tc>
        <w:tc>
          <w:tcPr>
            <w:tcW w:type="dxa" w:w="2400"/>
            <w:shd w:fill="F2F2F2" w:val="clear"/>
            <w:tcMar>
              <w:top w:type="dxa" w:w="80"/>
              <w:left w:type="dxa" w:w="100"/>
              <w:bottom w:type="dxa" w:w="80"/>
              <w:right w:type="dxa" w:w="100"/>
            </w:tcMar>
          </w:tcPr>
          <w:p>
            <w:r>
              <w:rPr>
                <w:sz w:val="20"/>
                <w:szCs w:val="20"/>
              </w:rPr>
              <w:t xml:space="preserve">Protection status noted; suspend if enabled (Section 6)</w:t>
            </w:r>
          </w:p>
        </w:tc>
      </w:tr>
      <w:tr>
        <w:tc>
          <w:tcPr>
            <w:tcW w:type="dxa" w:w="1800"/>
            <w:tcMar>
              <w:top w:type="dxa" w:w="80"/>
              <w:left w:type="dxa" w:w="100"/>
              <w:bottom w:type="dxa" w:w="80"/>
              <w:right w:type="dxa" w:w="100"/>
            </w:tcMar>
          </w:tcPr>
          <w:p>
            <w:r>
              <w:rPr>
                <w:sz w:val="20"/>
                <w:szCs w:val="20"/>
              </w:rPr>
              <w:t xml:space="preserve">Pending Reboot</w:t>
            </w:r>
          </w:p>
        </w:tc>
        <w:tc>
          <w:tcPr>
            <w:tcW w:type="dxa" w:w="2600"/>
            <w:tcMar>
              <w:top w:type="dxa" w:w="80"/>
              <w:left w:type="dxa" w:w="100"/>
              <w:bottom w:type="dxa" w:w="80"/>
              <w:right w:type="dxa" w:w="100"/>
            </w:tcMar>
          </w:tcPr>
          <w:p>
            <w:r>
              <w:rPr>
                <w:sz w:val="20"/>
                <w:szCs w:val="20"/>
              </w:rPr>
              <w:t xml:space="preserve">Confirm no pending reboot that could interfere with setup</w:t>
            </w:r>
          </w:p>
        </w:tc>
        <w:tc>
          <w:tcPr>
            <w:tcW w:type="dxa" w:w="3200"/>
            <w:tcMar>
              <w:top w:type="dxa" w:w="80"/>
              <w:left w:type="dxa" w:w="100"/>
              <w:bottom w:type="dxa" w:w="80"/>
              <w:right w:type="dxa" w:w="100"/>
            </w:tcMar>
          </w:tcPr>
          <w:p>
            <w:r>
              <w:rPr>
                <w:sz w:val="20"/>
                <w:szCs w:val="20"/>
              </w:rPr>
              <w:t xml:space="preserve">`Get-ItemProperty 'HKLM:\SOFTWARE\Microsoft\Windows\CurrentVersion\Component Based Servicing\RebootPending' -EA SilentlyContinue`</w:t>
            </w:r>
          </w:p>
        </w:tc>
        <w:tc>
          <w:tcPr>
            <w:tcW w:type="dxa" w:w="2400"/>
            <w:tcMar>
              <w:top w:type="dxa" w:w="80"/>
              <w:left w:type="dxa" w:w="100"/>
              <w:bottom w:type="dxa" w:w="80"/>
              <w:right w:type="dxa" w:w="100"/>
            </w:tcMar>
          </w:tcPr>
          <w:p>
            <w:r>
              <w:rPr>
                <w:sz w:val="20"/>
                <w:szCs w:val="20"/>
              </w:rPr>
              <w:t xml:space="preserve">No RebootPending key present</w:t>
            </w:r>
          </w:p>
        </w:tc>
      </w:tr>
      <w:tr>
        <w:tc>
          <w:tcPr>
            <w:tcW w:type="dxa" w:w="1800"/>
            <w:shd w:fill="F2F2F2" w:val="clear"/>
            <w:tcMar>
              <w:top w:type="dxa" w:w="80"/>
              <w:left w:type="dxa" w:w="100"/>
              <w:bottom w:type="dxa" w:w="80"/>
              <w:right w:type="dxa" w:w="100"/>
            </w:tcMar>
          </w:tcPr>
          <w:p>
            <w:r>
              <w:rPr>
                <w:sz w:val="20"/>
                <w:szCs w:val="20"/>
              </w:rPr>
              <w:t xml:space="preserve">Windows Updates</w:t>
            </w:r>
          </w:p>
        </w:tc>
        <w:tc>
          <w:tcPr>
            <w:tcW w:type="dxa" w:w="2600"/>
            <w:shd w:fill="F2F2F2" w:val="clear"/>
            <w:tcMar>
              <w:top w:type="dxa" w:w="80"/>
              <w:left w:type="dxa" w:w="100"/>
              <w:bottom w:type="dxa" w:w="80"/>
              <w:right w:type="dxa" w:w="100"/>
            </w:tcMar>
          </w:tcPr>
          <w:p>
            <w:r>
              <w:rPr>
                <w:sz w:val="20"/>
                <w:szCs w:val="20"/>
              </w:rPr>
              <w:t xml:space="preserve">Confirm fully patched baseline and no updates mid-install</w:t>
            </w:r>
          </w:p>
        </w:tc>
        <w:tc>
          <w:tcPr>
            <w:tcW w:type="dxa" w:w="3200"/>
            <w:shd w:fill="F2F2F2" w:val="clear"/>
            <w:tcMar>
              <w:top w:type="dxa" w:w="80"/>
              <w:left w:type="dxa" w:w="100"/>
              <w:bottom w:type="dxa" w:w="80"/>
              <w:right w:type="dxa" w:w="100"/>
            </w:tcMar>
          </w:tcPr>
          <w:p>
            <w:r>
              <w:rPr>
                <w:sz w:val="20"/>
                <w:szCs w:val="20"/>
              </w:rPr>
              <w:t xml:space="preserve">`Get-HotFix | Sort-Object InstalledOn -Descending | Select -First 10`</w:t>
            </w:r>
          </w:p>
        </w:tc>
        <w:tc>
          <w:tcPr>
            <w:tcW w:type="dxa" w:w="2400"/>
            <w:shd w:fill="F2F2F2" w:val="clear"/>
            <w:tcMar>
              <w:top w:type="dxa" w:w="80"/>
              <w:left w:type="dxa" w:w="100"/>
              <w:bottom w:type="dxa" w:w="80"/>
              <w:right w:type="dxa" w:w="100"/>
            </w:tcMar>
          </w:tcPr>
          <w:p>
            <w:r>
              <w:rPr>
                <w:sz w:val="20"/>
                <w:szCs w:val="20"/>
              </w:rPr>
              <w:t xml:space="preserve">Latest CU installed, no updates in progress</w:t>
            </w:r>
          </w:p>
        </w:tc>
      </w:tr>
      <w:tr>
        <w:tc>
          <w:tcPr>
            <w:tcW w:type="dxa" w:w="1800"/>
            <w:tcMar>
              <w:top w:type="dxa" w:w="80"/>
              <w:left w:type="dxa" w:w="100"/>
              <w:bottom w:type="dxa" w:w="80"/>
              <w:right w:type="dxa" w:w="100"/>
            </w:tcMar>
          </w:tcPr>
          <w:p>
            <w:r>
              <w:rPr>
                <w:sz w:val="20"/>
                <w:szCs w:val="20"/>
              </w:rPr>
              <w:t xml:space="preserve">Critical Services</w:t>
            </w:r>
          </w:p>
        </w:tc>
        <w:tc>
          <w:tcPr>
            <w:tcW w:type="dxa" w:w="2600"/>
            <w:tcMar>
              <w:top w:type="dxa" w:w="80"/>
              <w:left w:type="dxa" w:w="100"/>
              <w:bottom w:type="dxa" w:w="80"/>
              <w:right w:type="dxa" w:w="100"/>
            </w:tcMar>
          </w:tcPr>
          <w:p>
            <w:r>
              <w:rPr>
                <w:sz w:val="20"/>
                <w:szCs w:val="20"/>
              </w:rPr>
              <w:t xml:space="preserve">Baseline running/auto-start services</w:t>
            </w:r>
          </w:p>
        </w:tc>
        <w:tc>
          <w:tcPr>
            <w:tcW w:type="dxa" w:w="3200"/>
            <w:tcMar>
              <w:top w:type="dxa" w:w="80"/>
              <w:left w:type="dxa" w:w="100"/>
              <w:bottom w:type="dxa" w:w="80"/>
              <w:right w:type="dxa" w:w="100"/>
            </w:tcMar>
          </w:tcPr>
          <w:p>
            <w:r>
              <w:rPr>
                <w:sz w:val="20"/>
                <w:szCs w:val="20"/>
              </w:rPr>
              <w:t xml:space="preserve">`Get-Service | Where-Object {$_.StartType -eq 'Automatic' -and $_.Status -ne 'Running'}`</w:t>
            </w:r>
          </w:p>
        </w:tc>
        <w:tc>
          <w:tcPr>
            <w:tcW w:type="dxa" w:w="2400"/>
            <w:tcMar>
              <w:top w:type="dxa" w:w="80"/>
              <w:left w:type="dxa" w:w="100"/>
              <w:bottom w:type="dxa" w:w="80"/>
              <w:right w:type="dxa" w:w="100"/>
            </w:tcMar>
          </w:tcPr>
          <w:p>
            <w:r>
              <w:rPr>
                <w:sz w:val="20"/>
                <w:szCs w:val="20"/>
              </w:rPr>
              <w:t xml:space="preserve">No unexpected stopped automatic services</w:t>
            </w:r>
          </w:p>
        </w:tc>
      </w:tr>
      <w:tr>
        <w:tc>
          <w:tcPr>
            <w:tcW w:type="dxa" w:w="1800"/>
            <w:shd w:fill="F2F2F2" w:val="clear"/>
            <w:tcMar>
              <w:top w:type="dxa" w:w="80"/>
              <w:left w:type="dxa" w:w="100"/>
              <w:bottom w:type="dxa" w:w="80"/>
              <w:right w:type="dxa" w:w="100"/>
            </w:tcMar>
          </w:tcPr>
          <w:p>
            <w:r>
              <w:rPr>
                <w:sz w:val="20"/>
                <w:szCs w:val="20"/>
              </w:rPr>
              <w:t xml:space="preserve">Domain Membership</w:t>
            </w:r>
          </w:p>
        </w:tc>
        <w:tc>
          <w:tcPr>
            <w:tcW w:type="dxa" w:w="2600"/>
            <w:shd w:fill="F2F2F2" w:val="clear"/>
            <w:tcMar>
              <w:top w:type="dxa" w:w="80"/>
              <w:left w:type="dxa" w:w="100"/>
              <w:bottom w:type="dxa" w:w="80"/>
              <w:right w:type="dxa" w:w="100"/>
            </w:tcMar>
          </w:tcPr>
          <w:p>
            <w:r>
              <w:rPr>
                <w:sz w:val="20"/>
                <w:szCs w:val="20"/>
              </w:rPr>
              <w:t xml:space="preserve">Confirm domain trust is healthy before upgrade</w:t>
            </w:r>
          </w:p>
        </w:tc>
        <w:tc>
          <w:tcPr>
            <w:tcW w:type="dxa" w:w="3200"/>
            <w:shd w:fill="F2F2F2" w:val="clear"/>
            <w:tcMar>
              <w:top w:type="dxa" w:w="80"/>
              <w:left w:type="dxa" w:w="100"/>
              <w:bottom w:type="dxa" w:w="80"/>
              <w:right w:type="dxa" w:w="100"/>
            </w:tcMar>
          </w:tcPr>
          <w:p>
            <w:r>
              <w:rPr>
                <w:sz w:val="20"/>
                <w:szCs w:val="20"/>
              </w:rPr>
              <w:t xml:space="preserve">`Test-ComputerSecureChannel -Verbose`</w:t>
            </w:r>
          </w:p>
        </w:tc>
        <w:tc>
          <w:tcPr>
            <w:tcW w:type="dxa" w:w="2400"/>
            <w:shd w:fill="F2F2F2" w:val="clear"/>
            <w:tcMar>
              <w:top w:type="dxa" w:w="80"/>
              <w:left w:type="dxa" w:w="100"/>
              <w:bottom w:type="dxa" w:w="80"/>
              <w:right w:type="dxa" w:w="100"/>
            </w:tcMar>
          </w:tcPr>
          <w:p>
            <w:r>
              <w:rPr>
                <w:sz w:val="20"/>
                <w:szCs w:val="20"/>
              </w:rPr>
              <w:t xml:space="preserve">Returns True</w:t>
            </w:r>
          </w:p>
        </w:tc>
      </w:tr>
      <w:tr>
        <w:tc>
          <w:tcPr>
            <w:tcW w:type="dxa" w:w="1800"/>
            <w:tcMar>
              <w:top w:type="dxa" w:w="80"/>
              <w:left w:type="dxa" w:w="100"/>
              <w:bottom w:type="dxa" w:w="80"/>
              <w:right w:type="dxa" w:w="100"/>
            </w:tcMar>
          </w:tcPr>
          <w:p>
            <w:r>
              <w:rPr>
                <w:sz w:val="20"/>
                <w:szCs w:val="20"/>
              </w:rPr>
              <w:t xml:space="preserve">FSMO Role Holders (if DC)</w:t>
            </w:r>
          </w:p>
        </w:tc>
        <w:tc>
          <w:tcPr>
            <w:tcW w:type="dxa" w:w="2600"/>
            <w:tcMar>
              <w:top w:type="dxa" w:w="80"/>
              <w:left w:type="dxa" w:w="100"/>
              <w:bottom w:type="dxa" w:w="80"/>
              <w:right w:type="dxa" w:w="100"/>
            </w:tcMar>
          </w:tcPr>
          <w:p>
            <w:r>
              <w:rPr>
                <w:sz w:val="20"/>
                <w:szCs w:val="20"/>
              </w:rPr>
              <w:t xml:space="preserve">Document FSMO holders if the server is a Domain Controller</w:t>
            </w:r>
          </w:p>
        </w:tc>
        <w:tc>
          <w:tcPr>
            <w:tcW w:type="dxa" w:w="3200"/>
            <w:tcMar>
              <w:top w:type="dxa" w:w="80"/>
              <w:left w:type="dxa" w:w="100"/>
              <w:bottom w:type="dxa" w:w="80"/>
              <w:right w:type="dxa" w:w="100"/>
            </w:tcMar>
          </w:tcPr>
          <w:p>
            <w:r>
              <w:rPr>
                <w:sz w:val="20"/>
                <w:szCs w:val="20"/>
              </w:rPr>
              <w:t xml:space="preserve">`netdom query fsmo`</w:t>
            </w:r>
          </w:p>
        </w:tc>
        <w:tc>
          <w:tcPr>
            <w:tcW w:type="dxa" w:w="2400"/>
            <w:tcMar>
              <w:top w:type="dxa" w:w="80"/>
              <w:left w:type="dxa" w:w="100"/>
              <w:bottom w:type="dxa" w:w="80"/>
              <w:right w:type="dxa" w:w="100"/>
            </w:tcMar>
          </w:tcPr>
          <w:p>
            <w:r>
              <w:rPr>
                <w:sz w:val="20"/>
                <w:szCs w:val="20"/>
              </w:rPr>
              <w:t xml:space="preserve">Documented; DC-specific procedure applies if applicable</w:t>
            </w:r>
          </w:p>
        </w:tc>
      </w:tr>
      <w:tr>
        <w:tc>
          <w:tcPr>
            <w:tcW w:type="dxa" w:w="1800"/>
            <w:shd w:fill="F2F2F2" w:val="clear"/>
            <w:tcMar>
              <w:top w:type="dxa" w:w="80"/>
              <w:left w:type="dxa" w:w="100"/>
              <w:bottom w:type="dxa" w:w="80"/>
              <w:right w:type="dxa" w:w="100"/>
            </w:tcMar>
          </w:tcPr>
          <w:p>
            <w:r>
              <w:rPr>
                <w:sz w:val="20"/>
                <w:szCs w:val="20"/>
              </w:rPr>
              <w:t xml:space="preserve">Time Synchronization</w:t>
            </w:r>
          </w:p>
        </w:tc>
        <w:tc>
          <w:tcPr>
            <w:tcW w:type="dxa" w:w="2600"/>
            <w:shd w:fill="F2F2F2" w:val="clear"/>
            <w:tcMar>
              <w:top w:type="dxa" w:w="80"/>
              <w:left w:type="dxa" w:w="100"/>
              <w:bottom w:type="dxa" w:w="80"/>
              <w:right w:type="dxa" w:w="100"/>
            </w:tcMar>
          </w:tcPr>
          <w:p>
            <w:r>
              <w:rPr>
                <w:sz w:val="20"/>
                <w:szCs w:val="20"/>
              </w:rPr>
              <w:t xml:space="preserve">Confirm accurate time source (Kerberos dependency)</w:t>
            </w:r>
          </w:p>
        </w:tc>
        <w:tc>
          <w:tcPr>
            <w:tcW w:type="dxa" w:w="3200"/>
            <w:shd w:fill="F2F2F2" w:val="clear"/>
            <w:tcMar>
              <w:top w:type="dxa" w:w="80"/>
              <w:left w:type="dxa" w:w="100"/>
              <w:bottom w:type="dxa" w:w="80"/>
              <w:right w:type="dxa" w:w="100"/>
            </w:tcMar>
          </w:tcPr>
          <w:p>
            <w:r>
              <w:rPr>
                <w:sz w:val="20"/>
                <w:szCs w:val="20"/>
              </w:rPr>
              <w:t xml:space="preserve">`w32tm /query /status`</w:t>
            </w:r>
          </w:p>
        </w:tc>
        <w:tc>
          <w:tcPr>
            <w:tcW w:type="dxa" w:w="2400"/>
            <w:shd w:fill="F2F2F2" w:val="clear"/>
            <w:tcMar>
              <w:top w:type="dxa" w:w="80"/>
              <w:left w:type="dxa" w:w="100"/>
              <w:bottom w:type="dxa" w:w="80"/>
              <w:right w:type="dxa" w:w="100"/>
            </w:tcMar>
          </w:tcPr>
          <w:p>
            <w:r>
              <w:rPr>
                <w:sz w:val="20"/>
                <w:szCs w:val="20"/>
              </w:rPr>
              <w:t xml:space="preserve">Within 5 minutes of domain time source</w:t>
            </w:r>
          </w:p>
        </w:tc>
      </w:tr>
      <w:tr>
        <w:tc>
          <w:tcPr>
            <w:tcW w:type="dxa" w:w="1800"/>
            <w:tcMar>
              <w:top w:type="dxa" w:w="80"/>
              <w:left w:type="dxa" w:w="100"/>
              <w:bottom w:type="dxa" w:w="80"/>
              <w:right w:type="dxa" w:w="100"/>
            </w:tcMar>
          </w:tcPr>
          <w:p>
            <w:r>
              <w:rPr>
                <w:sz w:val="20"/>
                <w:szCs w:val="20"/>
              </w:rPr>
              <w:t xml:space="preserve">Certificates</w:t>
            </w:r>
          </w:p>
        </w:tc>
        <w:tc>
          <w:tcPr>
            <w:tcW w:type="dxa" w:w="2600"/>
            <w:tcMar>
              <w:top w:type="dxa" w:w="80"/>
              <w:left w:type="dxa" w:w="100"/>
              <w:bottom w:type="dxa" w:w="80"/>
              <w:right w:type="dxa" w:w="100"/>
            </w:tcMar>
          </w:tcPr>
          <w:p>
            <w:r>
              <w:rPr>
                <w:sz w:val="20"/>
                <w:szCs w:val="20"/>
              </w:rPr>
              <w:t xml:space="preserve">Inventory installed certificates for services relying on them (IIS, SQL, RDP)</w:t>
            </w:r>
          </w:p>
        </w:tc>
        <w:tc>
          <w:tcPr>
            <w:tcW w:type="dxa" w:w="3200"/>
            <w:tcMar>
              <w:top w:type="dxa" w:w="80"/>
              <w:left w:type="dxa" w:w="100"/>
              <w:bottom w:type="dxa" w:w="80"/>
              <w:right w:type="dxa" w:w="100"/>
            </w:tcMar>
          </w:tcPr>
          <w:p>
            <w:r>
              <w:rPr>
                <w:sz w:val="20"/>
                <w:szCs w:val="20"/>
              </w:rPr>
              <w:t xml:space="preserve">`Get-ChildItem Cert:\LocalMachine\My`</w:t>
            </w:r>
          </w:p>
        </w:tc>
        <w:tc>
          <w:tcPr>
            <w:tcW w:type="dxa" w:w="2400"/>
            <w:tcMar>
              <w:top w:type="dxa" w:w="80"/>
              <w:left w:type="dxa" w:w="100"/>
              <w:bottom w:type="dxa" w:w="80"/>
              <w:right w:type="dxa" w:w="100"/>
            </w:tcMar>
          </w:tcPr>
          <w:p>
            <w:r>
              <w:rPr>
                <w:sz w:val="20"/>
                <w:szCs w:val="20"/>
              </w:rPr>
              <w:t xml:space="preserve">Certificates documented; expiry dates noted</w:t>
            </w:r>
          </w:p>
        </w:tc>
      </w:tr>
      <w:tr>
        <w:tc>
          <w:tcPr>
            <w:tcW w:type="dxa" w:w="1800"/>
            <w:shd w:fill="F2F2F2" w:val="clear"/>
            <w:tcMar>
              <w:top w:type="dxa" w:w="80"/>
              <w:left w:type="dxa" w:w="100"/>
              <w:bottom w:type="dxa" w:w="80"/>
              <w:right w:type="dxa" w:w="100"/>
            </w:tcMar>
          </w:tcPr>
          <w:p>
            <w:r>
              <w:rPr>
                <w:sz w:val="20"/>
                <w:szCs w:val="20"/>
              </w:rPr>
              <w:t xml:space="preserve">Scheduled Tasks</w:t>
            </w:r>
          </w:p>
        </w:tc>
        <w:tc>
          <w:tcPr>
            <w:tcW w:type="dxa" w:w="2600"/>
            <w:shd w:fill="F2F2F2" w:val="clear"/>
            <w:tcMar>
              <w:top w:type="dxa" w:w="80"/>
              <w:left w:type="dxa" w:w="100"/>
              <w:bottom w:type="dxa" w:w="80"/>
              <w:right w:type="dxa" w:w="100"/>
            </w:tcMar>
          </w:tcPr>
          <w:p>
            <w:r>
              <w:rPr>
                <w:sz w:val="20"/>
                <w:szCs w:val="20"/>
              </w:rPr>
              <w:t xml:space="preserve">Baseline scheduled tasks to confirm post-upgrade persistence</w:t>
            </w:r>
          </w:p>
        </w:tc>
        <w:tc>
          <w:tcPr>
            <w:tcW w:type="dxa" w:w="3200"/>
            <w:shd w:fill="F2F2F2" w:val="clear"/>
            <w:tcMar>
              <w:top w:type="dxa" w:w="80"/>
              <w:left w:type="dxa" w:w="100"/>
              <w:bottom w:type="dxa" w:w="80"/>
              <w:right w:type="dxa" w:w="100"/>
            </w:tcMar>
          </w:tcPr>
          <w:p>
            <w:r>
              <w:rPr>
                <w:sz w:val="20"/>
                <w:szCs w:val="20"/>
              </w:rPr>
              <w:t xml:space="preserve">`Get-ScheduledTask | Where-Object {$_.State -ne 'Disabled'}`</w:t>
            </w:r>
          </w:p>
        </w:tc>
        <w:tc>
          <w:tcPr>
            <w:tcW w:type="dxa" w:w="2400"/>
            <w:shd w:fill="F2F2F2" w:val="clear"/>
            <w:tcMar>
              <w:top w:type="dxa" w:w="80"/>
              <w:left w:type="dxa" w:w="100"/>
              <w:bottom w:type="dxa" w:w="80"/>
              <w:right w:type="dxa" w:w="100"/>
            </w:tcMar>
          </w:tcPr>
          <w:p>
            <w:r>
              <w:rPr>
                <w:sz w:val="20"/>
                <w:szCs w:val="20"/>
              </w:rPr>
              <w:t xml:space="preserve">List captured for comparison post-upgrade</w:t>
            </w:r>
          </w:p>
        </w:tc>
      </w:tr>
      <w:tr>
        <w:tc>
          <w:tcPr>
            <w:tcW w:type="dxa" w:w="1800"/>
            <w:tcMar>
              <w:top w:type="dxa" w:w="80"/>
              <w:left w:type="dxa" w:w="100"/>
              <w:bottom w:type="dxa" w:w="80"/>
              <w:right w:type="dxa" w:w="100"/>
            </w:tcMar>
          </w:tcPr>
          <w:p>
            <w:r>
              <w:rPr>
                <w:sz w:val="20"/>
                <w:szCs w:val="20"/>
              </w:rPr>
              <w:t xml:space="preserve">Firewall Rules</w:t>
            </w:r>
          </w:p>
        </w:tc>
        <w:tc>
          <w:tcPr>
            <w:tcW w:type="dxa" w:w="2600"/>
            <w:tcMar>
              <w:top w:type="dxa" w:w="80"/>
              <w:left w:type="dxa" w:w="100"/>
              <w:bottom w:type="dxa" w:w="80"/>
              <w:right w:type="dxa" w:w="100"/>
            </w:tcMar>
          </w:tcPr>
          <w:p>
            <w:r>
              <w:rPr>
                <w:sz w:val="20"/>
                <w:szCs w:val="20"/>
              </w:rPr>
              <w:t xml:space="preserve">Baseline custom firewall rules</w:t>
            </w:r>
          </w:p>
        </w:tc>
        <w:tc>
          <w:tcPr>
            <w:tcW w:type="dxa" w:w="3200"/>
            <w:tcMar>
              <w:top w:type="dxa" w:w="80"/>
              <w:left w:type="dxa" w:w="100"/>
              <w:bottom w:type="dxa" w:w="80"/>
              <w:right w:type="dxa" w:w="100"/>
            </w:tcMar>
          </w:tcPr>
          <w:p>
            <w:r>
              <w:rPr>
                <w:sz w:val="20"/>
                <w:szCs w:val="20"/>
              </w:rPr>
              <w:t xml:space="preserve">`Get-NetFirewallRule -Enabled True | Select DisplayName, Direction, Action`</w:t>
            </w:r>
          </w:p>
        </w:tc>
        <w:tc>
          <w:tcPr>
            <w:tcW w:type="dxa" w:w="2400"/>
            <w:tcMar>
              <w:top w:type="dxa" w:w="80"/>
              <w:left w:type="dxa" w:w="100"/>
              <w:bottom w:type="dxa" w:w="80"/>
              <w:right w:type="dxa" w:w="100"/>
            </w:tcMar>
          </w:tcPr>
          <w:p>
            <w:r>
              <w:rPr>
                <w:sz w:val="20"/>
                <w:szCs w:val="20"/>
              </w:rPr>
              <w:t xml:space="preserve">Custom rules documented</w:t>
            </w:r>
          </w:p>
        </w:tc>
      </w:tr>
      <w:tr>
        <w:tc>
          <w:tcPr>
            <w:tcW w:type="dxa" w:w="1800"/>
            <w:shd w:fill="F2F2F2" w:val="clear"/>
            <w:tcMar>
              <w:top w:type="dxa" w:w="80"/>
              <w:left w:type="dxa" w:w="100"/>
              <w:bottom w:type="dxa" w:w="80"/>
              <w:right w:type="dxa" w:w="100"/>
            </w:tcMar>
          </w:tcPr>
          <w:p>
            <w:r>
              <w:rPr>
                <w:sz w:val="20"/>
                <w:szCs w:val="20"/>
              </w:rPr>
              <w:t xml:space="preserve">GPO Applied</w:t>
            </w:r>
          </w:p>
        </w:tc>
        <w:tc>
          <w:tcPr>
            <w:tcW w:type="dxa" w:w="2600"/>
            <w:shd w:fill="F2F2F2" w:val="clear"/>
            <w:tcMar>
              <w:top w:type="dxa" w:w="80"/>
              <w:left w:type="dxa" w:w="100"/>
              <w:bottom w:type="dxa" w:w="80"/>
              <w:right w:type="dxa" w:w="100"/>
            </w:tcMar>
          </w:tcPr>
          <w:p>
            <w:r>
              <w:rPr>
                <w:sz w:val="20"/>
                <w:szCs w:val="20"/>
              </w:rPr>
              <w:t xml:space="preserve">Confirm current GPO application is healthy</w:t>
            </w:r>
          </w:p>
        </w:tc>
        <w:tc>
          <w:tcPr>
            <w:tcW w:type="dxa" w:w="3200"/>
            <w:shd w:fill="F2F2F2" w:val="clear"/>
            <w:tcMar>
              <w:top w:type="dxa" w:w="80"/>
              <w:left w:type="dxa" w:w="100"/>
              <w:bottom w:type="dxa" w:w="80"/>
              <w:right w:type="dxa" w:w="100"/>
            </w:tcMar>
          </w:tcPr>
          <w:p>
            <w:r>
              <w:rPr>
                <w:sz w:val="20"/>
                <w:szCs w:val="20"/>
              </w:rPr>
              <w:t xml:space="preserve">`gpresult /r` or `Get-GPResultantSetOfPolicy`</w:t>
            </w:r>
          </w:p>
        </w:tc>
        <w:tc>
          <w:tcPr>
            <w:tcW w:type="dxa" w:w="2400"/>
            <w:shd w:fill="F2F2F2" w:val="clear"/>
            <w:tcMar>
              <w:top w:type="dxa" w:w="80"/>
              <w:left w:type="dxa" w:w="100"/>
              <w:bottom w:type="dxa" w:w="80"/>
              <w:right w:type="dxa" w:w="100"/>
            </w:tcMar>
          </w:tcPr>
          <w:p>
            <w:r>
              <w:rPr>
                <w:sz w:val="20"/>
                <w:szCs w:val="20"/>
              </w:rPr>
              <w:t xml:space="preserve">No errors; expected GPOs applied</w:t>
            </w:r>
          </w:p>
        </w:tc>
      </w:tr>
      <w:tr>
        <w:tc>
          <w:tcPr>
            <w:tcW w:type="dxa" w:w="1800"/>
            <w:tcMar>
              <w:top w:type="dxa" w:w="80"/>
              <w:left w:type="dxa" w:w="100"/>
              <w:bottom w:type="dxa" w:w="80"/>
              <w:right w:type="dxa" w:w="100"/>
            </w:tcMar>
          </w:tcPr>
          <w:p>
            <w:r>
              <w:rPr>
                <w:sz w:val="20"/>
                <w:szCs w:val="20"/>
              </w:rPr>
              <w:t xml:space="preserve">Windows Activation</w:t>
            </w:r>
          </w:p>
        </w:tc>
        <w:tc>
          <w:tcPr>
            <w:tcW w:type="dxa" w:w="2600"/>
            <w:tcMar>
              <w:top w:type="dxa" w:w="80"/>
              <w:left w:type="dxa" w:w="100"/>
              <w:bottom w:type="dxa" w:w="80"/>
              <w:right w:type="dxa" w:w="100"/>
            </w:tcMar>
          </w:tcPr>
          <w:p>
            <w:r>
              <w:rPr>
                <w:sz w:val="20"/>
                <w:szCs w:val="20"/>
              </w:rPr>
              <w:t xml:space="preserve">Confirm current activation status</w:t>
            </w:r>
          </w:p>
        </w:tc>
        <w:tc>
          <w:tcPr>
            <w:tcW w:type="dxa" w:w="3200"/>
            <w:tcMar>
              <w:top w:type="dxa" w:w="80"/>
              <w:left w:type="dxa" w:w="100"/>
              <w:bottom w:type="dxa" w:w="80"/>
              <w:right w:type="dxa" w:w="100"/>
            </w:tcMar>
          </w:tcPr>
          <w:p>
            <w:r>
              <w:rPr>
                <w:sz w:val="20"/>
                <w:szCs w:val="20"/>
              </w:rPr>
              <w:t xml:space="preserve">`slmgr /dli`</w:t>
            </w:r>
          </w:p>
        </w:tc>
        <w:tc>
          <w:tcPr>
            <w:tcW w:type="dxa" w:w="2400"/>
            <w:tcMar>
              <w:top w:type="dxa" w:w="80"/>
              <w:left w:type="dxa" w:w="100"/>
              <w:bottom w:type="dxa" w:w="80"/>
              <w:right w:type="dxa" w:w="100"/>
            </w:tcMar>
          </w:tcPr>
          <w:p>
            <w:r>
              <w:rPr>
                <w:sz w:val="20"/>
                <w:szCs w:val="20"/>
              </w:rPr>
              <w:t xml:space="preserve">Licensed status confirmed</w:t>
            </w:r>
          </w:p>
        </w:tc>
      </w:tr>
      <w:tr>
        <w:tc>
          <w:tcPr>
            <w:tcW w:type="dxa" w:w="1800"/>
            <w:shd w:fill="F2F2F2" w:val="clear"/>
            <w:tcMar>
              <w:top w:type="dxa" w:w="80"/>
              <w:left w:type="dxa" w:w="100"/>
              <w:bottom w:type="dxa" w:w="80"/>
              <w:right w:type="dxa" w:w="100"/>
            </w:tcMar>
          </w:tcPr>
          <w:p>
            <w:r>
              <w:rPr>
                <w:sz w:val="20"/>
                <w:szCs w:val="20"/>
              </w:rPr>
              <w:t xml:space="preserve">Installed Applications</w:t>
            </w:r>
          </w:p>
        </w:tc>
        <w:tc>
          <w:tcPr>
            <w:tcW w:type="dxa" w:w="2600"/>
            <w:shd w:fill="F2F2F2" w:val="clear"/>
            <w:tcMar>
              <w:top w:type="dxa" w:w="80"/>
              <w:left w:type="dxa" w:w="100"/>
              <w:bottom w:type="dxa" w:w="80"/>
              <w:right w:type="dxa" w:w="100"/>
            </w:tcMar>
          </w:tcPr>
          <w:p>
            <w:r>
              <w:rPr>
                <w:sz w:val="20"/>
                <w:szCs w:val="20"/>
              </w:rPr>
              <w:t xml:space="preserve">Full application inventory (see Section 3.1 command)</w:t>
            </w:r>
          </w:p>
        </w:tc>
        <w:tc>
          <w:tcPr>
            <w:tcW w:type="dxa" w:w="3200"/>
            <w:shd w:fill="F2F2F2" w:val="clear"/>
            <w:tcMar>
              <w:top w:type="dxa" w:w="80"/>
              <w:left w:type="dxa" w:w="100"/>
              <w:bottom w:type="dxa" w:w="80"/>
              <w:right w:type="dxa" w:w="100"/>
            </w:tcMar>
          </w:tcPr>
          <w:p>
            <w:r>
              <w:rPr>
                <w:sz w:val="20"/>
                <w:szCs w:val="20"/>
              </w:rPr>
              <w:t xml:space="preserve">See Section 3.1</w:t>
            </w:r>
          </w:p>
        </w:tc>
        <w:tc>
          <w:tcPr>
            <w:tcW w:type="dxa" w:w="2400"/>
            <w:shd w:fill="F2F2F2" w:val="clear"/>
            <w:tcMar>
              <w:top w:type="dxa" w:w="80"/>
              <w:left w:type="dxa" w:w="100"/>
              <w:bottom w:type="dxa" w:w="80"/>
              <w:right w:type="dxa" w:w="100"/>
            </w:tcMar>
          </w:tcPr>
          <w:p>
            <w:r>
              <w:rPr>
                <w:sz w:val="20"/>
                <w:szCs w:val="20"/>
              </w:rPr>
              <w:t xml:space="preserve">Matches CMDB; vendor compatibility confirmed</w:t>
            </w:r>
          </w:p>
        </w:tc>
      </w:tr>
      <w:tr>
        <w:tc>
          <w:tcPr>
            <w:tcW w:type="dxa" w:w="1800"/>
            <w:tcMar>
              <w:top w:type="dxa" w:w="80"/>
              <w:left w:type="dxa" w:w="100"/>
              <w:bottom w:type="dxa" w:w="80"/>
              <w:right w:type="dxa" w:w="100"/>
            </w:tcMar>
          </w:tcPr>
          <w:p>
            <w:r>
              <w:rPr>
                <w:sz w:val="20"/>
                <w:szCs w:val="20"/>
              </w:rPr>
              <w:t xml:space="preserve">Drivers</w:t>
            </w:r>
          </w:p>
        </w:tc>
        <w:tc>
          <w:tcPr>
            <w:tcW w:type="dxa" w:w="2600"/>
            <w:tcMar>
              <w:top w:type="dxa" w:w="80"/>
              <w:left w:type="dxa" w:w="100"/>
              <w:bottom w:type="dxa" w:w="80"/>
              <w:right w:type="dxa" w:w="100"/>
            </w:tcMar>
          </w:tcPr>
          <w:p>
            <w:r>
              <w:rPr>
                <w:sz w:val="20"/>
                <w:szCs w:val="20"/>
              </w:rPr>
              <w:t xml:space="preserve">Full driver inventory (see Section 3.1 command)</w:t>
            </w:r>
          </w:p>
        </w:tc>
        <w:tc>
          <w:tcPr>
            <w:tcW w:type="dxa" w:w="3200"/>
            <w:tcMar>
              <w:top w:type="dxa" w:w="80"/>
              <w:left w:type="dxa" w:w="100"/>
              <w:bottom w:type="dxa" w:w="80"/>
              <w:right w:type="dxa" w:w="100"/>
            </w:tcMar>
          </w:tcPr>
          <w:p>
            <w:r>
              <w:rPr>
                <w:sz w:val="20"/>
                <w:szCs w:val="20"/>
              </w:rPr>
              <w:t xml:space="preserve">See Section 3.1</w:t>
            </w:r>
          </w:p>
        </w:tc>
        <w:tc>
          <w:tcPr>
            <w:tcW w:type="dxa" w:w="2400"/>
            <w:tcMar>
              <w:top w:type="dxa" w:w="80"/>
              <w:left w:type="dxa" w:w="100"/>
              <w:bottom w:type="dxa" w:w="80"/>
              <w:right w:type="dxa" w:w="100"/>
            </w:tcMar>
          </w:tcPr>
          <w:p>
            <w:r>
              <w:rPr>
                <w:sz w:val="20"/>
                <w:szCs w:val="20"/>
              </w:rPr>
              <w:t xml:space="preserve">No unsigned/unknown drivers</w:t>
            </w:r>
          </w:p>
        </w:tc>
      </w:tr>
      <w:tr>
        <w:tc>
          <w:tcPr>
            <w:tcW w:type="dxa" w:w="1800"/>
            <w:shd w:fill="F2F2F2" w:val="clear"/>
            <w:tcMar>
              <w:top w:type="dxa" w:w="80"/>
              <w:left w:type="dxa" w:w="100"/>
              <w:bottom w:type="dxa" w:w="80"/>
              <w:right w:type="dxa" w:w="100"/>
            </w:tcMar>
          </w:tcPr>
          <w:p>
            <w:r>
              <w:rPr>
                <w:sz w:val="20"/>
                <w:szCs w:val="20"/>
              </w:rPr>
              <w:t xml:space="preserve">Event Viewer</w:t>
            </w:r>
          </w:p>
        </w:tc>
        <w:tc>
          <w:tcPr>
            <w:tcW w:type="dxa" w:w="2600"/>
            <w:shd w:fill="F2F2F2" w:val="clear"/>
            <w:tcMar>
              <w:top w:type="dxa" w:w="80"/>
              <w:left w:type="dxa" w:w="100"/>
              <w:bottom w:type="dxa" w:w="80"/>
              <w:right w:type="dxa" w:w="100"/>
            </w:tcMar>
          </w:tcPr>
          <w:p>
            <w:r>
              <w:rPr>
                <w:sz w:val="20"/>
                <w:szCs w:val="20"/>
              </w:rPr>
              <w:t xml:space="preserve">Baseline current error/warning volume</w:t>
            </w:r>
          </w:p>
        </w:tc>
        <w:tc>
          <w:tcPr>
            <w:tcW w:type="dxa" w:w="3200"/>
            <w:shd w:fill="F2F2F2" w:val="clear"/>
            <w:tcMar>
              <w:top w:type="dxa" w:w="80"/>
              <w:left w:type="dxa" w:w="100"/>
              <w:bottom w:type="dxa" w:w="80"/>
              <w:right w:type="dxa" w:w="100"/>
            </w:tcMar>
          </w:tcPr>
          <w:p>
            <w:r>
              <w:rPr>
                <w:sz w:val="20"/>
                <w:szCs w:val="20"/>
              </w:rPr>
              <w:t xml:space="preserve">`Get-WinEvent -LogName System -MaxEvents 50 | Where-Object {$_.LevelDisplayName -in 'Error','Warning'}`</w:t>
            </w:r>
          </w:p>
        </w:tc>
        <w:tc>
          <w:tcPr>
            <w:tcW w:type="dxa" w:w="2400"/>
            <w:shd w:fill="F2F2F2" w:val="clear"/>
            <w:tcMar>
              <w:top w:type="dxa" w:w="80"/>
              <w:left w:type="dxa" w:w="100"/>
              <w:bottom w:type="dxa" w:w="80"/>
              <w:right w:type="dxa" w:w="100"/>
            </w:tcMar>
          </w:tcPr>
          <w:p>
            <w:r>
              <w:rPr>
                <w:sz w:val="20"/>
                <w:szCs w:val="20"/>
              </w:rPr>
              <w:t xml:space="preserve">No unresolved critical errors</w:t>
            </w:r>
          </w:p>
        </w:tc>
      </w:tr>
      <w:tr>
        <w:tc>
          <w:tcPr>
            <w:tcW w:type="dxa" w:w="1800"/>
            <w:tcMar>
              <w:top w:type="dxa" w:w="80"/>
              <w:left w:type="dxa" w:w="100"/>
              <w:bottom w:type="dxa" w:w="80"/>
              <w:right w:type="dxa" w:w="100"/>
            </w:tcMar>
          </w:tcPr>
          <w:p>
            <w:r>
              <w:rPr>
                <w:sz w:val="20"/>
                <w:szCs w:val="20"/>
              </w:rPr>
              <w:t xml:space="preserve">Performance Baseline</w:t>
            </w:r>
          </w:p>
        </w:tc>
        <w:tc>
          <w:tcPr>
            <w:tcW w:type="dxa" w:w="2600"/>
            <w:tcMar>
              <w:top w:type="dxa" w:w="80"/>
              <w:left w:type="dxa" w:w="100"/>
              <w:bottom w:type="dxa" w:w="80"/>
              <w:right w:type="dxa" w:w="100"/>
            </w:tcMar>
          </w:tcPr>
          <w:p>
            <w:r>
              <w:rPr>
                <w:sz w:val="20"/>
                <w:szCs w:val="20"/>
              </w:rPr>
              <w:t xml:space="preserve">Capture CPU/memory/disk baseline for post-upgrade comparison</w:t>
            </w:r>
          </w:p>
        </w:tc>
        <w:tc>
          <w:tcPr>
            <w:tcW w:type="dxa" w:w="3200"/>
            <w:tcMar>
              <w:top w:type="dxa" w:w="80"/>
              <w:left w:type="dxa" w:w="100"/>
              <w:bottom w:type="dxa" w:w="80"/>
              <w:right w:type="dxa" w:w="100"/>
            </w:tcMar>
          </w:tcPr>
          <w:p>
            <w:r>
              <w:rPr>
                <w:sz w:val="20"/>
                <w:szCs w:val="20"/>
              </w:rPr>
              <w:t xml:space="preserve">`Get-Counter '\Processor(_Total)\% Processor Time','\Memory\Available MBytes'`</w:t>
            </w:r>
          </w:p>
        </w:tc>
        <w:tc>
          <w:tcPr>
            <w:tcW w:type="dxa" w:w="2400"/>
            <w:tcMar>
              <w:top w:type="dxa" w:w="80"/>
              <w:left w:type="dxa" w:w="100"/>
              <w:bottom w:type="dxa" w:w="80"/>
              <w:right w:type="dxa" w:w="100"/>
            </w:tcMar>
          </w:tcPr>
          <w:p>
            <w:r>
              <w:rPr>
                <w:sz w:val="20"/>
                <w:szCs w:val="20"/>
              </w:rPr>
              <w:t xml:space="preserve">Baseline recorded and attached to change record</w:t>
            </w:r>
          </w:p>
        </w:tc>
      </w:tr>
      <w:tr>
        <w:tc>
          <w:tcPr>
            <w:tcW w:type="dxa" w:w="1800"/>
            <w:shd w:fill="F2F2F2" w:val="clear"/>
            <w:tcMar>
              <w:top w:type="dxa" w:w="80"/>
              <w:left w:type="dxa" w:w="100"/>
              <w:bottom w:type="dxa" w:w="80"/>
              <w:right w:type="dxa" w:w="100"/>
            </w:tcMar>
          </w:tcPr>
          <w:p>
            <w:r>
              <w:rPr>
                <w:sz w:val="20"/>
                <w:szCs w:val="20"/>
              </w:rPr>
              <w:t xml:space="preserve">Open Ports</w:t>
            </w:r>
          </w:p>
        </w:tc>
        <w:tc>
          <w:tcPr>
            <w:tcW w:type="dxa" w:w="2600"/>
            <w:shd w:fill="F2F2F2" w:val="clear"/>
            <w:tcMar>
              <w:top w:type="dxa" w:w="80"/>
              <w:left w:type="dxa" w:w="100"/>
              <w:bottom w:type="dxa" w:w="80"/>
              <w:right w:type="dxa" w:w="100"/>
            </w:tcMar>
          </w:tcPr>
          <w:p>
            <w:r>
              <w:rPr>
                <w:sz w:val="20"/>
                <w:szCs w:val="20"/>
              </w:rPr>
              <w:t xml:space="preserve">Confirm listening ports match expected service footprint</w:t>
            </w:r>
          </w:p>
        </w:tc>
        <w:tc>
          <w:tcPr>
            <w:tcW w:type="dxa" w:w="3200"/>
            <w:shd w:fill="F2F2F2" w:val="clear"/>
            <w:tcMar>
              <w:top w:type="dxa" w:w="80"/>
              <w:left w:type="dxa" w:w="100"/>
              <w:bottom w:type="dxa" w:w="80"/>
              <w:right w:type="dxa" w:w="100"/>
            </w:tcMar>
          </w:tcPr>
          <w:p>
            <w:r>
              <w:rPr>
                <w:sz w:val="20"/>
                <w:szCs w:val="20"/>
              </w:rPr>
              <w:t xml:space="preserve">`Get-NetTCPConnection -State Listen | Select LocalPort, OwningProcess`</w:t>
            </w:r>
          </w:p>
        </w:tc>
        <w:tc>
          <w:tcPr>
            <w:tcW w:type="dxa" w:w="2400"/>
            <w:shd w:fill="F2F2F2" w:val="clear"/>
            <w:tcMar>
              <w:top w:type="dxa" w:w="80"/>
              <w:left w:type="dxa" w:w="100"/>
              <w:bottom w:type="dxa" w:w="80"/>
              <w:right w:type="dxa" w:w="100"/>
            </w:tcMar>
          </w:tcPr>
          <w:p>
            <w:r>
              <w:rPr>
                <w:sz w:val="20"/>
                <w:szCs w:val="20"/>
              </w:rPr>
              <w:t xml:space="preserve">Matches documented port list</w:t>
            </w:r>
          </w:p>
        </w:tc>
      </w:tr>
      <w:tr>
        <w:tc>
          <w:tcPr>
            <w:tcW w:type="dxa" w:w="1800"/>
            <w:tcMar>
              <w:top w:type="dxa" w:w="80"/>
              <w:left w:type="dxa" w:w="100"/>
              <w:bottom w:type="dxa" w:w="80"/>
              <w:right w:type="dxa" w:w="100"/>
            </w:tcMar>
          </w:tcPr>
          <w:p>
            <w:r>
              <w:rPr>
                <w:sz w:val="20"/>
                <w:szCs w:val="20"/>
              </w:rPr>
              <w:t xml:space="preserve">Installed Hotfixes</w:t>
            </w:r>
          </w:p>
        </w:tc>
        <w:tc>
          <w:tcPr>
            <w:tcW w:type="dxa" w:w="2600"/>
            <w:tcMar>
              <w:top w:type="dxa" w:w="80"/>
              <w:left w:type="dxa" w:w="100"/>
              <w:bottom w:type="dxa" w:w="80"/>
              <w:right w:type="dxa" w:w="100"/>
            </w:tcMar>
          </w:tcPr>
          <w:p>
            <w:r>
              <w:rPr>
                <w:sz w:val="20"/>
                <w:szCs w:val="20"/>
              </w:rPr>
              <w:t xml:space="preserve">Full list for audit trail</w:t>
            </w:r>
          </w:p>
        </w:tc>
        <w:tc>
          <w:tcPr>
            <w:tcW w:type="dxa" w:w="3200"/>
            <w:tcMar>
              <w:top w:type="dxa" w:w="80"/>
              <w:left w:type="dxa" w:w="100"/>
              <w:bottom w:type="dxa" w:w="80"/>
              <w:right w:type="dxa" w:w="100"/>
            </w:tcMar>
          </w:tcPr>
          <w:p>
            <w:r>
              <w:rPr>
                <w:sz w:val="20"/>
                <w:szCs w:val="20"/>
              </w:rPr>
              <w:t xml:space="preserve">`Get-HotFix | Select HotFixID, InstalledOn`</w:t>
            </w:r>
          </w:p>
        </w:tc>
        <w:tc>
          <w:tcPr>
            <w:tcW w:type="dxa" w:w="2400"/>
            <w:tcMar>
              <w:top w:type="dxa" w:w="80"/>
              <w:left w:type="dxa" w:w="100"/>
              <w:bottom w:type="dxa" w:w="80"/>
              <w:right w:type="dxa" w:w="100"/>
            </w:tcMar>
          </w:tcPr>
          <w:p>
            <w:r>
              <w:rPr>
                <w:sz w:val="20"/>
                <w:szCs w:val="20"/>
              </w:rPr>
              <w:t xml:space="preserve">Captured and attached to change record</w:t>
            </w:r>
          </w:p>
        </w:tc>
      </w:tr>
      <w:tr>
        <w:tc>
          <w:tcPr>
            <w:tcW w:type="dxa" w:w="1800"/>
            <w:shd w:fill="F2F2F2" w:val="clear"/>
            <w:tcMar>
              <w:top w:type="dxa" w:w="80"/>
              <w:left w:type="dxa" w:w="100"/>
              <w:bottom w:type="dxa" w:w="80"/>
              <w:right w:type="dxa" w:w="100"/>
            </w:tcMar>
          </w:tcPr>
          <w:p>
            <w:r>
              <w:rPr>
                <w:sz w:val="20"/>
                <w:szCs w:val="20"/>
              </w:rPr>
              <w:t xml:space="preserve">Power Plan</w:t>
            </w:r>
          </w:p>
        </w:tc>
        <w:tc>
          <w:tcPr>
            <w:tcW w:type="dxa" w:w="2600"/>
            <w:shd w:fill="F2F2F2" w:val="clear"/>
            <w:tcMar>
              <w:top w:type="dxa" w:w="80"/>
              <w:left w:type="dxa" w:w="100"/>
              <w:bottom w:type="dxa" w:w="80"/>
              <w:right w:type="dxa" w:w="100"/>
            </w:tcMar>
          </w:tcPr>
          <w:p>
            <w:r>
              <w:rPr>
                <w:sz w:val="20"/>
                <w:szCs w:val="20"/>
              </w:rPr>
              <w:t xml:space="preserve">Confirm High Performance power plan (avoids throttling during upgrade)</w:t>
            </w:r>
          </w:p>
        </w:tc>
        <w:tc>
          <w:tcPr>
            <w:tcW w:type="dxa" w:w="3200"/>
            <w:shd w:fill="F2F2F2" w:val="clear"/>
            <w:tcMar>
              <w:top w:type="dxa" w:w="80"/>
              <w:left w:type="dxa" w:w="100"/>
              <w:bottom w:type="dxa" w:w="80"/>
              <w:right w:type="dxa" w:w="100"/>
            </w:tcMar>
          </w:tcPr>
          <w:p>
            <w:r>
              <w:rPr>
                <w:sz w:val="20"/>
                <w:szCs w:val="20"/>
              </w:rPr>
              <w:t xml:space="preserve">`powercfg /GetActiveScheme`</w:t>
            </w:r>
          </w:p>
        </w:tc>
        <w:tc>
          <w:tcPr>
            <w:tcW w:type="dxa" w:w="2400"/>
            <w:shd w:fill="F2F2F2" w:val="clear"/>
            <w:tcMar>
              <w:top w:type="dxa" w:w="80"/>
              <w:left w:type="dxa" w:w="100"/>
              <w:bottom w:type="dxa" w:w="80"/>
              <w:right w:type="dxa" w:w="100"/>
            </w:tcMar>
          </w:tcPr>
          <w:p>
            <w:r>
              <w:rPr>
                <w:sz w:val="20"/>
                <w:szCs w:val="20"/>
              </w:rPr>
              <w:t xml:space="preserve">High performance active</w:t>
            </w:r>
          </w:p>
        </w:tc>
      </w:tr>
      <w:tr>
        <w:tc>
          <w:tcPr>
            <w:tcW w:type="dxa" w:w="1800"/>
            <w:tcMar>
              <w:top w:type="dxa" w:w="80"/>
              <w:left w:type="dxa" w:w="100"/>
              <w:bottom w:type="dxa" w:w="80"/>
              <w:right w:type="dxa" w:w="100"/>
            </w:tcMar>
          </w:tcPr>
          <w:p>
            <w:r>
              <w:rPr>
                <w:sz w:val="20"/>
                <w:szCs w:val="20"/>
              </w:rPr>
              <w:t xml:space="preserve">SMB Version</w:t>
            </w:r>
          </w:p>
        </w:tc>
        <w:tc>
          <w:tcPr>
            <w:tcW w:type="dxa" w:w="2600"/>
            <w:tcMar>
              <w:top w:type="dxa" w:w="80"/>
              <w:left w:type="dxa" w:w="100"/>
              <w:bottom w:type="dxa" w:w="80"/>
              <w:right w:type="dxa" w:w="100"/>
            </w:tcMar>
          </w:tcPr>
          <w:p>
            <w:r>
              <w:rPr>
                <w:sz w:val="20"/>
                <w:szCs w:val="20"/>
              </w:rPr>
              <w:t xml:space="preserve">Confirm SMB version in use (SMBv1 should be disabled)</w:t>
            </w:r>
          </w:p>
        </w:tc>
        <w:tc>
          <w:tcPr>
            <w:tcW w:type="dxa" w:w="3200"/>
            <w:tcMar>
              <w:top w:type="dxa" w:w="80"/>
              <w:left w:type="dxa" w:w="100"/>
              <w:bottom w:type="dxa" w:w="80"/>
              <w:right w:type="dxa" w:w="100"/>
            </w:tcMar>
          </w:tcPr>
          <w:p>
            <w:r>
              <w:rPr>
                <w:sz w:val="20"/>
                <w:szCs w:val="20"/>
              </w:rPr>
              <w:t xml:space="preserve">`Get-SmbServerConfiguration | Select EnableSMB1Protocol, EnableSMB2Protocol`</w:t>
            </w:r>
          </w:p>
        </w:tc>
        <w:tc>
          <w:tcPr>
            <w:tcW w:type="dxa" w:w="2400"/>
            <w:tcMar>
              <w:top w:type="dxa" w:w="80"/>
              <w:left w:type="dxa" w:w="100"/>
              <w:bottom w:type="dxa" w:w="80"/>
              <w:right w:type="dxa" w:w="100"/>
            </w:tcMar>
          </w:tcPr>
          <w:p>
            <w:r>
              <w:rPr>
                <w:sz w:val="20"/>
                <w:szCs w:val="20"/>
              </w:rPr>
              <w:t xml:space="preserve">SMBv1 disabled, SMBv2/3 enabled</w:t>
            </w:r>
          </w:p>
        </w:tc>
      </w:tr>
      <w:tr>
        <w:tc>
          <w:tcPr>
            <w:tcW w:type="dxa" w:w="1800"/>
            <w:shd w:fill="F2F2F2" w:val="clear"/>
            <w:tcMar>
              <w:top w:type="dxa" w:w="80"/>
              <w:left w:type="dxa" w:w="100"/>
              <w:bottom w:type="dxa" w:w="80"/>
              <w:right w:type="dxa" w:w="100"/>
            </w:tcMar>
          </w:tcPr>
          <w:p>
            <w:r>
              <w:rPr>
                <w:sz w:val="20"/>
                <w:szCs w:val="20"/>
              </w:rPr>
              <w:t xml:space="preserve">RDP Access</w:t>
            </w:r>
          </w:p>
        </w:tc>
        <w:tc>
          <w:tcPr>
            <w:tcW w:type="dxa" w:w="2600"/>
            <w:shd w:fill="F2F2F2" w:val="clear"/>
            <w:tcMar>
              <w:top w:type="dxa" w:w="80"/>
              <w:left w:type="dxa" w:w="100"/>
              <w:bottom w:type="dxa" w:w="80"/>
              <w:right w:type="dxa" w:w="100"/>
            </w:tcMar>
          </w:tcPr>
          <w:p>
            <w:r>
              <w:rPr>
                <w:sz w:val="20"/>
                <w:szCs w:val="20"/>
              </w:rPr>
              <w:t xml:space="preserve">Confirm RDP works for remote engineers (fallback if console access is lost)</w:t>
            </w:r>
          </w:p>
        </w:tc>
        <w:tc>
          <w:tcPr>
            <w:tcW w:type="dxa" w:w="3200"/>
            <w:shd w:fill="F2F2F2" w:val="clear"/>
            <w:tcMar>
              <w:top w:type="dxa" w:w="80"/>
              <w:left w:type="dxa" w:w="100"/>
              <w:bottom w:type="dxa" w:w="80"/>
              <w:right w:type="dxa" w:w="100"/>
            </w:tcMar>
          </w:tcPr>
          <w:p>
            <w:r>
              <w:rPr>
                <w:sz w:val="20"/>
                <w:szCs w:val="20"/>
              </w:rPr>
              <w:t xml:space="preserve">`Get-Service TermService` and `Test-NetConnection -Port 3389`</w:t>
            </w:r>
          </w:p>
        </w:tc>
        <w:tc>
          <w:tcPr>
            <w:tcW w:type="dxa" w:w="2400"/>
            <w:shd w:fill="F2F2F2" w:val="clear"/>
            <w:tcMar>
              <w:top w:type="dxa" w:w="80"/>
              <w:left w:type="dxa" w:w="100"/>
              <w:bottom w:type="dxa" w:w="80"/>
              <w:right w:type="dxa" w:w="100"/>
            </w:tcMar>
          </w:tcPr>
          <w:p>
            <w:r>
              <w:rPr>
                <w:sz w:val="20"/>
                <w:szCs w:val="20"/>
              </w:rPr>
              <w:t xml:space="preserve">Service running, port reachable</w:t>
            </w:r>
          </w:p>
        </w:tc>
      </w:tr>
      <w:tr>
        <w:tc>
          <w:tcPr>
            <w:tcW w:type="dxa" w:w="1800"/>
            <w:tcMar>
              <w:top w:type="dxa" w:w="80"/>
              <w:left w:type="dxa" w:w="100"/>
              <w:bottom w:type="dxa" w:w="80"/>
              <w:right w:type="dxa" w:w="100"/>
            </w:tcMar>
          </w:tcPr>
          <w:p>
            <w:r>
              <w:rPr>
                <w:sz w:val="20"/>
                <w:szCs w:val="20"/>
              </w:rPr>
              <w:t xml:space="preserve">Credential Validation</w:t>
            </w:r>
          </w:p>
        </w:tc>
        <w:tc>
          <w:tcPr>
            <w:tcW w:type="dxa" w:w="2600"/>
            <w:tcMar>
              <w:top w:type="dxa" w:w="80"/>
              <w:left w:type="dxa" w:w="100"/>
              <w:bottom w:type="dxa" w:w="80"/>
              <w:right w:type="dxa" w:w="100"/>
            </w:tcMar>
          </w:tcPr>
          <w:p>
            <w:r>
              <w:rPr>
                <w:sz w:val="20"/>
                <w:szCs w:val="20"/>
              </w:rPr>
              <w:t xml:space="preserve">Confirm privileged account access before starting</w:t>
            </w:r>
          </w:p>
        </w:tc>
        <w:tc>
          <w:tcPr>
            <w:tcW w:type="dxa" w:w="3200"/>
            <w:tcMar>
              <w:top w:type="dxa" w:w="80"/>
              <w:left w:type="dxa" w:w="100"/>
              <w:bottom w:type="dxa" w:w="80"/>
              <w:right w:type="dxa" w:w="100"/>
            </w:tcMar>
          </w:tcPr>
          <w:p>
            <w:r>
              <w:rPr>
                <w:sz w:val="20"/>
                <w:szCs w:val="20"/>
              </w:rPr>
              <w:t xml:space="preserve">Manual login test with break-glass local admin credentials</w:t>
            </w:r>
          </w:p>
        </w:tc>
        <w:tc>
          <w:tcPr>
            <w:tcW w:type="dxa" w:w="2400"/>
            <w:tcMar>
              <w:top w:type="dxa" w:w="80"/>
              <w:left w:type="dxa" w:w="100"/>
              <w:bottom w:type="dxa" w:w="80"/>
              <w:right w:type="dxa" w:w="100"/>
            </w:tcMar>
          </w:tcPr>
          <w:p>
            <w:r>
              <w:rPr>
                <w:sz w:val="20"/>
                <w:szCs w:val="20"/>
              </w:rPr>
              <w:t xml:space="preserve">Successful login confirmed</w:t>
            </w:r>
          </w:p>
        </w:tc>
      </w:tr>
      <w:tr>
        <w:tc>
          <w:tcPr>
            <w:tcW w:type="dxa" w:w="1800"/>
            <w:shd w:fill="F2F2F2" w:val="clear"/>
            <w:tcMar>
              <w:top w:type="dxa" w:w="80"/>
              <w:left w:type="dxa" w:w="100"/>
              <w:bottom w:type="dxa" w:w="80"/>
              <w:right w:type="dxa" w:w="100"/>
            </w:tcMar>
          </w:tcPr>
          <w:p>
            <w:r>
              <w:rPr>
                <w:sz w:val="20"/>
                <w:szCs w:val="20"/>
              </w:rPr>
              <w:t xml:space="preserve">Administrator Access</w:t>
            </w:r>
          </w:p>
        </w:tc>
        <w:tc>
          <w:tcPr>
            <w:tcW w:type="dxa" w:w="2600"/>
            <w:shd w:fill="F2F2F2" w:val="clear"/>
            <w:tcMar>
              <w:top w:type="dxa" w:w="80"/>
              <w:left w:type="dxa" w:w="100"/>
              <w:bottom w:type="dxa" w:w="80"/>
              <w:right w:type="dxa" w:w="100"/>
            </w:tcMar>
          </w:tcPr>
          <w:p>
            <w:r>
              <w:rPr>
                <w:sz w:val="20"/>
                <w:szCs w:val="20"/>
              </w:rPr>
              <w:t xml:space="preserve">Confirm engineer account has local admin rights</w:t>
            </w:r>
          </w:p>
        </w:tc>
        <w:tc>
          <w:tcPr>
            <w:tcW w:type="dxa" w:w="3200"/>
            <w:shd w:fill="F2F2F2" w:val="clear"/>
            <w:tcMar>
              <w:top w:type="dxa" w:w="80"/>
              <w:left w:type="dxa" w:w="100"/>
              <w:bottom w:type="dxa" w:w="80"/>
              <w:right w:type="dxa" w:w="100"/>
            </w:tcMar>
          </w:tcPr>
          <w:p>
            <w:r>
              <w:rPr>
                <w:sz w:val="20"/>
                <w:szCs w:val="20"/>
              </w:rPr>
              <w:t xml:space="preserve">`net localgroup administrators`</w:t>
            </w:r>
          </w:p>
        </w:tc>
        <w:tc>
          <w:tcPr>
            <w:tcW w:type="dxa" w:w="2400"/>
            <w:shd w:fill="F2F2F2" w:val="clear"/>
            <w:tcMar>
              <w:top w:type="dxa" w:w="80"/>
              <w:left w:type="dxa" w:w="100"/>
              <w:bottom w:type="dxa" w:w="80"/>
              <w:right w:type="dxa" w:w="100"/>
            </w:tcMar>
          </w:tcPr>
          <w:p>
            <w:r>
              <w:rPr>
                <w:sz w:val="20"/>
                <w:szCs w:val="20"/>
              </w:rPr>
              <w:t xml:space="preserve">Executing engineer listed</w:t>
            </w:r>
          </w:p>
        </w:tc>
      </w:tr>
      <w:tr>
        <w:tc>
          <w:tcPr>
            <w:tcW w:type="dxa" w:w="1800"/>
            <w:tcMar>
              <w:top w:type="dxa" w:w="80"/>
              <w:left w:type="dxa" w:w="100"/>
              <w:bottom w:type="dxa" w:w="80"/>
              <w:right w:type="dxa" w:w="100"/>
            </w:tcMar>
          </w:tcPr>
          <w:p>
            <w:r>
              <w:rPr>
                <w:sz w:val="20"/>
                <w:szCs w:val="20"/>
              </w:rPr>
              <w:t xml:space="preserve">Recovery Partition</w:t>
            </w:r>
          </w:p>
        </w:tc>
        <w:tc>
          <w:tcPr>
            <w:tcW w:type="dxa" w:w="2600"/>
            <w:tcMar>
              <w:top w:type="dxa" w:w="80"/>
              <w:left w:type="dxa" w:w="100"/>
              <w:bottom w:type="dxa" w:w="80"/>
              <w:right w:type="dxa" w:w="100"/>
            </w:tcMar>
          </w:tcPr>
          <w:p>
            <w:r>
              <w:rPr>
                <w:sz w:val="20"/>
                <w:szCs w:val="20"/>
              </w:rPr>
              <w:t xml:space="preserve">Confirm Windows RE is present and healthy</w:t>
            </w:r>
          </w:p>
        </w:tc>
        <w:tc>
          <w:tcPr>
            <w:tcW w:type="dxa" w:w="3200"/>
            <w:tcMar>
              <w:top w:type="dxa" w:w="80"/>
              <w:left w:type="dxa" w:w="100"/>
              <w:bottom w:type="dxa" w:w="80"/>
              <w:right w:type="dxa" w:w="100"/>
            </w:tcMar>
          </w:tcPr>
          <w:p>
            <w:r>
              <w:rPr>
                <w:sz w:val="20"/>
                <w:szCs w:val="20"/>
              </w:rPr>
              <w:t xml:space="preserve">`reagentc /info`</w:t>
            </w:r>
          </w:p>
        </w:tc>
        <w:tc>
          <w:tcPr>
            <w:tcW w:type="dxa" w:w="2400"/>
            <w:tcMar>
              <w:top w:type="dxa" w:w="80"/>
              <w:left w:type="dxa" w:w="100"/>
              <w:bottom w:type="dxa" w:w="80"/>
              <w:right w:type="dxa" w:w="100"/>
            </w:tcMar>
          </w:tcPr>
          <w:p>
            <w:r>
              <w:rPr>
                <w:sz w:val="20"/>
                <w:szCs w:val="20"/>
              </w:rPr>
              <w:t xml:space="preserve">WinRE enabled and partition present</w:t>
            </w:r>
          </w:p>
        </w:tc>
      </w:tr>
      <w:tr>
        <w:tc>
          <w:tcPr>
            <w:tcW w:type="dxa" w:w="1800"/>
            <w:shd w:fill="F2F2F2" w:val="clear"/>
            <w:tcMar>
              <w:top w:type="dxa" w:w="80"/>
              <w:left w:type="dxa" w:w="100"/>
              <w:bottom w:type="dxa" w:w="80"/>
              <w:right w:type="dxa" w:w="100"/>
            </w:tcMar>
          </w:tcPr>
          <w:p>
            <w:r>
              <w:rPr>
                <w:sz w:val="20"/>
                <w:szCs w:val="20"/>
              </w:rPr>
              <w:t xml:space="preserve">Windows Backup Status</w:t>
            </w:r>
          </w:p>
        </w:tc>
        <w:tc>
          <w:tcPr>
            <w:tcW w:type="dxa" w:w="2600"/>
            <w:shd w:fill="F2F2F2" w:val="clear"/>
            <w:tcMar>
              <w:top w:type="dxa" w:w="80"/>
              <w:left w:type="dxa" w:w="100"/>
              <w:bottom w:type="dxa" w:w="80"/>
              <w:right w:type="dxa" w:w="100"/>
            </w:tcMar>
          </w:tcPr>
          <w:p>
            <w:r>
              <w:rPr>
                <w:sz w:val="20"/>
                <w:szCs w:val="20"/>
              </w:rPr>
              <w:t xml:space="preserve">Confirm last successful system state / Windows Server Backup job</w:t>
            </w:r>
          </w:p>
        </w:tc>
        <w:tc>
          <w:tcPr>
            <w:tcW w:type="dxa" w:w="3200"/>
            <w:shd w:fill="F2F2F2" w:val="clear"/>
            <w:tcMar>
              <w:top w:type="dxa" w:w="80"/>
              <w:left w:type="dxa" w:w="100"/>
              <w:bottom w:type="dxa" w:w="80"/>
              <w:right w:type="dxa" w:w="100"/>
            </w:tcMar>
          </w:tcPr>
          <w:p>
            <w:r>
              <w:rPr>
                <w:sz w:val="20"/>
                <w:szCs w:val="20"/>
              </w:rPr>
              <w:t xml:space="preserve">`wbadmin get versions`</w:t>
            </w:r>
          </w:p>
        </w:tc>
        <w:tc>
          <w:tcPr>
            <w:tcW w:type="dxa" w:w="2400"/>
            <w:shd w:fill="F2F2F2" w:val="clear"/>
            <w:tcMar>
              <w:top w:type="dxa" w:w="80"/>
              <w:left w:type="dxa" w:w="100"/>
              <w:bottom w:type="dxa" w:w="80"/>
              <w:right w:type="dxa" w:w="100"/>
            </w:tcMar>
          </w:tcPr>
          <w:p>
            <w:r>
              <w:rPr>
                <w:sz w:val="20"/>
                <w:szCs w:val="20"/>
              </w:rPr>
              <w:t xml:space="preserve">Recent successful backup present</w:t>
            </w:r>
          </w:p>
        </w:tc>
      </w:tr>
      <w:tr>
        <w:tc>
          <w:tcPr>
            <w:tcW w:type="dxa" w:w="1800"/>
            <w:tcMar>
              <w:top w:type="dxa" w:w="80"/>
              <w:left w:type="dxa" w:w="100"/>
              <w:bottom w:type="dxa" w:w="80"/>
              <w:right w:type="dxa" w:w="100"/>
            </w:tcMar>
          </w:tcPr>
          <w:p>
            <w:r>
              <w:rPr>
                <w:sz w:val="20"/>
                <w:szCs w:val="20"/>
              </w:rPr>
              <w:t xml:space="preserve">VM Snapshot Strategy</w:t>
            </w:r>
          </w:p>
        </w:tc>
        <w:tc>
          <w:tcPr>
            <w:tcW w:type="dxa" w:w="2600"/>
            <w:tcMar>
              <w:top w:type="dxa" w:w="80"/>
              <w:left w:type="dxa" w:w="100"/>
              <w:bottom w:type="dxa" w:w="80"/>
              <w:right w:type="dxa" w:w="100"/>
            </w:tcMar>
          </w:tcPr>
          <w:p>
            <w:r>
              <w:rPr>
                <w:sz w:val="20"/>
                <w:szCs w:val="20"/>
              </w:rPr>
              <w:t xml:space="preserve">Confirm snapshot naming, retention, and consolidation plan documented</w:t>
            </w:r>
          </w:p>
        </w:tc>
        <w:tc>
          <w:tcPr>
            <w:tcW w:type="dxa" w:w="3200"/>
            <w:tcMar>
              <w:top w:type="dxa" w:w="80"/>
              <w:left w:type="dxa" w:w="100"/>
              <w:bottom w:type="dxa" w:w="80"/>
              <w:right w:type="dxa" w:w="100"/>
            </w:tcMar>
          </w:tcPr>
          <w:p>
            <w:r>
              <w:rPr>
                <w:sz w:val="20"/>
                <w:szCs w:val="20"/>
              </w:rPr>
              <w:t xml:space="preserve">VMware vSphere Client / PowerCLI</w:t>
            </w:r>
          </w:p>
        </w:tc>
        <w:tc>
          <w:tcPr>
            <w:tcW w:type="dxa" w:w="2400"/>
            <w:tcMar>
              <w:top w:type="dxa" w:w="80"/>
              <w:left w:type="dxa" w:w="100"/>
              <w:bottom w:type="dxa" w:w="80"/>
              <w:right w:type="dxa" w:w="100"/>
            </w:tcMar>
          </w:tcPr>
          <w:p>
            <w:r>
              <w:rPr>
                <w:sz w:val="20"/>
                <w:szCs w:val="20"/>
              </w:rPr>
              <w:t xml:space="preserve">Snapshot plan documented and approved (Section 5)</w:t>
            </w:r>
          </w:p>
        </w:tc>
      </w:tr>
    </w:tbl>
    <w:p>
      <w:pPr>
        <w:spacing w:after="120"/>
      </w:pP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E8EEF9" w:val="clear"/>
            <w:tcMar>
              <w:top w:type="dxa" w:w="100"/>
              <w:left w:type="dxa" w:w="150"/>
              <w:bottom w:type="dxa" w:w="100"/>
              <w:right w:type="dxa" w:w="150"/>
            </w:tcMar>
          </w:tcPr>
          <w:p>
            <w:r>
              <w:rPr>
                <w:b/>
                <w:bCs/>
                <w:color w:val="1F3864"/>
              </w:rPr>
              <w:t xml:space="preserve">BEST PRACTICE</w:t>
            </w:r>
          </w:p>
          <w:p>
            <w:r>
              <w:t xml:space="preserve">Save all pre-check command output to a single timestamped transcript using `Start-Transcript -Path 'C:\ChangeEvidence\&lt;CHG#&gt;_prechecks.log'` at the start of this section and `Stop-Transcript` at the end. This produces a single evidence artifact for CAB and audit rather than 30+ separate screenshots.</w:t>
            </w:r>
          </w:p>
        </w:tc>
      </w:tr>
    </w:tbl>
    <w:p>
      <w:r>
        <w:br w:type="page"/>
      </w:r>
    </w:p>
    <w:p>
      <w:pPr>
        <w:pStyle w:val="Heading1"/>
        <w:spacing w:after="200" w:before="400"/>
      </w:pPr>
      <w:r>
        <w:t xml:space="preserve">5.0 Backup Strategy</w:t>
      </w:r>
    </w:p>
    <w:p>
      <w:pPr>
        <w:pStyle w:val="Heading2"/>
        <w:spacing w:after="150" w:before="300"/>
      </w:pPr>
      <w:r>
        <w:t xml:space="preserve">5.1 VM Snapshot</w:t>
      </w:r>
    </w:p>
    <w:p>
      <w:pPr>
        <w:spacing w:after="150"/>
      </w:pPr>
      <w:r>
        <w:t xml:space="preserve">Take a VMware snapshot immediately before the upgrade begins, with the VM powered on and Windows guest quiescing enabled where supported (VMware Tools required).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New-Snapshot -VM &lt;VMName&gt; -Name "PreUpgrade_&lt;CHG#&gt;_$(Get-Date -f yyyyMMdd-HHmm)" -Description "Pre Windows/SQL upgrade snapshot" -Quiesce</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Snapshots are not a substitute for application-consistent backups, especially for SQL Server. A VM snapshot alone does not guarantee SQL transaction-log consistency unless VSS-aware quiescing is confirmed working with the SQL VSS Writer. Always pair the snapshot with a native SQL backup (Part 2).</w:t>
            </w:r>
          </w:p>
        </w:tc>
      </w:tr>
    </w:tbl>
    <w:p>
      <w:pPr>
        <w:pStyle w:val="Heading2"/>
        <w:spacing w:after="150" w:before="300"/>
      </w:pPr>
      <w:r>
        <w:t xml:space="preserve">5.2 System State Backup</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wbadmin start systemstatebackup -backupTarget:E: -quiet</w:t>
      </w:r>
    </w:p>
    <w:p>
      <w:pPr>
        <w:pStyle w:val="Heading2"/>
        <w:spacing w:after="150" w:before="300"/>
      </w:pPr>
      <w:r>
        <w:t xml:space="preserve">5.3 File-Level / Application Backup</w:t>
      </w:r>
    </w:p>
    <w:p>
      <w:pPr>
        <w:spacing w:after="150"/>
      </w:pPr>
      <w:r>
        <w:t xml:space="preserve">Back up application-specific data directories, IIS configuration (`%windir%\System32\inetsrv\config`), and any service-specific data stores not covered by the system state backup, per the application owner's backup requirements.</w:t>
      </w:r>
    </w:p>
    <w:p>
      <w:pPr>
        <w:pStyle w:val="Heading2"/>
        <w:spacing w:after="150" w:before="300"/>
      </w:pPr>
      <w:r>
        <w:t xml:space="preserve">5.4 SQL Server Backup</w:t>
      </w:r>
    </w:p>
    <w:p>
      <w:pPr>
        <w:spacing w:after="150"/>
      </w:pPr>
      <w:r>
        <w:t xml:space="preserve">Full SQL backup procedures are detailed in Part 2, SQL Backup Strategy. SQL backups must be completed and validated before the Windows upgrade begins, since the Windows upgrade will stop and restart the SQL Server service.</w:t>
      </w:r>
    </w:p>
    <w:p>
      <w:pPr>
        <w:pStyle w:val="Heading2"/>
        <w:spacing w:after="150" w:before="300"/>
      </w:pPr>
      <w:r>
        <w:t xml:space="preserve">5.5 Rollback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2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Rollback Trigger</w:t>
            </w:r>
          </w:p>
        </w:tc>
        <w:tc>
          <w:tcPr>
            <w:tcW w:type="dxa" w:w="3800"/>
            <w:shd w:fill="1F3864" w:val="clear"/>
            <w:tcMar>
              <w:top w:type="dxa" w:w="80"/>
              <w:left w:type="dxa" w:w="100"/>
              <w:bottom w:type="dxa" w:w="80"/>
              <w:right w:type="dxa" w:w="100"/>
            </w:tcMar>
            <w:vAlign w:val="center"/>
          </w:tcPr>
          <w:p>
            <w:r>
              <w:rPr>
                <w:b/>
                <w:bCs/>
                <w:color w:val="FFFFFF"/>
                <w:sz w:val="20"/>
                <w:szCs w:val="20"/>
              </w:rPr>
              <w:t xml:space="preserve">Rollback Method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RTO Estimate</w:t>
            </w:r>
          </w:p>
        </w:tc>
      </w:tr>
      <w:tr>
        <w:tc>
          <w:tcPr>
            <w:tcW w:type="dxa" w:w="3400"/>
            <w:tcMar>
              <w:top w:type="dxa" w:w="80"/>
              <w:left w:type="dxa" w:w="100"/>
              <w:bottom w:type="dxa" w:w="80"/>
              <w:right w:type="dxa" w:w="100"/>
            </w:tcMar>
          </w:tcPr>
          <w:p>
            <w:r>
              <w:rPr>
                <w:sz w:val="20"/>
                <w:szCs w:val="20"/>
              </w:rPr>
              <w:t xml:space="preserve">OS upgrade fails during installation</w:t>
            </w:r>
          </w:p>
        </w:tc>
        <w:tc>
          <w:tcPr>
            <w:tcW w:type="dxa" w:w="3800"/>
            <w:tcMar>
              <w:top w:type="dxa" w:w="80"/>
              <w:left w:type="dxa" w:w="100"/>
              <w:bottom w:type="dxa" w:w="80"/>
              <w:right w:type="dxa" w:w="100"/>
            </w:tcMar>
          </w:tcPr>
          <w:p>
            <w:r>
              <w:rPr>
                <w:sz w:val="20"/>
                <w:szCs w:val="20"/>
              </w:rPr>
              <w:t xml:space="preserve">Automatic Windows rollback (10-day window) or VM snapshot revert</w:t>
            </w:r>
          </w:p>
        </w:tc>
        <w:tc>
          <w:tcPr>
            <w:tcW w:type="dxa" w:w="2200"/>
            <w:tcMar>
              <w:top w:type="dxa" w:w="80"/>
              <w:left w:type="dxa" w:w="100"/>
              <w:bottom w:type="dxa" w:w="80"/>
              <w:right w:type="dxa" w:w="100"/>
            </w:tcMar>
          </w:tcPr>
          <w:p>
            <w:r>
              <w:rPr>
                <w:sz w:val="20"/>
                <w:szCs w:val="20"/>
              </w:rPr>
              <w:t xml:space="preserve">30–90 minutes</w:t>
            </w:r>
          </w:p>
        </w:tc>
      </w:tr>
      <w:tr>
        <w:tc>
          <w:tcPr>
            <w:tcW w:type="dxa" w:w="3400"/>
            <w:shd w:fill="F2F2F2" w:val="clear"/>
            <w:tcMar>
              <w:top w:type="dxa" w:w="80"/>
              <w:left w:type="dxa" w:w="100"/>
              <w:bottom w:type="dxa" w:w="80"/>
              <w:right w:type="dxa" w:w="100"/>
            </w:tcMar>
          </w:tcPr>
          <w:p>
            <w:r>
              <w:rPr>
                <w:sz w:val="20"/>
                <w:szCs w:val="20"/>
              </w:rPr>
              <w:t xml:space="preserve">OS upgrade completes but critical service/app fails validation</w:t>
            </w:r>
          </w:p>
        </w:tc>
        <w:tc>
          <w:tcPr>
            <w:tcW w:type="dxa" w:w="3800"/>
            <w:shd w:fill="F2F2F2" w:val="clear"/>
            <w:tcMar>
              <w:top w:type="dxa" w:w="80"/>
              <w:left w:type="dxa" w:w="100"/>
              <w:bottom w:type="dxa" w:w="80"/>
              <w:right w:type="dxa" w:w="100"/>
            </w:tcMar>
          </w:tcPr>
          <w:p>
            <w:r>
              <w:rPr>
                <w:sz w:val="20"/>
                <w:szCs w:val="20"/>
              </w:rPr>
              <w:t xml:space="preserve">VM snapshot revert</w:t>
            </w:r>
          </w:p>
        </w:tc>
        <w:tc>
          <w:tcPr>
            <w:tcW w:type="dxa" w:w="2200"/>
            <w:shd w:fill="F2F2F2" w:val="clear"/>
            <w:tcMar>
              <w:top w:type="dxa" w:w="80"/>
              <w:left w:type="dxa" w:w="100"/>
              <w:bottom w:type="dxa" w:w="80"/>
              <w:right w:type="dxa" w:w="100"/>
            </w:tcMar>
          </w:tcPr>
          <w:p>
            <w:r>
              <w:rPr>
                <w:sz w:val="20"/>
                <w:szCs w:val="20"/>
              </w:rPr>
              <w:t xml:space="preserve">30–60 minutes</w:t>
            </w:r>
          </w:p>
        </w:tc>
      </w:tr>
      <w:tr>
        <w:tc>
          <w:tcPr>
            <w:tcW w:type="dxa" w:w="3400"/>
            <w:tcMar>
              <w:top w:type="dxa" w:w="80"/>
              <w:left w:type="dxa" w:w="100"/>
              <w:bottom w:type="dxa" w:w="80"/>
              <w:right w:type="dxa" w:w="100"/>
            </w:tcMar>
          </w:tcPr>
          <w:p>
            <w:r>
              <w:rPr>
                <w:sz w:val="20"/>
                <w:szCs w:val="20"/>
              </w:rPr>
              <w:t xml:space="preserve">SQL upgrade fails or database corruption suspected</w:t>
            </w:r>
          </w:p>
        </w:tc>
        <w:tc>
          <w:tcPr>
            <w:tcW w:type="dxa" w:w="3800"/>
            <w:tcMar>
              <w:top w:type="dxa" w:w="80"/>
              <w:left w:type="dxa" w:w="100"/>
              <w:bottom w:type="dxa" w:w="80"/>
              <w:right w:type="dxa" w:w="100"/>
            </w:tcMar>
          </w:tcPr>
          <w:p>
            <w:r>
              <w:rPr>
                <w:sz w:val="20"/>
                <w:szCs w:val="20"/>
              </w:rPr>
              <w:t xml:space="preserve">SQL restore from full/log backup chain, or VM snapshot revert if pre-SQL-upgrade snapshot exists</w:t>
            </w:r>
          </w:p>
        </w:tc>
        <w:tc>
          <w:tcPr>
            <w:tcW w:type="dxa" w:w="2200"/>
            <w:tcMar>
              <w:top w:type="dxa" w:w="80"/>
              <w:left w:type="dxa" w:w="100"/>
              <w:bottom w:type="dxa" w:w="80"/>
              <w:right w:type="dxa" w:w="100"/>
            </w:tcMar>
          </w:tcPr>
          <w:p>
            <w:r>
              <w:rPr>
                <w:sz w:val="20"/>
                <w:szCs w:val="20"/>
              </w:rPr>
              <w:t xml:space="preserve">1–4 hours depending on DB size</w:t>
            </w:r>
          </w:p>
        </w:tc>
      </w:tr>
    </w:tbl>
    <w:p>
      <w:pPr>
        <w:pStyle w:val="Heading2"/>
        <w:spacing w:after="150" w:before="300"/>
      </w:pPr>
      <w:r>
        <w:t xml:space="preserve">5.6 Backup Retention</w:t>
      </w:r>
    </w:p>
    <w:p>
      <w:pPr>
        <w:spacing w:after="150"/>
      </w:pPr>
      <w:r>
        <w:t xml:space="preserve">Retain the pre-upgrade snapshot and system state/SQL backups for a minimum of 10 business days following successful validation and sign-off, aligned with the Windows Server built-in rollback retention window. Extend retention per regulatory or internal audit policy where applicable.</w:t>
      </w:r>
    </w:p>
    <w:p>
      <w:pPr>
        <w:pStyle w:val="Heading2"/>
        <w:spacing w:after="150" w:before="300"/>
      </w:pPr>
      <w:r>
        <w:t xml:space="preserve">5.7 Backup Validation</w:t>
      </w:r>
    </w:p>
    <w:p>
      <w:pPr>
        <w:pStyle w:val="ListParagraph"/>
        <w:numPr>
          <w:ilvl w:val="0"/>
          <w:numId w:val="2"/>
        </w:numPr>
        <w:spacing w:after="60"/>
      </w:pPr>
      <w:r>
        <w:t xml:space="preserve">Confirm snapshot creation completed successfully and is visible in vCenter with no consolidation warnings.</w:t>
      </w:r>
    </w:p>
    <w:p>
      <w:pPr>
        <w:pStyle w:val="ListParagraph"/>
        <w:numPr>
          <w:ilvl w:val="0"/>
          <w:numId w:val="2"/>
        </w:numPr>
        <w:spacing w:after="60"/>
      </w:pPr>
      <w:r>
        <w:t xml:space="preserve">Confirm system state backup job completed with status 'Successful' via `wbadmin get versions`.</w:t>
      </w:r>
    </w:p>
    <w:p>
      <w:pPr>
        <w:pStyle w:val="ListParagraph"/>
        <w:numPr>
          <w:ilvl w:val="0"/>
          <w:numId w:val="2"/>
        </w:numPr>
        <w:spacing w:after="60"/>
      </w:pPr>
      <w:r>
        <w:t xml:space="preserve">Confirm SQL backup files exist, are non-zero size, and pass `RESTORE VERIFYONLY`.</w:t>
      </w:r>
    </w:p>
    <w:p>
      <w:pPr>
        <w:pStyle w:val="ListParagraph"/>
        <w:numPr>
          <w:ilvl w:val="0"/>
          <w:numId w:val="2"/>
        </w:numPr>
        <w:spacing w:after="60"/>
      </w:pPr>
      <w:r>
        <w:t xml:space="preserve">Perform a restore test of at least one representative database to a non-production instance prior to production change execution, where the change risk classification requires it.</w:t>
      </w:r>
    </w:p>
    <w:p>
      <w:r>
        <w:br w:type="page"/>
      </w:r>
    </w:p>
    <w:p>
      <w:pPr>
        <w:pStyle w:val="Heading1"/>
        <w:spacing w:after="200" w:before="400"/>
      </w:pPr>
      <w:r>
        <w:t xml:space="preserve">6.0 Upgrade Procedure — Windows Server 2016 to Windows Server 2022</w:t>
      </w:r>
    </w:p>
    <w:tbl>
      <w:tblPr>
        <w:tblW w:type="pct" w:w="100%"/>
        <w:tblBorders>
          <w:top w:val="single" w:color="B7950B" w:sz="6"/>
          <w:left w:val="single" w:color="B7950B" w:sz="6"/>
          <w:bottom w:val="single" w:color="B7950B" w:sz="6"/>
          <w:right w:val="single" w:color="B7950B" w:sz="6"/>
          <w:insideH w:val="none" w:color="FFFFFF" w:sz="0"/>
          <w:insideV w:val="none" w:color="FFFFFF" w:sz="0"/>
        </w:tblBorders>
      </w:tblPr>
      <w:tblGrid>
        <w:gridCol w:w="100"/>
      </w:tblGrid>
      <w:tr>
        <w:tc>
          <w:tcPr>
            <w:shd w:fill="FFF4D6" w:val="clear"/>
            <w:tcMar>
              <w:top w:type="dxa" w:w="100"/>
              <w:left w:type="dxa" w:w="150"/>
              <w:bottom w:type="dxa" w:w="100"/>
              <w:right w:type="dxa" w:w="150"/>
            </w:tcMar>
          </w:tcPr>
          <w:p>
            <w:r>
              <w:rPr>
                <w:b/>
                <w:bCs/>
                <w:color w:val="B7950B"/>
              </w:rPr>
              <w:t xml:space="preserve">IMPORTANT</w:t>
            </w:r>
          </w:p>
          <w:p>
            <w:r>
              <w:t xml:space="preserve">Confirm CAB approval, business sign-off, and completed/validated backups (Section 5) before starting this section. Do not proceed if any pre-check in Section 4 returned an unexpected result without documented remediation and re-approval.</w:t>
            </w:r>
          </w:p>
        </w:tc>
      </w:tr>
    </w:tbl>
    <w:p>
      <w:pPr>
        <w:pStyle w:val="Heading3"/>
        <w:spacing w:after="100" w:before="200"/>
      </w:pPr>
      <w:r>
        <w:t xml:space="preserve">Step 1: Final pre-flight confirmation</w:t>
      </w:r>
    </w:p>
    <w:p>
      <w:pPr>
        <w:spacing w:after="150"/>
      </w:pPr>
      <w:r>
        <w:t xml:space="preserve">Purpose: Re-verify server state immediately before the maintenance window to catch any drift since Section 4 checks were completed.</w:t>
      </w:r>
    </w:p>
    <w:p>
      <w:pPr>
        <w:spacing w:after="150"/>
      </w:pPr>
      <w:r>
        <w:t xml:space="preserve">Estimated Duration: 10–15 minutes</w:t>
      </w:r>
    </w:p>
    <w:p>
      <w:pPr>
        <w:spacing w:after="150"/>
      </w:pPr>
      <w:r>
        <w:t xml:space="preserve">Potential Risks: Low</w:t>
      </w:r>
    </w:p>
    <w:p>
      <w:pPr>
        <w:spacing w:after="150"/>
      </w:pPr>
      <w:r>
        <w:t xml:space="preserve">Rollback Point: N/A — no changes made yet</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Get-Service | Where-Object {$_.StartType -eq 'Automatic' -and $_.Status -ne 'Running'}
Get-PSDrive C | Select Used, Free</w:t>
      </w:r>
    </w:p>
    <w:p>
      <w:pPr>
        <w:spacing w:after="150"/>
      </w:pPr>
      <w:r>
        <w:t xml:space="preserve">Expected Output: No unexpected stopped services; free disk space unchanged from Section 4 baseline.</w:t>
      </w:r>
    </w:p>
    <w:p>
      <w:pPr>
        <w:spacing w:after="120"/>
      </w:pPr>
    </w:p>
    <w:p>
      <w:pPr>
        <w:pStyle w:val="Heading3"/>
        <w:spacing w:after="100" w:before="200"/>
      </w:pPr>
      <w:r>
        <w:t xml:space="preserve">Step 2: Place server in maintenance mode</w:t>
      </w:r>
    </w:p>
    <w:p>
      <w:pPr>
        <w:spacing w:after="150"/>
      </w:pPr>
      <w:r>
        <w:t xml:space="preserve">Purpose: Suppress monitoring alerts (SCOM/SolarWinds/Splunk) for the duration of the change window.</w:t>
      </w:r>
    </w:p>
    <w:p>
      <w:pPr>
        <w:spacing w:after="150"/>
      </w:pPr>
      <w:r>
        <w:t xml:space="preserve">Estimated Duration: 5 minutes</w:t>
      </w:r>
    </w:p>
    <w:p>
      <w:pPr>
        <w:spacing w:after="150"/>
      </w:pPr>
      <w:r>
        <w:t xml:space="preserve">Potential Risks: Low — missed alert suppression can cause noisy false-positive paging</w:t>
      </w:r>
    </w:p>
    <w:p>
      <w:pPr>
        <w:spacing w:after="150"/>
      </w:pPr>
      <w:r>
        <w:t xml:space="preserve">Rollback Point: Remove maintenance mode manually if change is aborted before Step 3.</w:t>
      </w:r>
    </w:p>
    <w:p>
      <w:pPr>
        <w:spacing w:after="150"/>
      </w:pPr>
      <w:r>
        <w:t xml:space="preserve">GUI Navigation:</w:t>
      </w:r>
    </w:p>
    <w:p>
      <w:pPr>
        <w:pStyle w:val="ListParagraph"/>
        <w:numPr>
          <w:ilvl w:val="0"/>
          <w:numId w:val="2"/>
        </w:numPr>
        <w:spacing w:after="60"/>
      </w:pPr>
      <w:r>
        <w:t xml:space="preserve">Monitoring console → select server object → 'Start Maintenance Mode' → set duration to cover full change window plus buffer.</w:t>
      </w:r>
    </w:p>
    <w:p>
      <w:pPr>
        <w:spacing w:after="150"/>
      </w:pPr>
      <w:r>
        <w:rPr>
          <w:i/>
          <w:iCs/>
        </w:rPr>
        <w:t xml:space="preserve">Figure Reference: Figure 1 — Monitoring console maintenance-mode confirmation.</w:t>
      </w:r>
    </w:p>
    <w:p>
      <w:pPr>
        <w:spacing w:after="120"/>
      </w:pPr>
    </w:p>
    <w:p>
      <w:pPr>
        <w:pStyle w:val="Heading3"/>
        <w:spacing w:after="100" w:before="200"/>
      </w:pPr>
      <w:r>
        <w:t xml:space="preserve">Step 3: Suspend BitLocker (if enabled)</w:t>
      </w:r>
    </w:p>
    <w:p>
      <w:pPr>
        <w:spacing w:after="150"/>
      </w:pPr>
      <w:r>
        <w:t xml:space="preserve">Purpose: Prevent unnecessary recovery-key prompts and encryption/decryption overhead during setup.</w:t>
      </w:r>
    </w:p>
    <w:p>
      <w:pPr>
        <w:spacing w:after="150"/>
      </w:pPr>
      <w:r>
        <w:t xml:space="preserve">Estimated Duration: 2 minutes</w:t>
      </w:r>
    </w:p>
    <w:p>
      <w:pPr>
        <w:spacing w:after="150"/>
      </w:pPr>
      <w:r>
        <w:t xml:space="preserve">Potential Risks: Low</w:t>
      </w:r>
    </w:p>
    <w:p>
      <w:pPr>
        <w:spacing w:after="150"/>
      </w:pPr>
      <w:r>
        <w:t xml:space="preserve">Rollback Point: Resume via `Resume-BitLocker` if the change is aborted.</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Suspend-BitLocker -MountPoint "C:" -RebootCount 1</w:t>
      </w:r>
    </w:p>
    <w:p>
      <w:pPr>
        <w:spacing w:after="150"/>
      </w:pPr>
      <w:r>
        <w:t xml:space="preserve">Expected Output: ProtectionStatus shows 'Suspended' via `Get-BitLockerVolume`.</w:t>
      </w:r>
    </w:p>
    <w:p>
      <w:pPr>
        <w:spacing w:after="120"/>
      </w:pPr>
    </w:p>
    <w:p>
      <w:pPr>
        <w:pStyle w:val="Heading3"/>
        <w:spacing w:after="100" w:before="200"/>
      </w:pPr>
      <w:r>
        <w:t xml:space="preserve">Step 4: Stop non-essential and application services</w:t>
      </w:r>
    </w:p>
    <w:p>
      <w:pPr>
        <w:spacing w:after="150"/>
      </w:pPr>
      <w:r>
        <w:t xml:space="preserve">Purpose: Reduce risk of file-lock conflicts during setup and ensure a clean SQL Server shutdown.</w:t>
      </w:r>
    </w:p>
    <w:p>
      <w:pPr>
        <w:spacing w:after="150"/>
      </w:pPr>
      <w:r>
        <w:t xml:space="preserve">Estimated Duration: 5–10 minutes</w:t>
      </w:r>
    </w:p>
    <w:p>
      <w:pPr>
        <w:spacing w:after="150"/>
      </w:pPr>
      <w:r>
        <w:t xml:space="preserve">Potential Risks: Medium — stopping SQL Agent jobs mid-run can leave jobs in an inconsistent state; confirm no jobs are running first.</w:t>
      </w:r>
    </w:p>
    <w:p>
      <w:pPr>
        <w:spacing w:after="150"/>
      </w:pPr>
      <w:r>
        <w:t xml:space="preserve">Rollback Point: Restart services manually if the change is aborted.</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Stop-Service -Name 'SQLSERVERAGENT' -Force
Stop-Service -Name 'MSSQLSERVER' -Force</w:t>
      </w:r>
    </w:p>
    <w:p>
      <w:pPr>
        <w:spacing w:after="150"/>
      </w:pPr>
      <w:r>
        <w:t xml:space="preserve">Expected Output: Services report Stopped status.</w:t>
      </w:r>
    </w:p>
    <w:tbl>
      <w:tblPr>
        <w:tblW w:type="pct" w:w="100%"/>
        <w:tblBorders>
          <w:top w:val="single" w:color="1E8449" w:sz="6"/>
          <w:left w:val="single" w:color="1E8449" w:sz="6"/>
          <w:bottom w:val="single" w:color="1E8449" w:sz="6"/>
          <w:right w:val="single" w:color="1E8449" w:sz="6"/>
          <w:insideH w:val="none" w:color="FFFFFF" w:sz="0"/>
          <w:insideV w:val="none" w:color="FFFFFF" w:sz="0"/>
        </w:tblBorders>
      </w:tblPr>
      <w:tblGrid>
        <w:gridCol w:w="100"/>
      </w:tblGrid>
      <w:tr>
        <w:tc>
          <w:tcPr>
            <w:shd w:fill="E8F6EF" w:val="clear"/>
            <w:tcMar>
              <w:top w:type="dxa" w:w="100"/>
              <w:left w:type="dxa" w:w="150"/>
              <w:bottom w:type="dxa" w:w="100"/>
              <w:right w:type="dxa" w:w="150"/>
            </w:tcMar>
          </w:tcPr>
          <w:p>
            <w:r>
              <w:rPr>
                <w:b/>
                <w:bCs/>
                <w:color w:val="1E8449"/>
              </w:rPr>
              <w:t xml:space="preserve">TIP</w:t>
            </w:r>
          </w:p>
          <w:p>
            <w:r>
              <w:t xml:space="preserve">For named instances substitute the correct service name, e.g. `MSSQL$&lt;InstanceName&gt;` and `SQLAgent$&lt;InstanceName&gt;`.</w:t>
            </w:r>
          </w:p>
        </w:tc>
      </w:tr>
    </w:tbl>
    <w:p>
      <w:pPr>
        <w:spacing w:after="120"/>
      </w:pPr>
    </w:p>
    <w:p>
      <w:pPr>
        <w:pStyle w:val="Heading3"/>
        <w:spacing w:after="100" w:before="200"/>
      </w:pPr>
      <w:r>
        <w:t xml:space="preserve">Step 5: Take final VM snapshot</w:t>
      </w:r>
    </w:p>
    <w:p>
      <w:pPr>
        <w:spacing w:after="150"/>
      </w:pPr>
      <w:r>
        <w:t xml:space="preserve">Purpose: Establish the last-known-good rollback point immediately before setup.exe is invoked.</w:t>
      </w:r>
    </w:p>
    <w:p>
      <w:pPr>
        <w:spacing w:after="150"/>
      </w:pPr>
      <w:r>
        <w:t xml:space="preserve">Estimated Duration: 5–15 minutes depending on VM size</w:t>
      </w:r>
    </w:p>
    <w:p>
      <w:pPr>
        <w:spacing w:after="150"/>
      </w:pPr>
      <w:r>
        <w:t xml:space="preserve">Potential Risks: Low, but a large snapshot can extend the window; monitor datastore free space.</w:t>
      </w:r>
    </w:p>
    <w:p>
      <w:pPr>
        <w:spacing w:after="150"/>
      </w:pPr>
      <w:r>
        <w:t xml:space="preserve">Rollback Point: This IS the rollback point for Steps 6–10.</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New-Snapshot -VM &lt;VMName&gt; -Name "PreOSUpgrade_&lt;CHG#&gt;" -Quiesce</w:t>
      </w:r>
    </w:p>
    <w:p>
      <w:pPr>
        <w:spacing w:after="150"/>
      </w:pPr>
      <w:r>
        <w:t xml:space="preserve">Expected Output: Snapshot visible in vCenter Snapshot Manager with no errors.</w:t>
      </w:r>
    </w:p>
    <w:p>
      <w:pPr>
        <w:spacing w:after="150"/>
      </w:pPr>
      <w:r>
        <w:rPr>
          <w:i/>
          <w:iCs/>
        </w:rPr>
        <w:t xml:space="preserve">Figure Reference: Figure 2 — vCenter Snapshot Manager showing the completed pre-upgrade snapshot.</w:t>
      </w:r>
    </w:p>
    <w:p>
      <w:pPr>
        <w:spacing w:after="120"/>
      </w:pPr>
    </w:p>
    <w:p>
      <w:pPr>
        <w:pStyle w:val="Heading3"/>
        <w:spacing w:after="100" w:before="200"/>
      </w:pPr>
      <w:r>
        <w:t xml:space="preserve">Step 6: Mount Windows Server 2022 installation media</w:t>
      </w:r>
    </w:p>
    <w:p>
      <w:pPr>
        <w:spacing w:after="150"/>
      </w:pPr>
      <w:r>
        <w:t xml:space="preserve">Purpose: Attach the validated Windows Server 2022 ISO to the VM.</w:t>
      </w:r>
    </w:p>
    <w:p>
      <w:pPr>
        <w:spacing w:after="150"/>
      </w:pPr>
      <w:r>
        <w:t xml:space="preserve">Estimated Duration: 2 minutes</w:t>
      </w:r>
    </w:p>
    <w:p>
      <w:pPr>
        <w:spacing w:after="150"/>
      </w:pPr>
      <w:r>
        <w:t xml:space="preserve">Potential Risks: Low</w:t>
      </w:r>
    </w:p>
    <w:p>
      <w:pPr>
        <w:spacing w:after="150"/>
      </w:pPr>
      <w:r>
        <w:t xml:space="preserve">Rollback Point: Unmount ISO; no OS changes made yet.</w:t>
      </w:r>
    </w:p>
    <w:p>
      <w:pPr>
        <w:spacing w:after="150"/>
      </w:pPr>
      <w:r>
        <w:t xml:space="preserve">GUI Navigation:</w:t>
      </w:r>
    </w:p>
    <w:p>
      <w:pPr>
        <w:pStyle w:val="ListParagraph"/>
        <w:numPr>
          <w:ilvl w:val="0"/>
          <w:numId w:val="2"/>
        </w:numPr>
        <w:spacing w:after="60"/>
      </w:pPr>
      <w:r>
        <w:t xml:space="preserve">VMware Remote Console → VM → CD/DVD Drive → Connect to Datastore ISO File → select validated WS2022 ISO.</w:t>
      </w:r>
    </w:p>
    <w:p>
      <w:pPr>
        <w:spacing w:after="150"/>
      </w:pPr>
      <w:r>
        <w:rPr>
          <w:i/>
          <w:iCs/>
        </w:rPr>
        <w:t xml:space="preserve">Figure Reference: Figure 3 — ISO mounted and visible in Windows File Explorer as the installation media drive.</w:t>
      </w:r>
    </w:p>
    <w:p>
      <w:pPr>
        <w:spacing w:after="120"/>
      </w:pPr>
    </w:p>
    <w:p>
      <w:pPr>
        <w:pStyle w:val="Heading3"/>
        <w:spacing w:after="100" w:before="200"/>
      </w:pPr>
      <w:r>
        <w:t xml:space="preserve">Step 7: Launch Windows Setup and run compatibility check</w:t>
      </w:r>
    </w:p>
    <w:p>
      <w:pPr>
        <w:spacing w:after="150"/>
      </w:pPr>
      <w:r>
        <w:t xml:space="preserve">Purpose: Start setup.exe from the mounted media and allow it to perform its built-in compatibility scan before committing to the upgrade.</w:t>
      </w:r>
    </w:p>
    <w:p>
      <w:pPr>
        <w:spacing w:after="150"/>
      </w:pPr>
      <w:r>
        <w:t xml:space="preserve">Estimated Duration: 10–20 minutes</w:t>
      </w:r>
    </w:p>
    <w:p>
      <w:pPr>
        <w:spacing w:after="150"/>
      </w:pPr>
      <w:r>
        <w:t xml:space="preserve">Potential Risks: Medium — setup may report blocking compatibility issues requiring remediation before continuing.</w:t>
      </w:r>
    </w:p>
    <w:p>
      <w:pPr>
        <w:spacing w:after="150"/>
      </w:pPr>
      <w:r>
        <w:t xml:space="preserve">Rollback Point: Cancel setup; VM snapshot from Step 5 remains valid. No changes committed.</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D:\setup.exe /Auto Upgrade /DynamicUpdate Disable</w:t>
      </w:r>
    </w:p>
    <w:p>
      <w:pPr>
        <w:spacing w:after="150"/>
      </w:pPr>
      <w:r>
        <w:t xml:space="preserve">Expected Output: Setup reaches the 'Ready to install' screen with 'Keep personal files and apps' selected and no blocking compatibility errors.</w:t>
      </w:r>
    </w:p>
    <w:p>
      <w:pPr>
        <w:spacing w:after="150"/>
      </w:pPr>
      <w:r>
        <w:rPr>
          <w:i/>
          <w:iCs/>
        </w:rPr>
        <w:t xml:space="preserve">Figure Reference: Figure 4 — Windows Setup compatibility report screen; confirm no items under 'Recommended actions' are severity-blocking.</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If setup reports a blocking issue, STOP. Do not override or proceed. Document the finding, remediate (driver/agent update or uninstall of incompatible software), and re-run the compatibility scan before continuing.</w:t>
            </w:r>
          </w:p>
        </w:tc>
      </w:tr>
    </w:tbl>
    <w:p>
      <w:pPr>
        <w:spacing w:after="120"/>
      </w:pPr>
    </w:p>
    <w:p>
      <w:pPr>
        <w:pStyle w:val="Heading3"/>
        <w:spacing w:after="100" w:before="200"/>
      </w:pPr>
      <w:r>
        <w:t xml:space="preserve">Step 8: Accept license terms and confirm upgrade settings</w:t>
      </w:r>
    </w:p>
    <w:p>
      <w:pPr>
        <w:spacing w:after="150"/>
      </w:pPr>
      <w:r>
        <w:t xml:space="preserve">Purpose: Confirm edition match and that 'Keep personal files and apps' is selected — this is what makes it an in-place upgrade rather than a clean install.</w:t>
      </w:r>
    </w:p>
    <w:p>
      <w:pPr>
        <w:spacing w:after="150"/>
      </w:pPr>
      <w:r>
        <w:t xml:space="preserve">Estimated Duration: 5 minutes</w:t>
      </w:r>
    </w:p>
    <w:p>
      <w:pPr>
        <w:spacing w:after="150"/>
      </w:pPr>
      <w:r>
        <w:t xml:space="preserve">Potential Risks: High if the wrong option is selected — 'Nothing' would perform a clean install and destroy data.</w:t>
      </w:r>
    </w:p>
    <w:p>
      <w:pPr>
        <w:spacing w:after="150"/>
      </w:pPr>
      <w:r>
        <w:t xml:space="preserve">Rollback Point: Cancel setup before clicking Install.</w:t>
      </w:r>
    </w:p>
    <w:p>
      <w:pPr>
        <w:spacing w:after="150"/>
      </w:pPr>
      <w:r>
        <w:rPr>
          <w:i/>
          <w:iCs/>
        </w:rPr>
        <w:t xml:space="preserve">Figure Reference: Figure 5 — License acceptance and edition-selection screen; confirm target edition matches the source edition (Standard→Standard or Datacenter→Datacenter) unless an edition change was explicitly approved.</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Double- and triple-confirm 'Keep personal files and apps' is selected before proceeding. This is the single highest-risk decision point in the procedure.</w:t>
            </w:r>
          </w:p>
        </w:tc>
      </w:tr>
    </w:tbl>
    <w:p>
      <w:pPr>
        <w:spacing w:after="120"/>
      </w:pPr>
    </w:p>
    <w:p>
      <w:pPr>
        <w:pStyle w:val="Heading3"/>
        <w:spacing w:after="100" w:before="200"/>
      </w:pPr>
      <w:r>
        <w:t xml:space="preserve">Step 9: Execute the upgrade</w:t>
      </w:r>
    </w:p>
    <w:p>
      <w:pPr>
        <w:spacing w:after="150"/>
      </w:pPr>
      <w:r>
        <w:t xml:space="preserve">Purpose: Commit to the upgrade; setup will copy files, install the new OS, migrate settings, and reboot the server multiple times automatically.</w:t>
      </w:r>
    </w:p>
    <w:p>
      <w:pPr>
        <w:spacing w:after="150"/>
      </w:pPr>
      <w:r>
        <w:t xml:space="preserve">Estimated Duration: 45–120 minutes depending on hardware and installed roles</w:t>
      </w:r>
    </w:p>
    <w:p>
      <w:pPr>
        <w:spacing w:after="150"/>
      </w:pPr>
      <w:r>
        <w:t xml:space="preserve">Potential Risks: Medium-High — do not interrupt power or console access during this phase.</w:t>
      </w:r>
    </w:p>
    <w:p>
      <w:pPr>
        <w:spacing w:after="150"/>
      </w:pPr>
      <w:r>
        <w:t xml:space="preserve">Rollback Point: VM snapshot from Step 5 (full revert); Windows' own 10-day automatic rollback is also available via Settings → Recovery for less severe failures if the upgrade completes but is unstable.</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Click 'Install' to begin.</w:t>
      </w:r>
    </w:p>
    <w:p>
      <w:pPr>
        <w:spacing w:after="150"/>
      </w:pPr>
      <w:r>
        <w:t xml:space="preserve">Expected Output: Server proceeds through 'Installing', multiple automatic reboots, and 'Configuring' phases without manual intervention, ultimately reaching the Windows Server 2022 sign-in screen.</w:t>
      </w:r>
    </w:p>
    <w:p>
      <w:pPr>
        <w:spacing w:after="150"/>
      </w:pPr>
      <w:r>
        <w:rPr>
          <w:i/>
          <w:iCs/>
        </w:rPr>
        <w:t xml:space="preserve">Figure Reference: Figure 6 — Upgrade progress screen showing percentage complete. Figure 7 — automatic reboot sequence. Figure 8 — Windows Server 2022 sign-in screen confirming successful completion.</w:t>
      </w:r>
    </w:p>
    <w:p>
      <w:pPr>
        <w:spacing w:after="120"/>
      </w:pPr>
    </w:p>
    <w:p>
      <w:pPr>
        <w:pStyle w:val="Heading3"/>
        <w:spacing w:after="100" w:before="200"/>
      </w:pPr>
      <w:r>
        <w:t xml:space="preserve">Step 10: First logon and initial verification</w:t>
      </w:r>
    </w:p>
    <w:p>
      <w:pPr>
        <w:spacing w:after="150"/>
      </w:pPr>
      <w:r>
        <w:t xml:space="preserve">Purpose: Confirm the server boots successfully into Windows Server 2022 and basic services are available.</w:t>
      </w:r>
    </w:p>
    <w:p>
      <w:pPr>
        <w:spacing w:after="150"/>
      </w:pPr>
      <w:r>
        <w:t xml:space="preserve">Estimated Duration: 10 minutes</w:t>
      </w:r>
    </w:p>
    <w:p>
      <w:pPr>
        <w:spacing w:after="150"/>
      </w:pPr>
      <w:r>
        <w:t xml:space="preserve">Potential Risks: Low</w:t>
      </w:r>
    </w:p>
    <w:p>
      <w:pPr>
        <w:spacing w:after="150"/>
      </w:pPr>
      <w:r>
        <w:t xml:space="preserve">Rollback Point: VM snapshot from Step 5 remains available if immediate failure is observed.</w:t>
      </w:r>
    </w:p>
    <w:p>
      <w:pPr>
        <w:spacing w:after="150"/>
      </w:pPr>
      <w:r>
        <w:t xml:space="preserve">PowerShell / 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Get-ComputerInfo | Select WindowsProductName, WindowsVersion, OsBuildNumber
winver</w:t>
      </w:r>
    </w:p>
    <w:p>
      <w:pPr>
        <w:spacing w:after="150"/>
      </w:pPr>
      <w:r>
        <w:t xml:space="preserve">Expected Output: WindowsProductName reports 'Windows Server 2022 Standard/Datacenter'; winver dialog confirms the same.</w:t>
      </w:r>
    </w:p>
    <w:p>
      <w:pPr>
        <w:spacing w:after="150"/>
      </w:pPr>
      <w:r>
        <w:rPr>
          <w:i/>
          <w:iCs/>
        </w:rPr>
        <w:t xml:space="preserve">Figure Reference: Figure 9 — Server Manager dashboard on first logon. Figure 10 — `winver` dialog confirming build number and edition.</w:t>
      </w:r>
    </w:p>
    <w:p>
      <w:pPr>
        <w:spacing w:after="120"/>
      </w:pPr>
    </w:p>
    <w:p>
      <w:r>
        <w:br w:type="page"/>
      </w:r>
    </w:p>
    <w:p>
      <w:pPr>
        <w:pStyle w:val="Heading1"/>
        <w:spacing w:after="200" w:before="400"/>
      </w:pPr>
      <w:r>
        <w:t xml:space="preserve">7.0 Post-Upgrade Tasks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Detail</w:t>
            </w:r>
          </w:p>
        </w:tc>
        <w:tc>
          <w:tcPr>
            <w:tcW w:type="dxa" w:w="3400"/>
            <w:shd w:fill="1F3864" w:val="clear"/>
            <w:tcMar>
              <w:top w:type="dxa" w:w="80"/>
              <w:left w:type="dxa" w:w="100"/>
              <w:bottom w:type="dxa" w:w="80"/>
              <w:right w:type="dxa" w:w="100"/>
            </w:tcMar>
            <w:vAlign w:val="center"/>
          </w:tcPr>
          <w:p>
            <w:r>
              <w:rPr>
                <w:b/>
                <w:bCs/>
                <w:color w:val="FFFFFF"/>
                <w:sz w:val="20"/>
                <w:szCs w:val="20"/>
              </w:rPr>
              <w:t xml:space="preserve">Command / Method</w:t>
            </w:r>
          </w:p>
        </w:tc>
      </w:tr>
      <w:tr>
        <w:tc>
          <w:tcPr>
            <w:tcW w:type="dxa" w:w="2200"/>
            <w:tcMar>
              <w:top w:type="dxa" w:w="80"/>
              <w:left w:type="dxa" w:w="100"/>
              <w:bottom w:type="dxa" w:w="80"/>
              <w:right w:type="dxa" w:w="100"/>
            </w:tcMar>
          </w:tcPr>
          <w:p>
            <w:r>
              <w:rPr>
                <w:sz w:val="20"/>
                <w:szCs w:val="20"/>
              </w:rPr>
              <w:t xml:space="preserve">Windows Update</w:t>
            </w:r>
          </w:p>
        </w:tc>
        <w:tc>
          <w:tcPr>
            <w:tcW w:type="dxa" w:w="4400"/>
            <w:tcMar>
              <w:top w:type="dxa" w:w="80"/>
              <w:left w:type="dxa" w:w="100"/>
              <w:bottom w:type="dxa" w:w="80"/>
              <w:right w:type="dxa" w:w="100"/>
            </w:tcMar>
          </w:tcPr>
          <w:p>
            <w:r>
              <w:rPr>
                <w:sz w:val="20"/>
                <w:szCs w:val="20"/>
              </w:rPr>
              <w:t xml:space="preserve">Run a full update scan and install all applicable updates</w:t>
            </w:r>
          </w:p>
        </w:tc>
        <w:tc>
          <w:tcPr>
            <w:tcW w:type="dxa" w:w="3400"/>
            <w:tcMar>
              <w:top w:type="dxa" w:w="80"/>
              <w:left w:type="dxa" w:w="100"/>
              <w:bottom w:type="dxa" w:w="80"/>
              <w:right w:type="dxa" w:w="100"/>
            </w:tcMar>
          </w:tcPr>
          <w:p>
            <w:r>
              <w:rPr>
                <w:sz w:val="20"/>
                <w:szCs w:val="20"/>
              </w:rPr>
              <w:t xml:space="preserve">`Get-WindowsUpdate` / `Install-WindowsUpdate -AcceptAll -AutoReboot`</w:t>
            </w:r>
          </w:p>
        </w:tc>
      </w:tr>
      <w:tr>
        <w:tc>
          <w:tcPr>
            <w:tcW w:type="dxa" w:w="2200"/>
            <w:shd w:fill="F2F2F2" w:val="clear"/>
            <w:tcMar>
              <w:top w:type="dxa" w:w="80"/>
              <w:left w:type="dxa" w:w="100"/>
              <w:bottom w:type="dxa" w:w="80"/>
              <w:right w:type="dxa" w:w="100"/>
            </w:tcMar>
          </w:tcPr>
          <w:p>
            <w:r>
              <w:rPr>
                <w:sz w:val="20"/>
                <w:szCs w:val="20"/>
              </w:rPr>
              <w:t xml:space="preserve">Drivers</w:t>
            </w:r>
          </w:p>
        </w:tc>
        <w:tc>
          <w:tcPr>
            <w:tcW w:type="dxa" w:w="4400"/>
            <w:shd w:fill="F2F2F2" w:val="clear"/>
            <w:tcMar>
              <w:top w:type="dxa" w:w="80"/>
              <w:left w:type="dxa" w:w="100"/>
              <w:bottom w:type="dxa" w:w="80"/>
              <w:right w:type="dxa" w:w="100"/>
            </w:tcMar>
          </w:tcPr>
          <w:p>
            <w:r>
              <w:rPr>
                <w:sz w:val="20"/>
                <w:szCs w:val="20"/>
              </w:rPr>
              <w:t xml:space="preserve">Verify all devices show no warning icons in Device Manager; update any driver flagged during compatibility scan</w:t>
            </w:r>
          </w:p>
        </w:tc>
        <w:tc>
          <w:tcPr>
            <w:tcW w:type="dxa" w:w="3400"/>
            <w:shd w:fill="F2F2F2" w:val="clear"/>
            <w:tcMar>
              <w:top w:type="dxa" w:w="80"/>
              <w:left w:type="dxa" w:w="100"/>
              <w:bottom w:type="dxa" w:w="80"/>
              <w:right w:type="dxa" w:w="100"/>
            </w:tcMar>
          </w:tcPr>
          <w:p>
            <w:r>
              <w:rPr>
                <w:sz w:val="20"/>
                <w:szCs w:val="20"/>
              </w:rPr>
              <w:t xml:space="preserve">`Get-PnpDevice | Where-Object {$_.Status -ne 'OK'}`</w:t>
            </w:r>
          </w:p>
        </w:tc>
      </w:tr>
      <w:tr>
        <w:tc>
          <w:tcPr>
            <w:tcW w:type="dxa" w:w="2200"/>
            <w:tcMar>
              <w:top w:type="dxa" w:w="80"/>
              <w:left w:type="dxa" w:w="100"/>
              <w:bottom w:type="dxa" w:w="80"/>
              <w:right w:type="dxa" w:w="100"/>
            </w:tcMar>
          </w:tcPr>
          <w:p>
            <w:r>
              <w:rPr>
                <w:sz w:val="20"/>
                <w:szCs w:val="20"/>
              </w:rPr>
              <w:t xml:space="preserve">Activation</w:t>
            </w:r>
          </w:p>
        </w:tc>
        <w:tc>
          <w:tcPr>
            <w:tcW w:type="dxa" w:w="4400"/>
            <w:tcMar>
              <w:top w:type="dxa" w:w="80"/>
              <w:left w:type="dxa" w:w="100"/>
              <w:bottom w:type="dxa" w:w="80"/>
              <w:right w:type="dxa" w:w="100"/>
            </w:tcMar>
          </w:tcPr>
          <w:p>
            <w:r>
              <w:rPr>
                <w:sz w:val="20"/>
                <w:szCs w:val="20"/>
              </w:rPr>
              <w:t xml:space="preserve">Confirm licensing/activation succeeded post-upgrade</w:t>
            </w:r>
          </w:p>
        </w:tc>
        <w:tc>
          <w:tcPr>
            <w:tcW w:type="dxa" w:w="3400"/>
            <w:tcMar>
              <w:top w:type="dxa" w:w="80"/>
              <w:left w:type="dxa" w:w="100"/>
              <w:bottom w:type="dxa" w:w="80"/>
              <w:right w:type="dxa" w:w="100"/>
            </w:tcMar>
          </w:tcPr>
          <w:p>
            <w:r>
              <w:rPr>
                <w:sz w:val="20"/>
                <w:szCs w:val="20"/>
              </w:rPr>
              <w:t xml:space="preserve">`slmgr /dli` and `slmgr /ato` if not yet activated</w:t>
            </w:r>
          </w:p>
        </w:tc>
      </w:tr>
      <w:tr>
        <w:tc>
          <w:tcPr>
            <w:tcW w:type="dxa" w:w="2200"/>
            <w:shd w:fill="F2F2F2" w:val="clear"/>
            <w:tcMar>
              <w:top w:type="dxa" w:w="80"/>
              <w:left w:type="dxa" w:w="100"/>
              <w:bottom w:type="dxa" w:w="80"/>
              <w:right w:type="dxa" w:w="100"/>
            </w:tcMar>
          </w:tcPr>
          <w:p>
            <w:r>
              <w:rPr>
                <w:sz w:val="20"/>
                <w:szCs w:val="20"/>
              </w:rPr>
              <w:t xml:space="preserve">VMware Tools</w:t>
            </w:r>
          </w:p>
        </w:tc>
        <w:tc>
          <w:tcPr>
            <w:tcW w:type="dxa" w:w="4400"/>
            <w:shd w:fill="F2F2F2" w:val="clear"/>
            <w:tcMar>
              <w:top w:type="dxa" w:w="80"/>
              <w:left w:type="dxa" w:w="100"/>
              <w:bottom w:type="dxa" w:w="80"/>
              <w:right w:type="dxa" w:w="100"/>
            </w:tcMar>
          </w:tcPr>
          <w:p>
            <w:r>
              <w:rPr>
                <w:sz w:val="20"/>
                <w:szCs w:val="20"/>
              </w:rPr>
              <w:t xml:space="preserve">Upgrade VMware Tools to the latest version compatible with the ESXi host; update Guest OS type to Windows Server 2022</w:t>
            </w:r>
          </w:p>
        </w:tc>
        <w:tc>
          <w:tcPr>
            <w:tcW w:type="dxa" w:w="3400"/>
            <w:shd w:fill="F2F2F2" w:val="clear"/>
            <w:tcMar>
              <w:top w:type="dxa" w:w="80"/>
              <w:left w:type="dxa" w:w="100"/>
              <w:bottom w:type="dxa" w:w="80"/>
              <w:right w:type="dxa" w:w="100"/>
            </w:tcMar>
          </w:tcPr>
          <w:p>
            <w:r>
              <w:rPr>
                <w:sz w:val="20"/>
                <w:szCs w:val="20"/>
              </w:rPr>
              <w:t xml:space="preserve">VMware Remote Console → Install/Upgrade VMware Tools</w:t>
            </w:r>
          </w:p>
        </w:tc>
      </w:tr>
      <w:tr>
        <w:tc>
          <w:tcPr>
            <w:tcW w:type="dxa" w:w="2200"/>
            <w:tcMar>
              <w:top w:type="dxa" w:w="80"/>
              <w:left w:type="dxa" w:w="100"/>
              <w:bottom w:type="dxa" w:w="80"/>
              <w:right w:type="dxa" w:w="100"/>
            </w:tcMar>
          </w:tcPr>
          <w:p>
            <w:r>
              <w:rPr>
                <w:sz w:val="20"/>
                <w:szCs w:val="20"/>
              </w:rPr>
              <w:t xml:space="preserve">Monitoring Agents</w:t>
            </w:r>
          </w:p>
        </w:tc>
        <w:tc>
          <w:tcPr>
            <w:tcW w:type="dxa" w:w="4400"/>
            <w:tcMar>
              <w:top w:type="dxa" w:w="80"/>
              <w:left w:type="dxa" w:w="100"/>
              <w:bottom w:type="dxa" w:w="80"/>
              <w:right w:type="dxa" w:w="100"/>
            </w:tcMar>
          </w:tcPr>
          <w:p>
            <w:r>
              <w:rPr>
                <w:sz w:val="20"/>
                <w:szCs w:val="20"/>
              </w:rPr>
              <w:t xml:space="preserve">Confirm SCOM/SolarWinds/Splunk agents reconnect and report correctly; remove maintenance mode</w:t>
            </w:r>
          </w:p>
        </w:tc>
        <w:tc>
          <w:tcPr>
            <w:tcW w:type="dxa" w:w="3400"/>
            <w:tcMar>
              <w:top w:type="dxa" w:w="80"/>
              <w:left w:type="dxa" w:w="100"/>
              <w:bottom w:type="dxa" w:w="80"/>
              <w:right w:type="dxa" w:w="100"/>
            </w:tcMar>
          </w:tcPr>
          <w:p>
            <w:r>
              <w:rPr>
                <w:sz w:val="20"/>
                <w:szCs w:val="20"/>
              </w:rPr>
              <w:t xml:space="preserve">Verify agent heartbeat in monitoring console</w:t>
            </w:r>
          </w:p>
        </w:tc>
      </w:tr>
      <w:tr>
        <w:tc>
          <w:tcPr>
            <w:tcW w:type="dxa" w:w="2200"/>
            <w:shd w:fill="F2F2F2" w:val="clear"/>
            <w:tcMar>
              <w:top w:type="dxa" w:w="80"/>
              <w:left w:type="dxa" w:w="100"/>
              <w:bottom w:type="dxa" w:w="80"/>
              <w:right w:type="dxa" w:w="100"/>
            </w:tcMar>
          </w:tcPr>
          <w:p>
            <w:r>
              <w:rPr>
                <w:sz w:val="20"/>
                <w:szCs w:val="20"/>
              </w:rPr>
              <w:t xml:space="preserve">Backup Agent</w:t>
            </w:r>
          </w:p>
        </w:tc>
        <w:tc>
          <w:tcPr>
            <w:tcW w:type="dxa" w:w="4400"/>
            <w:shd w:fill="F2F2F2" w:val="clear"/>
            <w:tcMar>
              <w:top w:type="dxa" w:w="80"/>
              <w:left w:type="dxa" w:w="100"/>
              <w:bottom w:type="dxa" w:w="80"/>
              <w:right w:type="dxa" w:w="100"/>
            </w:tcMar>
          </w:tcPr>
          <w:p>
            <w:r>
              <w:rPr>
                <w:sz w:val="20"/>
                <w:szCs w:val="20"/>
              </w:rPr>
              <w:t xml:space="preserve">Confirm backup agent service is running and the server appears correctly in the backup console for the next scheduled job</w:t>
            </w:r>
          </w:p>
        </w:tc>
        <w:tc>
          <w:tcPr>
            <w:tcW w:type="dxa" w:w="3400"/>
            <w:shd w:fill="F2F2F2" w:val="clear"/>
            <w:tcMar>
              <w:top w:type="dxa" w:w="80"/>
              <w:left w:type="dxa" w:w="100"/>
              <w:bottom w:type="dxa" w:w="80"/>
              <w:right w:type="dxa" w:w="100"/>
            </w:tcMar>
          </w:tcPr>
          <w:p>
            <w:r>
              <w:rPr>
                <w:sz w:val="20"/>
                <w:szCs w:val="20"/>
              </w:rPr>
              <w:t xml:space="preserve">Check backup console job history / test backup</w:t>
            </w:r>
          </w:p>
        </w:tc>
      </w:tr>
      <w:tr>
        <w:tc>
          <w:tcPr>
            <w:tcW w:type="dxa" w:w="2200"/>
            <w:tcMar>
              <w:top w:type="dxa" w:w="80"/>
              <w:left w:type="dxa" w:w="100"/>
              <w:bottom w:type="dxa" w:w="80"/>
              <w:right w:type="dxa" w:w="100"/>
            </w:tcMar>
          </w:tcPr>
          <w:p>
            <w:r>
              <w:rPr>
                <w:sz w:val="20"/>
                <w:szCs w:val="20"/>
              </w:rPr>
              <w:t xml:space="preserve">Antivirus Validation</w:t>
            </w:r>
          </w:p>
        </w:tc>
        <w:tc>
          <w:tcPr>
            <w:tcW w:type="dxa" w:w="4400"/>
            <w:tcMar>
              <w:top w:type="dxa" w:w="80"/>
              <w:left w:type="dxa" w:w="100"/>
              <w:bottom w:type="dxa" w:w="80"/>
              <w:right w:type="dxa" w:w="100"/>
            </w:tcMar>
          </w:tcPr>
          <w:p>
            <w:r>
              <w:rPr>
                <w:sz w:val="20"/>
                <w:szCs w:val="20"/>
              </w:rPr>
              <w:t xml:space="preserve">Confirm AV/EDR agent is running, up to date, and reporting to console</w:t>
            </w:r>
          </w:p>
        </w:tc>
        <w:tc>
          <w:tcPr>
            <w:tcW w:type="dxa" w:w="3400"/>
            <w:tcMar>
              <w:top w:type="dxa" w:w="80"/>
              <w:left w:type="dxa" w:w="100"/>
              <w:bottom w:type="dxa" w:w="80"/>
              <w:right w:type="dxa" w:w="100"/>
            </w:tcMar>
          </w:tcPr>
          <w:p>
            <w:r>
              <w:rPr>
                <w:sz w:val="20"/>
                <w:szCs w:val="20"/>
              </w:rPr>
              <w:t xml:space="preserve">Check AV console + local service status</w:t>
            </w:r>
          </w:p>
        </w:tc>
      </w:tr>
      <w:tr>
        <w:tc>
          <w:tcPr>
            <w:tcW w:type="dxa" w:w="2200"/>
            <w:shd w:fill="F2F2F2" w:val="clear"/>
            <w:tcMar>
              <w:top w:type="dxa" w:w="80"/>
              <w:left w:type="dxa" w:w="100"/>
              <w:bottom w:type="dxa" w:w="80"/>
              <w:right w:type="dxa" w:w="100"/>
            </w:tcMar>
          </w:tcPr>
          <w:p>
            <w:r>
              <w:rPr>
                <w:sz w:val="20"/>
                <w:szCs w:val="20"/>
              </w:rPr>
              <w:t xml:space="preserve">Application Validation</w:t>
            </w:r>
          </w:p>
        </w:tc>
        <w:tc>
          <w:tcPr>
            <w:tcW w:type="dxa" w:w="4400"/>
            <w:shd w:fill="F2F2F2" w:val="clear"/>
            <w:tcMar>
              <w:top w:type="dxa" w:w="80"/>
              <w:left w:type="dxa" w:w="100"/>
              <w:bottom w:type="dxa" w:w="80"/>
              <w:right w:type="dxa" w:w="100"/>
            </w:tcMar>
          </w:tcPr>
          <w:p>
            <w:r>
              <w:rPr>
                <w:sz w:val="20"/>
                <w:szCs w:val="20"/>
              </w:rPr>
              <w:t xml:space="preserve">Confirm all business applications start and function correctly; execute application owner's smoke-test checklist</w:t>
            </w:r>
          </w:p>
        </w:tc>
        <w:tc>
          <w:tcPr>
            <w:tcW w:type="dxa" w:w="3400"/>
            <w:shd w:fill="F2F2F2" w:val="clear"/>
            <w:tcMar>
              <w:top w:type="dxa" w:w="80"/>
              <w:left w:type="dxa" w:w="100"/>
              <w:bottom w:type="dxa" w:w="80"/>
              <w:right w:type="dxa" w:w="100"/>
            </w:tcMar>
          </w:tcPr>
          <w:p>
            <w:r>
              <w:rPr>
                <w:sz w:val="20"/>
                <w:szCs w:val="20"/>
              </w:rPr>
              <w:t xml:space="preserve">Application-specific validation (Section 8)</w:t>
            </w:r>
          </w:p>
        </w:tc>
      </w:tr>
      <w:tr>
        <w:tc>
          <w:tcPr>
            <w:tcW w:type="dxa" w:w="2200"/>
            <w:tcMar>
              <w:top w:type="dxa" w:w="80"/>
              <w:left w:type="dxa" w:w="100"/>
              <w:bottom w:type="dxa" w:w="80"/>
              <w:right w:type="dxa" w:w="100"/>
            </w:tcMar>
          </w:tcPr>
          <w:p>
            <w:r>
              <w:rPr>
                <w:sz w:val="20"/>
                <w:szCs w:val="20"/>
              </w:rPr>
              <w:t xml:space="preserve">Event Logs</w:t>
            </w:r>
          </w:p>
        </w:tc>
        <w:tc>
          <w:tcPr>
            <w:tcW w:type="dxa" w:w="4400"/>
            <w:tcMar>
              <w:top w:type="dxa" w:w="80"/>
              <w:left w:type="dxa" w:w="100"/>
              <w:bottom w:type="dxa" w:w="80"/>
              <w:right w:type="dxa" w:w="100"/>
            </w:tcMar>
          </w:tcPr>
          <w:p>
            <w:r>
              <w:rPr>
                <w:sz w:val="20"/>
                <w:szCs w:val="20"/>
              </w:rPr>
              <w:t xml:space="preserve">Review System and Application logs for new critical errors introduced by the upgrade</w:t>
            </w:r>
          </w:p>
        </w:tc>
        <w:tc>
          <w:tcPr>
            <w:tcW w:type="dxa" w:w="3400"/>
            <w:tcMar>
              <w:top w:type="dxa" w:w="80"/>
              <w:left w:type="dxa" w:w="100"/>
              <w:bottom w:type="dxa" w:w="80"/>
              <w:right w:type="dxa" w:w="100"/>
            </w:tcMar>
          </w:tcPr>
          <w:p>
            <w:r>
              <w:rPr>
                <w:sz w:val="20"/>
                <w:szCs w:val="20"/>
              </w:rPr>
              <w:t xml:space="preserve">`Get-WinEvent -LogName System,Application -MaxEvents 100 | Where-Object LevelDisplayName -eq 'Error'`</w:t>
            </w:r>
          </w:p>
        </w:tc>
      </w:tr>
      <w:tr>
        <w:tc>
          <w:tcPr>
            <w:tcW w:type="dxa" w:w="2200"/>
            <w:shd w:fill="F2F2F2" w:val="clear"/>
            <w:tcMar>
              <w:top w:type="dxa" w:w="80"/>
              <w:left w:type="dxa" w:w="100"/>
              <w:bottom w:type="dxa" w:w="80"/>
              <w:right w:type="dxa" w:w="100"/>
            </w:tcMar>
          </w:tcPr>
          <w:p>
            <w:r>
              <w:rPr>
                <w:sz w:val="20"/>
                <w:szCs w:val="20"/>
              </w:rPr>
              <w:t xml:space="preserve">Network Validation</w:t>
            </w:r>
          </w:p>
        </w:tc>
        <w:tc>
          <w:tcPr>
            <w:tcW w:type="dxa" w:w="4400"/>
            <w:shd w:fill="F2F2F2" w:val="clear"/>
            <w:tcMar>
              <w:top w:type="dxa" w:w="80"/>
              <w:left w:type="dxa" w:w="100"/>
              <w:bottom w:type="dxa" w:w="80"/>
              <w:right w:type="dxa" w:w="100"/>
            </w:tcMar>
          </w:tcPr>
          <w:p>
            <w:r>
              <w:rPr>
                <w:sz w:val="20"/>
                <w:szCs w:val="20"/>
              </w:rPr>
              <w:t xml:space="preserve">Confirm IP config, DNS, gateway, and connectivity match pre-upgrade baseline</w:t>
            </w:r>
          </w:p>
        </w:tc>
        <w:tc>
          <w:tcPr>
            <w:tcW w:type="dxa" w:w="3400"/>
            <w:shd w:fill="F2F2F2" w:val="clear"/>
            <w:tcMar>
              <w:top w:type="dxa" w:w="80"/>
              <w:left w:type="dxa" w:w="100"/>
              <w:bottom w:type="dxa" w:w="80"/>
              <w:right w:type="dxa" w:w="100"/>
            </w:tcMar>
          </w:tcPr>
          <w:p>
            <w:r>
              <w:rPr>
                <w:sz w:val="20"/>
                <w:szCs w:val="20"/>
              </w:rPr>
              <w:t xml:space="preserve">`Get-NetIPConfiguration`, `Test-NetConnection`</w:t>
            </w:r>
          </w:p>
        </w:tc>
      </w:tr>
      <w:tr>
        <w:tc>
          <w:tcPr>
            <w:tcW w:type="dxa" w:w="2200"/>
            <w:tcMar>
              <w:top w:type="dxa" w:w="80"/>
              <w:left w:type="dxa" w:w="100"/>
              <w:bottom w:type="dxa" w:w="80"/>
              <w:right w:type="dxa" w:w="100"/>
            </w:tcMar>
          </w:tcPr>
          <w:p>
            <w:r>
              <w:rPr>
                <w:sz w:val="20"/>
                <w:szCs w:val="20"/>
              </w:rPr>
              <w:t xml:space="preserve">Performance Validation</w:t>
            </w:r>
          </w:p>
        </w:tc>
        <w:tc>
          <w:tcPr>
            <w:tcW w:type="dxa" w:w="4400"/>
            <w:tcMar>
              <w:top w:type="dxa" w:w="80"/>
              <w:left w:type="dxa" w:w="100"/>
              <w:bottom w:type="dxa" w:w="80"/>
              <w:right w:type="dxa" w:w="100"/>
            </w:tcMar>
          </w:tcPr>
          <w:p>
            <w:r>
              <w:rPr>
                <w:sz w:val="20"/>
                <w:szCs w:val="20"/>
              </w:rPr>
              <w:t xml:space="preserve">Compare CPU/memory/disk against Section 4 baseline</w:t>
            </w:r>
          </w:p>
        </w:tc>
        <w:tc>
          <w:tcPr>
            <w:tcW w:type="dxa" w:w="3400"/>
            <w:tcMar>
              <w:top w:type="dxa" w:w="80"/>
              <w:left w:type="dxa" w:w="100"/>
              <w:bottom w:type="dxa" w:w="80"/>
              <w:right w:type="dxa" w:w="100"/>
            </w:tcMar>
          </w:tcPr>
          <w:p>
            <w:r>
              <w:rPr>
                <w:sz w:val="20"/>
                <w:szCs w:val="20"/>
              </w:rPr>
              <w:t xml:space="preserve">`Get-Counter` against baseline counters</w:t>
            </w:r>
          </w:p>
        </w:tc>
      </w:tr>
      <w:tr>
        <w:tc>
          <w:tcPr>
            <w:tcW w:type="dxa" w:w="2200"/>
            <w:shd w:fill="F2F2F2" w:val="clear"/>
            <w:tcMar>
              <w:top w:type="dxa" w:w="80"/>
              <w:left w:type="dxa" w:w="100"/>
              <w:bottom w:type="dxa" w:w="80"/>
              <w:right w:type="dxa" w:w="100"/>
            </w:tcMar>
          </w:tcPr>
          <w:p>
            <w:r>
              <w:rPr>
                <w:sz w:val="20"/>
                <w:szCs w:val="20"/>
              </w:rPr>
              <w:t xml:space="preserve">Disk Validation</w:t>
            </w:r>
          </w:p>
        </w:tc>
        <w:tc>
          <w:tcPr>
            <w:tcW w:type="dxa" w:w="4400"/>
            <w:shd w:fill="F2F2F2" w:val="clear"/>
            <w:tcMar>
              <w:top w:type="dxa" w:w="80"/>
              <w:left w:type="dxa" w:w="100"/>
              <w:bottom w:type="dxa" w:w="80"/>
              <w:right w:type="dxa" w:w="100"/>
            </w:tcMar>
          </w:tcPr>
          <w:p>
            <w:r>
              <w:rPr>
                <w:sz w:val="20"/>
                <w:szCs w:val="20"/>
              </w:rPr>
              <w:t xml:space="preserve">Confirm no unexpected disk consumption from the upgrade (old OS files retained for 10 days in `Windows.old`)</w:t>
            </w:r>
          </w:p>
        </w:tc>
        <w:tc>
          <w:tcPr>
            <w:tcW w:type="dxa" w:w="3400"/>
            <w:shd w:fill="F2F2F2" w:val="clear"/>
            <w:tcMar>
              <w:top w:type="dxa" w:w="80"/>
              <w:left w:type="dxa" w:w="100"/>
              <w:bottom w:type="dxa" w:w="80"/>
              <w:right w:type="dxa" w:w="100"/>
            </w:tcMar>
          </w:tcPr>
          <w:p>
            <w:r>
              <w:rPr>
                <w:sz w:val="20"/>
                <w:szCs w:val="20"/>
              </w:rPr>
              <w:t xml:space="preserve">`Get-PSDrive C`; note `Windows.old` size</w:t>
            </w:r>
          </w:p>
        </w:tc>
      </w:tr>
      <w:tr>
        <w:tc>
          <w:tcPr>
            <w:tcW w:type="dxa" w:w="2200"/>
            <w:tcMar>
              <w:top w:type="dxa" w:w="80"/>
              <w:left w:type="dxa" w:w="100"/>
              <w:bottom w:type="dxa" w:w="80"/>
              <w:right w:type="dxa" w:w="100"/>
            </w:tcMar>
          </w:tcPr>
          <w:p>
            <w:r>
              <w:rPr>
                <w:sz w:val="20"/>
                <w:szCs w:val="20"/>
              </w:rPr>
              <w:t xml:space="preserve">Service Validation</w:t>
            </w:r>
          </w:p>
        </w:tc>
        <w:tc>
          <w:tcPr>
            <w:tcW w:type="dxa" w:w="4400"/>
            <w:tcMar>
              <w:top w:type="dxa" w:w="80"/>
              <w:left w:type="dxa" w:w="100"/>
              <w:bottom w:type="dxa" w:w="80"/>
              <w:right w:type="dxa" w:w="100"/>
            </w:tcMar>
          </w:tcPr>
          <w:p>
            <w:r>
              <w:rPr>
                <w:sz w:val="20"/>
                <w:szCs w:val="20"/>
              </w:rPr>
              <w:t xml:space="preserve">Confirm all previously running automatic services are running again</w:t>
            </w:r>
          </w:p>
        </w:tc>
        <w:tc>
          <w:tcPr>
            <w:tcW w:type="dxa" w:w="3400"/>
            <w:tcMar>
              <w:top w:type="dxa" w:w="80"/>
              <w:left w:type="dxa" w:w="100"/>
              <w:bottom w:type="dxa" w:w="80"/>
              <w:right w:type="dxa" w:w="100"/>
            </w:tcMar>
          </w:tcPr>
          <w:p>
            <w:r>
              <w:rPr>
                <w:sz w:val="20"/>
                <w:szCs w:val="20"/>
              </w:rPr>
              <w:t xml:space="preserve">`Get-Service | Where-Object {$_.StartType -eq 'Automatic' -and $_.Status -ne 'Running'}`</w:t>
            </w:r>
          </w:p>
        </w:tc>
      </w:tr>
      <w:tr>
        <w:tc>
          <w:tcPr>
            <w:tcW w:type="dxa" w:w="2200"/>
            <w:shd w:fill="F2F2F2" w:val="clear"/>
            <w:tcMar>
              <w:top w:type="dxa" w:w="80"/>
              <w:left w:type="dxa" w:w="100"/>
              <w:bottom w:type="dxa" w:w="80"/>
              <w:right w:type="dxa" w:w="100"/>
            </w:tcMar>
          </w:tcPr>
          <w:p>
            <w:r>
              <w:rPr>
                <w:sz w:val="20"/>
                <w:szCs w:val="20"/>
              </w:rPr>
              <w:t xml:space="preserve">Scheduled Tasks</w:t>
            </w:r>
          </w:p>
        </w:tc>
        <w:tc>
          <w:tcPr>
            <w:tcW w:type="dxa" w:w="4400"/>
            <w:shd w:fill="F2F2F2" w:val="clear"/>
            <w:tcMar>
              <w:top w:type="dxa" w:w="80"/>
              <w:left w:type="dxa" w:w="100"/>
              <w:bottom w:type="dxa" w:w="80"/>
              <w:right w:type="dxa" w:w="100"/>
            </w:tcMar>
          </w:tcPr>
          <w:p>
            <w:r>
              <w:rPr>
                <w:sz w:val="20"/>
                <w:szCs w:val="20"/>
              </w:rPr>
              <w:t xml:space="preserve">Confirm all scheduled tasks persisted and are enabled as before</w:t>
            </w:r>
          </w:p>
        </w:tc>
        <w:tc>
          <w:tcPr>
            <w:tcW w:type="dxa" w:w="3400"/>
            <w:shd w:fill="F2F2F2" w:val="clear"/>
            <w:tcMar>
              <w:top w:type="dxa" w:w="80"/>
              <w:left w:type="dxa" w:w="100"/>
              <w:bottom w:type="dxa" w:w="80"/>
              <w:right w:type="dxa" w:w="100"/>
            </w:tcMar>
          </w:tcPr>
          <w:p>
            <w:r>
              <w:rPr>
                <w:sz w:val="20"/>
                <w:szCs w:val="20"/>
              </w:rPr>
              <w:t xml:space="preserve">`Get-ScheduledTask` compared to Section 4 baseline</w:t>
            </w:r>
          </w:p>
        </w:tc>
      </w:tr>
      <w:tr>
        <w:tc>
          <w:tcPr>
            <w:tcW w:type="dxa" w:w="2200"/>
            <w:tcMar>
              <w:top w:type="dxa" w:w="80"/>
              <w:left w:type="dxa" w:w="100"/>
              <w:bottom w:type="dxa" w:w="80"/>
              <w:right w:type="dxa" w:w="100"/>
            </w:tcMar>
          </w:tcPr>
          <w:p>
            <w:r>
              <w:rPr>
                <w:sz w:val="20"/>
                <w:szCs w:val="20"/>
              </w:rPr>
              <w:t xml:space="preserve">Firewall</w:t>
            </w:r>
          </w:p>
        </w:tc>
        <w:tc>
          <w:tcPr>
            <w:tcW w:type="dxa" w:w="4400"/>
            <w:tcMar>
              <w:top w:type="dxa" w:w="80"/>
              <w:left w:type="dxa" w:w="100"/>
              <w:bottom w:type="dxa" w:w="80"/>
              <w:right w:type="dxa" w:w="100"/>
            </w:tcMar>
          </w:tcPr>
          <w:p>
            <w:r>
              <w:rPr>
                <w:sz w:val="20"/>
                <w:szCs w:val="20"/>
              </w:rPr>
              <w:t xml:space="preserve">Confirm custom firewall rules persisted; Windows Firewall profile settings retained</w:t>
            </w:r>
          </w:p>
        </w:tc>
        <w:tc>
          <w:tcPr>
            <w:tcW w:type="dxa" w:w="3400"/>
            <w:tcMar>
              <w:top w:type="dxa" w:w="80"/>
              <w:left w:type="dxa" w:w="100"/>
              <w:bottom w:type="dxa" w:w="80"/>
              <w:right w:type="dxa" w:w="100"/>
            </w:tcMar>
          </w:tcPr>
          <w:p>
            <w:r>
              <w:rPr>
                <w:sz w:val="20"/>
                <w:szCs w:val="20"/>
              </w:rPr>
              <w:t xml:space="preserve">`Get-NetFirewallRule -Enabled True`</w:t>
            </w:r>
          </w:p>
        </w:tc>
      </w:tr>
      <w:tr>
        <w:tc>
          <w:tcPr>
            <w:tcW w:type="dxa" w:w="2200"/>
            <w:shd w:fill="F2F2F2" w:val="clear"/>
            <w:tcMar>
              <w:top w:type="dxa" w:w="80"/>
              <w:left w:type="dxa" w:w="100"/>
              <w:bottom w:type="dxa" w:w="80"/>
              <w:right w:type="dxa" w:w="100"/>
            </w:tcMar>
          </w:tcPr>
          <w:p>
            <w:r>
              <w:rPr>
                <w:sz w:val="20"/>
                <w:szCs w:val="20"/>
              </w:rPr>
              <w:t xml:space="preserve">Certificates</w:t>
            </w:r>
          </w:p>
        </w:tc>
        <w:tc>
          <w:tcPr>
            <w:tcW w:type="dxa" w:w="4400"/>
            <w:shd w:fill="F2F2F2" w:val="clear"/>
            <w:tcMar>
              <w:top w:type="dxa" w:w="80"/>
              <w:left w:type="dxa" w:w="100"/>
              <w:bottom w:type="dxa" w:w="80"/>
              <w:right w:type="dxa" w:w="100"/>
            </w:tcMar>
          </w:tcPr>
          <w:p>
            <w:r>
              <w:rPr>
                <w:sz w:val="20"/>
                <w:szCs w:val="20"/>
              </w:rPr>
              <w:t xml:space="preserve">Confirm certificate store contents persisted and services bound to certificates (IIS/SQL/RDP) function correctly</w:t>
            </w:r>
          </w:p>
        </w:tc>
        <w:tc>
          <w:tcPr>
            <w:tcW w:type="dxa" w:w="3400"/>
            <w:shd w:fill="F2F2F2" w:val="clear"/>
            <w:tcMar>
              <w:top w:type="dxa" w:w="80"/>
              <w:left w:type="dxa" w:w="100"/>
              <w:bottom w:type="dxa" w:w="80"/>
              <w:right w:type="dxa" w:w="100"/>
            </w:tcMar>
          </w:tcPr>
          <w:p>
            <w:r>
              <w:rPr>
                <w:sz w:val="20"/>
                <w:szCs w:val="20"/>
              </w:rPr>
              <w:t xml:space="preserve">`Get-ChildItem Cert:\LocalMachine\My`</w:t>
            </w:r>
          </w:p>
        </w:tc>
      </w:tr>
      <w:tr>
        <w:tc>
          <w:tcPr>
            <w:tcW w:type="dxa" w:w="2200"/>
            <w:tcMar>
              <w:top w:type="dxa" w:w="80"/>
              <w:left w:type="dxa" w:w="100"/>
              <w:bottom w:type="dxa" w:w="80"/>
              <w:right w:type="dxa" w:w="100"/>
            </w:tcMar>
          </w:tcPr>
          <w:p>
            <w:r>
              <w:rPr>
                <w:sz w:val="20"/>
                <w:szCs w:val="20"/>
              </w:rPr>
              <w:t xml:space="preserve">Group Policy</w:t>
            </w:r>
          </w:p>
        </w:tc>
        <w:tc>
          <w:tcPr>
            <w:tcW w:type="dxa" w:w="4400"/>
            <w:tcMar>
              <w:top w:type="dxa" w:w="80"/>
              <w:left w:type="dxa" w:w="100"/>
              <w:bottom w:type="dxa" w:w="80"/>
              <w:right w:type="dxa" w:w="100"/>
            </w:tcMar>
          </w:tcPr>
          <w:p>
            <w:r>
              <w:rPr>
                <w:sz w:val="20"/>
                <w:szCs w:val="20"/>
              </w:rPr>
              <w:t xml:space="preserve">Force a GPO refresh and confirm no errors</w:t>
            </w:r>
          </w:p>
        </w:tc>
        <w:tc>
          <w:tcPr>
            <w:tcW w:type="dxa" w:w="3400"/>
            <w:tcMar>
              <w:top w:type="dxa" w:w="80"/>
              <w:left w:type="dxa" w:w="100"/>
              <w:bottom w:type="dxa" w:w="80"/>
              <w:right w:type="dxa" w:w="100"/>
            </w:tcMar>
          </w:tcPr>
          <w:p>
            <w:r>
              <w:rPr>
                <w:sz w:val="20"/>
                <w:szCs w:val="20"/>
              </w:rPr>
              <w:t xml:space="preserve">`gpupdate /force` then `gpresult /r`</w:t>
            </w:r>
          </w:p>
        </w:tc>
      </w:tr>
    </w:tbl>
    <w:p>
      <w:pPr>
        <w:spacing w:after="120"/>
      </w:pP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E8EEF9" w:val="clear"/>
            <w:tcMar>
              <w:top w:type="dxa" w:w="100"/>
              <w:left w:type="dxa" w:w="150"/>
              <w:bottom w:type="dxa" w:w="100"/>
              <w:right w:type="dxa" w:w="150"/>
            </w:tcMar>
          </w:tcPr>
          <w:p>
            <w:r>
              <w:rPr>
                <w:b/>
                <w:bCs/>
                <w:color w:val="1F3864"/>
              </w:rPr>
              <w:t xml:space="preserve">BEST PRACTICE</w:t>
            </w:r>
          </w:p>
          <w:p>
            <w:r>
              <w:t xml:space="preserve">Do not remove the maintenance-mode flag or close the change window until every row above has a captured PASS result. `Windows.old` should be retained for at least the standard 10-day rollback window before running Disk Cleanup to reclaim space.</w:t>
            </w:r>
          </w:p>
        </w:tc>
      </w:tr>
    </w:tbl>
    <w:p>
      <w:r>
        <w:br w:type="page"/>
      </w:r>
    </w:p>
    <w:p>
      <w:pPr>
        <w:pStyle w:val="Heading1"/>
        <w:spacing w:after="200" w:before="400"/>
      </w:pPr>
      <w:r>
        <w:t xml:space="preserve">8.0 Validation</w:t>
      </w:r>
    </w:p>
    <w:p>
      <w:pPr>
        <w:spacing w:after="150"/>
      </w:pPr>
      <w:r>
        <w:t xml:space="preserve">Complete the checklist below and attach evidence (command output / screenshot) for every row. All items must show PASS before the change is closed as successful in the CAB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18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Validation Item</w:t>
            </w:r>
          </w:p>
        </w:tc>
        <w:tc>
          <w:tcPr>
            <w:tcW w:type="dxa" w:w="2800"/>
            <w:shd w:fill="1F3864" w:val="clear"/>
            <w:tcMar>
              <w:top w:type="dxa" w:w="80"/>
              <w:left w:type="dxa" w:w="100"/>
              <w:bottom w:type="dxa" w:w="80"/>
              <w:right w:type="dxa" w:w="100"/>
            </w:tcMar>
            <w:vAlign w:val="center"/>
          </w:tcPr>
          <w:p>
            <w:r>
              <w:rPr>
                <w:b/>
                <w:bCs/>
                <w:color w:val="FFFFFF"/>
                <w:sz w:val="20"/>
                <w:szCs w:val="20"/>
              </w:rPr>
              <w:t xml:space="preserve">Command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Expected Result</w:t>
            </w:r>
          </w:p>
        </w:tc>
        <w:tc>
          <w:tcPr>
            <w:tcW w:type="dxa" w:w="1800"/>
            <w:shd w:fill="1F3864" w:val="clear"/>
            <w:tcMar>
              <w:top w:type="dxa" w:w="80"/>
              <w:left w:type="dxa" w:w="100"/>
              <w:bottom w:type="dxa" w:w="80"/>
              <w:right w:type="dxa" w:w="100"/>
            </w:tcMar>
            <w:vAlign w:val="center"/>
          </w:tcPr>
          <w:p>
            <w:r>
              <w:rPr>
                <w:b/>
                <w:bCs/>
                <w:color w:val="FFFFFF"/>
                <w:sz w:val="20"/>
                <w:szCs w:val="20"/>
              </w:rPr>
              <w:t xml:space="preserve">Result / Evidence</w:t>
            </w:r>
          </w:p>
        </w:tc>
      </w:tr>
      <w:tr>
        <w:tc>
          <w:tcPr>
            <w:tcW w:type="dxa" w:w="2600"/>
            <w:tcMar>
              <w:top w:type="dxa" w:w="80"/>
              <w:left w:type="dxa" w:w="100"/>
              <w:bottom w:type="dxa" w:w="80"/>
              <w:right w:type="dxa" w:w="100"/>
            </w:tcMar>
          </w:tcPr>
          <w:p>
            <w:r>
              <w:rPr>
                <w:sz w:val="20"/>
                <w:szCs w:val="20"/>
              </w:rPr>
              <w:t xml:space="preserve">OS version and build</w:t>
            </w:r>
          </w:p>
        </w:tc>
        <w:tc>
          <w:tcPr>
            <w:tcW w:type="dxa" w:w="2800"/>
            <w:tcMar>
              <w:top w:type="dxa" w:w="80"/>
              <w:left w:type="dxa" w:w="100"/>
              <w:bottom w:type="dxa" w:w="80"/>
              <w:right w:type="dxa" w:w="100"/>
            </w:tcMar>
          </w:tcPr>
          <w:p>
            <w:r>
              <w:rPr>
                <w:sz w:val="20"/>
                <w:szCs w:val="20"/>
              </w:rPr>
              <w:t xml:space="preserve">`Get-ComputerInfo`</w:t>
            </w:r>
          </w:p>
        </w:tc>
        <w:tc>
          <w:tcPr>
            <w:tcW w:type="dxa" w:w="2600"/>
            <w:tcMar>
              <w:top w:type="dxa" w:w="80"/>
              <w:left w:type="dxa" w:w="100"/>
              <w:bottom w:type="dxa" w:w="80"/>
              <w:right w:type="dxa" w:w="100"/>
            </w:tcMar>
          </w:tcPr>
          <w:p>
            <w:r>
              <w:rPr>
                <w:sz w:val="20"/>
                <w:szCs w:val="20"/>
              </w:rPr>
              <w:t xml:space="preserve">Windows Server 2022, correct edition</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Domain membership</w:t>
            </w:r>
          </w:p>
        </w:tc>
        <w:tc>
          <w:tcPr>
            <w:tcW w:type="dxa" w:w="2800"/>
            <w:shd w:fill="F2F2F2" w:val="clear"/>
            <w:tcMar>
              <w:top w:type="dxa" w:w="80"/>
              <w:left w:type="dxa" w:w="100"/>
              <w:bottom w:type="dxa" w:w="80"/>
              <w:right w:type="dxa" w:w="100"/>
            </w:tcMar>
          </w:tcPr>
          <w:p>
            <w:r>
              <w:rPr>
                <w:sz w:val="20"/>
                <w:szCs w:val="20"/>
              </w:rPr>
              <w:t xml:space="preserve">`Test-ComputerSecureChannel`</w:t>
            </w:r>
          </w:p>
        </w:tc>
        <w:tc>
          <w:tcPr>
            <w:tcW w:type="dxa" w:w="2600"/>
            <w:shd w:fill="F2F2F2" w:val="clear"/>
            <w:tcMar>
              <w:top w:type="dxa" w:w="80"/>
              <w:left w:type="dxa" w:w="100"/>
              <w:bottom w:type="dxa" w:w="80"/>
              <w:right w:type="dxa" w:w="100"/>
            </w:tcMar>
          </w:tcPr>
          <w:p>
            <w:r>
              <w:rPr>
                <w:sz w:val="20"/>
                <w:szCs w:val="20"/>
              </w:rPr>
              <w:t xml:space="preserve">Returns True</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600"/>
            <w:tcMar>
              <w:top w:type="dxa" w:w="80"/>
              <w:left w:type="dxa" w:w="100"/>
              <w:bottom w:type="dxa" w:w="80"/>
              <w:right w:type="dxa" w:w="100"/>
            </w:tcMar>
          </w:tcPr>
          <w:p>
            <w:r>
              <w:rPr>
                <w:sz w:val="20"/>
                <w:szCs w:val="20"/>
              </w:rPr>
              <w:t xml:space="preserve">Network connectivity</w:t>
            </w:r>
          </w:p>
        </w:tc>
        <w:tc>
          <w:tcPr>
            <w:tcW w:type="dxa" w:w="2800"/>
            <w:tcMar>
              <w:top w:type="dxa" w:w="80"/>
              <w:left w:type="dxa" w:w="100"/>
              <w:bottom w:type="dxa" w:w="80"/>
              <w:right w:type="dxa" w:w="100"/>
            </w:tcMar>
          </w:tcPr>
          <w:p>
            <w:r>
              <w:rPr>
                <w:sz w:val="20"/>
                <w:szCs w:val="20"/>
              </w:rPr>
              <w:t xml:space="preserve">`Test-NetConnection &lt;gateway/DC&gt;`</w:t>
            </w:r>
          </w:p>
        </w:tc>
        <w:tc>
          <w:tcPr>
            <w:tcW w:type="dxa" w:w="2600"/>
            <w:tcMar>
              <w:top w:type="dxa" w:w="80"/>
              <w:left w:type="dxa" w:w="100"/>
              <w:bottom w:type="dxa" w:w="80"/>
              <w:right w:type="dxa" w:w="100"/>
            </w:tcMar>
          </w:tcPr>
          <w:p>
            <w:r>
              <w:rPr>
                <w:sz w:val="20"/>
                <w:szCs w:val="20"/>
              </w:rPr>
              <w:t xml:space="preserve">Successful ping/route</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DNS resolution</w:t>
            </w:r>
          </w:p>
        </w:tc>
        <w:tc>
          <w:tcPr>
            <w:tcW w:type="dxa" w:w="2800"/>
            <w:shd w:fill="F2F2F2" w:val="clear"/>
            <w:tcMar>
              <w:top w:type="dxa" w:w="80"/>
              <w:left w:type="dxa" w:w="100"/>
              <w:bottom w:type="dxa" w:w="80"/>
              <w:right w:type="dxa" w:w="100"/>
            </w:tcMar>
          </w:tcPr>
          <w:p>
            <w:r>
              <w:rPr>
                <w:sz w:val="20"/>
                <w:szCs w:val="20"/>
              </w:rPr>
              <w:t xml:space="preserve">`Resolve-DnsName`</w:t>
            </w:r>
          </w:p>
        </w:tc>
        <w:tc>
          <w:tcPr>
            <w:tcW w:type="dxa" w:w="2600"/>
            <w:shd w:fill="F2F2F2" w:val="clear"/>
            <w:tcMar>
              <w:top w:type="dxa" w:w="80"/>
              <w:left w:type="dxa" w:w="100"/>
              <w:bottom w:type="dxa" w:w="80"/>
              <w:right w:type="dxa" w:w="100"/>
            </w:tcMar>
          </w:tcPr>
          <w:p>
            <w:r>
              <w:rPr>
                <w:sz w:val="20"/>
                <w:szCs w:val="20"/>
              </w:rPr>
              <w:t xml:space="preserve">Correct resolution</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600"/>
            <w:tcMar>
              <w:top w:type="dxa" w:w="80"/>
              <w:left w:type="dxa" w:w="100"/>
              <w:bottom w:type="dxa" w:w="80"/>
              <w:right w:type="dxa" w:w="100"/>
            </w:tcMar>
          </w:tcPr>
          <w:p>
            <w:r>
              <w:rPr>
                <w:sz w:val="20"/>
                <w:szCs w:val="20"/>
              </w:rPr>
              <w:t xml:space="preserve">Disk space</w:t>
            </w:r>
          </w:p>
        </w:tc>
        <w:tc>
          <w:tcPr>
            <w:tcW w:type="dxa" w:w="2800"/>
            <w:tcMar>
              <w:top w:type="dxa" w:w="80"/>
              <w:left w:type="dxa" w:w="100"/>
              <w:bottom w:type="dxa" w:w="80"/>
              <w:right w:type="dxa" w:w="100"/>
            </w:tcMar>
          </w:tcPr>
          <w:p>
            <w:r>
              <w:rPr>
                <w:sz w:val="20"/>
                <w:szCs w:val="20"/>
              </w:rPr>
              <w:t xml:space="preserve">`Get-PSDrive C`</w:t>
            </w:r>
          </w:p>
        </w:tc>
        <w:tc>
          <w:tcPr>
            <w:tcW w:type="dxa" w:w="2600"/>
            <w:tcMar>
              <w:top w:type="dxa" w:w="80"/>
              <w:left w:type="dxa" w:w="100"/>
              <w:bottom w:type="dxa" w:w="80"/>
              <w:right w:type="dxa" w:w="100"/>
            </w:tcMar>
          </w:tcPr>
          <w:p>
            <w:r>
              <w:rPr>
                <w:sz w:val="20"/>
                <w:szCs w:val="20"/>
              </w:rPr>
              <w:t xml:space="preserve">Consistent with Section 4 baseline plus Windows.old</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Critical services</w:t>
            </w:r>
          </w:p>
        </w:tc>
        <w:tc>
          <w:tcPr>
            <w:tcW w:type="dxa" w:w="2800"/>
            <w:shd w:fill="F2F2F2" w:val="clear"/>
            <w:tcMar>
              <w:top w:type="dxa" w:w="80"/>
              <w:left w:type="dxa" w:w="100"/>
              <w:bottom w:type="dxa" w:w="80"/>
              <w:right w:type="dxa" w:w="100"/>
            </w:tcMar>
          </w:tcPr>
          <w:p>
            <w:r>
              <w:rPr>
                <w:sz w:val="20"/>
                <w:szCs w:val="20"/>
              </w:rPr>
              <w:t xml:space="preserve">`Get-Service`</w:t>
            </w:r>
          </w:p>
        </w:tc>
        <w:tc>
          <w:tcPr>
            <w:tcW w:type="dxa" w:w="2600"/>
            <w:shd w:fill="F2F2F2" w:val="clear"/>
            <w:tcMar>
              <w:top w:type="dxa" w:w="80"/>
              <w:left w:type="dxa" w:w="100"/>
              <w:bottom w:type="dxa" w:w="80"/>
              <w:right w:type="dxa" w:w="100"/>
            </w:tcMar>
          </w:tcPr>
          <w:p>
            <w:r>
              <w:rPr>
                <w:sz w:val="20"/>
                <w:szCs w:val="20"/>
              </w:rPr>
              <w:t xml:space="preserve">All automatic services running</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600"/>
            <w:tcMar>
              <w:top w:type="dxa" w:w="80"/>
              <w:left w:type="dxa" w:w="100"/>
              <w:bottom w:type="dxa" w:w="80"/>
              <w:right w:type="dxa" w:w="100"/>
            </w:tcMar>
          </w:tcPr>
          <w:p>
            <w:r>
              <w:rPr>
                <w:sz w:val="20"/>
                <w:szCs w:val="20"/>
              </w:rPr>
              <w:t xml:space="preserve">Application functionality</w:t>
            </w:r>
          </w:p>
        </w:tc>
        <w:tc>
          <w:tcPr>
            <w:tcW w:type="dxa" w:w="2800"/>
            <w:tcMar>
              <w:top w:type="dxa" w:w="80"/>
              <w:left w:type="dxa" w:w="100"/>
              <w:bottom w:type="dxa" w:w="80"/>
              <w:right w:type="dxa" w:w="100"/>
            </w:tcMar>
          </w:tcPr>
          <w:p>
            <w:r>
              <w:rPr>
                <w:sz w:val="20"/>
                <w:szCs w:val="20"/>
              </w:rPr>
              <w:t xml:space="preserve">Application smoke test</w:t>
            </w:r>
          </w:p>
        </w:tc>
        <w:tc>
          <w:tcPr>
            <w:tcW w:type="dxa" w:w="2600"/>
            <w:tcMar>
              <w:top w:type="dxa" w:w="80"/>
              <w:left w:type="dxa" w:w="100"/>
              <w:bottom w:type="dxa" w:w="80"/>
              <w:right w:type="dxa" w:w="100"/>
            </w:tcMar>
          </w:tcPr>
          <w:p>
            <w:r>
              <w:rPr>
                <w:sz w:val="20"/>
                <w:szCs w:val="20"/>
              </w:rPr>
              <w:t xml:space="preserve">Application owner sign-off</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SQL Server connectivity</w:t>
            </w:r>
          </w:p>
        </w:tc>
        <w:tc>
          <w:tcPr>
            <w:tcW w:type="dxa" w:w="2800"/>
            <w:shd w:fill="F2F2F2" w:val="clear"/>
            <w:tcMar>
              <w:top w:type="dxa" w:w="80"/>
              <w:left w:type="dxa" w:w="100"/>
              <w:bottom w:type="dxa" w:w="80"/>
              <w:right w:type="dxa" w:w="100"/>
            </w:tcMar>
          </w:tcPr>
          <w:p>
            <w:r>
              <w:rPr>
                <w:sz w:val="20"/>
                <w:szCs w:val="20"/>
              </w:rPr>
              <w:t xml:space="preserve">See Part 2, SQL Validation</w:t>
            </w:r>
          </w:p>
        </w:tc>
        <w:tc>
          <w:tcPr>
            <w:tcW w:type="dxa" w:w="2600"/>
            <w:shd w:fill="F2F2F2" w:val="clear"/>
            <w:tcMar>
              <w:top w:type="dxa" w:w="80"/>
              <w:left w:type="dxa" w:w="100"/>
              <w:bottom w:type="dxa" w:w="80"/>
              <w:right w:type="dxa" w:w="100"/>
            </w:tcMar>
          </w:tcPr>
          <w:p>
            <w:r>
              <w:rPr>
                <w:sz w:val="20"/>
                <w:szCs w:val="20"/>
              </w:rPr>
              <w:t xml:space="preserve">Instance accepts connections</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600"/>
            <w:tcMar>
              <w:top w:type="dxa" w:w="80"/>
              <w:left w:type="dxa" w:w="100"/>
              <w:bottom w:type="dxa" w:w="80"/>
              <w:right w:type="dxa" w:w="100"/>
            </w:tcMar>
          </w:tcPr>
          <w:p>
            <w:r>
              <w:rPr>
                <w:sz w:val="20"/>
                <w:szCs w:val="20"/>
              </w:rPr>
              <w:t xml:space="preserve">Monitoring agent status</w:t>
            </w:r>
          </w:p>
        </w:tc>
        <w:tc>
          <w:tcPr>
            <w:tcW w:type="dxa" w:w="2800"/>
            <w:tcMar>
              <w:top w:type="dxa" w:w="80"/>
              <w:left w:type="dxa" w:w="100"/>
              <w:bottom w:type="dxa" w:w="80"/>
              <w:right w:type="dxa" w:w="100"/>
            </w:tcMar>
          </w:tcPr>
          <w:p>
            <w:r>
              <w:rPr>
                <w:sz w:val="20"/>
                <w:szCs w:val="20"/>
              </w:rPr>
              <w:t xml:space="preserve">Monitoring console</w:t>
            </w:r>
          </w:p>
        </w:tc>
        <w:tc>
          <w:tcPr>
            <w:tcW w:type="dxa" w:w="2600"/>
            <w:tcMar>
              <w:top w:type="dxa" w:w="80"/>
              <w:left w:type="dxa" w:w="100"/>
              <w:bottom w:type="dxa" w:w="80"/>
              <w:right w:type="dxa" w:w="100"/>
            </w:tcMar>
          </w:tcPr>
          <w:p>
            <w:r>
              <w:rPr>
                <w:sz w:val="20"/>
                <w:szCs w:val="20"/>
              </w:rPr>
              <w:t xml:space="preserve">Green/healthy status</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Backup job test</w:t>
            </w:r>
          </w:p>
        </w:tc>
        <w:tc>
          <w:tcPr>
            <w:tcW w:type="dxa" w:w="2800"/>
            <w:shd w:fill="F2F2F2" w:val="clear"/>
            <w:tcMar>
              <w:top w:type="dxa" w:w="80"/>
              <w:left w:type="dxa" w:w="100"/>
              <w:bottom w:type="dxa" w:w="80"/>
              <w:right w:type="dxa" w:w="100"/>
            </w:tcMar>
          </w:tcPr>
          <w:p>
            <w:r>
              <w:rPr>
                <w:sz w:val="20"/>
                <w:szCs w:val="20"/>
              </w:rPr>
              <w:t xml:space="preserve">Backup console</w:t>
            </w:r>
          </w:p>
        </w:tc>
        <w:tc>
          <w:tcPr>
            <w:tcW w:type="dxa" w:w="2600"/>
            <w:shd w:fill="F2F2F2" w:val="clear"/>
            <w:tcMar>
              <w:top w:type="dxa" w:w="80"/>
              <w:left w:type="dxa" w:w="100"/>
              <w:bottom w:type="dxa" w:w="80"/>
              <w:right w:type="dxa" w:w="100"/>
            </w:tcMar>
          </w:tcPr>
          <w:p>
            <w:r>
              <w:rPr>
                <w:sz w:val="20"/>
                <w:szCs w:val="20"/>
              </w:rPr>
              <w:t xml:space="preserve">Successful test backup post-upgrade</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600"/>
            <w:tcMar>
              <w:top w:type="dxa" w:w="80"/>
              <w:left w:type="dxa" w:w="100"/>
              <w:bottom w:type="dxa" w:w="80"/>
              <w:right w:type="dxa" w:w="100"/>
            </w:tcMar>
          </w:tcPr>
          <w:p>
            <w:r>
              <w:rPr>
                <w:sz w:val="20"/>
                <w:szCs w:val="20"/>
              </w:rPr>
              <w:t xml:space="preserve">Event log review</w:t>
            </w:r>
          </w:p>
        </w:tc>
        <w:tc>
          <w:tcPr>
            <w:tcW w:type="dxa" w:w="2800"/>
            <w:tcMar>
              <w:top w:type="dxa" w:w="80"/>
              <w:left w:type="dxa" w:w="100"/>
              <w:bottom w:type="dxa" w:w="80"/>
              <w:right w:type="dxa" w:w="100"/>
            </w:tcMar>
          </w:tcPr>
          <w:p>
            <w:r>
              <w:rPr>
                <w:sz w:val="20"/>
                <w:szCs w:val="20"/>
              </w:rPr>
              <w:t xml:space="preserve">`Get-WinEvent`</w:t>
            </w:r>
          </w:p>
        </w:tc>
        <w:tc>
          <w:tcPr>
            <w:tcW w:type="dxa" w:w="2600"/>
            <w:tcMar>
              <w:top w:type="dxa" w:w="80"/>
              <w:left w:type="dxa" w:w="100"/>
              <w:bottom w:type="dxa" w:w="80"/>
              <w:right w:type="dxa" w:w="100"/>
            </w:tcMar>
          </w:tcPr>
          <w:p>
            <w:r>
              <w:rPr>
                <w:sz w:val="20"/>
                <w:szCs w:val="20"/>
              </w:rPr>
              <w:t xml:space="preserve">No new unresolved critical errors</w:t>
            </w:r>
          </w:p>
        </w:tc>
        <w:tc>
          <w:tcPr>
            <w:tcW w:type="dxa" w:w="1800"/>
            <w:tcMar>
              <w:top w:type="dxa" w:w="80"/>
              <w:left w:type="dxa" w:w="100"/>
              <w:bottom w:type="dxa" w:w="80"/>
              <w:right w:type="dxa" w:w="100"/>
            </w:tcMar>
          </w:tcPr>
          <w:p>
            <w:r>
              <w:rPr>
                <w:sz w:val="20"/>
                <w:szCs w:val="20"/>
              </w:rPr>
              <w:t xml:space="preserve">PASS/FAIL</w:t>
            </w:r>
          </w:p>
        </w:tc>
      </w:tr>
      <w:tr>
        <w:tc>
          <w:tcPr>
            <w:tcW w:type="dxa" w:w="2600"/>
            <w:shd w:fill="F2F2F2" w:val="clear"/>
            <w:tcMar>
              <w:top w:type="dxa" w:w="80"/>
              <w:left w:type="dxa" w:w="100"/>
              <w:bottom w:type="dxa" w:w="80"/>
              <w:right w:type="dxa" w:w="100"/>
            </w:tcMar>
          </w:tcPr>
          <w:p>
            <w:r>
              <w:rPr>
                <w:sz w:val="20"/>
                <w:szCs w:val="20"/>
              </w:rPr>
              <w:t xml:space="preserve">Activation status</w:t>
            </w:r>
          </w:p>
        </w:tc>
        <w:tc>
          <w:tcPr>
            <w:tcW w:type="dxa" w:w="2800"/>
            <w:shd w:fill="F2F2F2" w:val="clear"/>
            <w:tcMar>
              <w:top w:type="dxa" w:w="80"/>
              <w:left w:type="dxa" w:w="100"/>
              <w:bottom w:type="dxa" w:w="80"/>
              <w:right w:type="dxa" w:w="100"/>
            </w:tcMar>
          </w:tcPr>
          <w:p>
            <w:r>
              <w:rPr>
                <w:sz w:val="20"/>
                <w:szCs w:val="20"/>
              </w:rPr>
              <w:t xml:space="preserve">`slmgr /dli`</w:t>
            </w:r>
          </w:p>
        </w:tc>
        <w:tc>
          <w:tcPr>
            <w:tcW w:type="dxa" w:w="2600"/>
            <w:shd w:fill="F2F2F2" w:val="clear"/>
            <w:tcMar>
              <w:top w:type="dxa" w:w="80"/>
              <w:left w:type="dxa" w:w="100"/>
              <w:bottom w:type="dxa" w:w="80"/>
              <w:right w:type="dxa" w:w="100"/>
            </w:tcMar>
          </w:tcPr>
          <w:p>
            <w:r>
              <w:rPr>
                <w:sz w:val="20"/>
                <w:szCs w:val="20"/>
              </w:rPr>
              <w:t xml:space="preserve">Licensed</w:t>
            </w:r>
          </w:p>
        </w:tc>
        <w:tc>
          <w:tcPr>
            <w:tcW w:type="dxa" w:w="1800"/>
            <w:shd w:fill="F2F2F2" w:val="clear"/>
            <w:tcMar>
              <w:top w:type="dxa" w:w="80"/>
              <w:left w:type="dxa" w:w="100"/>
              <w:bottom w:type="dxa" w:w="80"/>
              <w:right w:type="dxa" w:w="100"/>
            </w:tcMar>
          </w:tcPr>
          <w:p>
            <w:r>
              <w:rPr>
                <w:sz w:val="20"/>
                <w:szCs w:val="20"/>
              </w:rPr>
              <w:t xml:space="preserve">PASS/FAIL</w:t>
            </w:r>
          </w:p>
        </w:tc>
      </w:tr>
    </w:tbl>
    <w:p>
      <w:r>
        <w:br w:type="page"/>
      </w:r>
    </w:p>
    <w:p>
      <w:pPr>
        <w:pStyle w:val="Heading1"/>
        <w:spacing w:after="200" w:before="400"/>
      </w:pPr>
      <w:r>
        <w:rPr>
          <w:b/>
          <w:bCs/>
          <w:color w:val="1F3864"/>
        </w:rPr>
        <w:t xml:space="preserve">PART 2 — SQL SERVER 2016 → SQL SERVER 2022</w:t>
      </w:r>
    </w:p>
    <w:p>
      <w:pPr>
        <w:spacing w:after="150"/>
      </w:pPr>
      <w:r>
        <w:t xml:space="preserve">This part covers the in-place upgrade of the SQL Server database engine, including feature-level compatibility assessment, pre-checks, backup, execution, and post-upgrade validation. It assumes the Windows Server upgrade in Part 1 has already completed successfully and been validated, unless the organization has explicitly approved a combined single-window change.</w:t>
      </w:r>
    </w:p>
    <w:tbl>
      <w:tblPr>
        <w:tblW w:type="pct" w:w="100%"/>
        <w:tblBorders>
          <w:top w:val="single" w:color="B7950B" w:sz="6"/>
          <w:left w:val="single" w:color="B7950B" w:sz="6"/>
          <w:bottom w:val="single" w:color="B7950B" w:sz="6"/>
          <w:right w:val="single" w:color="B7950B" w:sz="6"/>
          <w:insideH w:val="none" w:color="FFFFFF" w:sz="0"/>
          <w:insideV w:val="none" w:color="FFFFFF" w:sz="0"/>
        </w:tblBorders>
      </w:tblPr>
      <w:tblGrid>
        <w:gridCol w:w="100"/>
      </w:tblGrid>
      <w:tr>
        <w:tc>
          <w:tcPr>
            <w:shd w:fill="FFF4D6" w:val="clear"/>
            <w:tcMar>
              <w:top w:type="dxa" w:w="100"/>
              <w:left w:type="dxa" w:w="150"/>
              <w:bottom w:type="dxa" w:w="100"/>
              <w:right w:type="dxa" w:w="150"/>
            </w:tcMar>
          </w:tcPr>
          <w:p>
            <w:r>
              <w:rPr>
                <w:b/>
                <w:bCs/>
                <w:color w:val="B7950B"/>
              </w:rPr>
              <w:t xml:space="preserve">IMPORTANT</w:t>
            </w:r>
          </w:p>
          <w:p>
            <w:r>
              <w:t xml:space="preserve">SQL Server 2022 requires Windows Server 2016 or later as a minimum OS baseline, so the OS upgrade is not strictly a prerequisite for the SQL upgrade in isolation — however, performing them together in a single change reduces the number of maintenance windows and reboot cycles. Confirm your organization's change policy on combined changes before scheduling.</w:t>
            </w:r>
          </w:p>
        </w:tc>
      </w:tr>
    </w:tbl>
    <w:p>
      <w:r>
        <w:br w:type="page"/>
      </w:r>
    </w:p>
    <w:p>
      <w:pPr>
        <w:pStyle w:val="Heading1"/>
        <w:spacing w:after="200" w:before="400"/>
      </w:pPr>
      <w:r>
        <w:t xml:space="preserve">SQL Compatibility Assessment</w:t>
      </w:r>
    </w:p>
    <w:p>
      <w:pPr>
        <w:spacing w:after="150"/>
      </w:pPr>
      <w:r>
        <w:t xml:space="preserve">Complete this assessment for every SQL Server instance on the host before scheduling the upgrade. Feature-level findings (deprecated features, discontinued providers) must be remediated or formally risk-accepted before CAB submission.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Assessment Area</w:t>
            </w:r>
          </w:p>
        </w:tc>
        <w:tc>
          <w:tcPr>
            <w:tcW w:type="dxa" w:w="7400"/>
            <w:shd w:fill="1F3864" w:val="clear"/>
            <w:tcMar>
              <w:top w:type="dxa" w:w="80"/>
              <w:left w:type="dxa" w:w="100"/>
              <w:bottom w:type="dxa" w:w="80"/>
              <w:right w:type="dxa" w:w="100"/>
            </w:tcMar>
            <w:vAlign w:val="center"/>
          </w:tcPr>
          <w:p>
            <w:r>
              <w:rPr>
                <w:b/>
                <w:bCs/>
                <w:color w:val="FFFFFF"/>
                <w:sz w:val="20"/>
                <w:szCs w:val="20"/>
              </w:rPr>
              <w:t xml:space="preserve">Guidance</w:t>
            </w:r>
          </w:p>
        </w:tc>
      </w:tr>
      <w:tr>
        <w:tc>
          <w:tcPr>
            <w:tcW w:type="dxa" w:w="2600"/>
            <w:tcMar>
              <w:top w:type="dxa" w:w="80"/>
              <w:left w:type="dxa" w:w="100"/>
              <w:bottom w:type="dxa" w:w="80"/>
              <w:right w:type="dxa" w:w="100"/>
            </w:tcMar>
          </w:tcPr>
          <w:p>
            <w:r>
              <w:rPr>
                <w:sz w:val="20"/>
                <w:szCs w:val="20"/>
              </w:rPr>
              <w:t xml:space="preserve">Edition</w:t>
            </w:r>
          </w:p>
        </w:tc>
        <w:tc>
          <w:tcPr>
            <w:tcW w:type="dxa" w:w="7400"/>
            <w:tcMar>
              <w:top w:type="dxa" w:w="80"/>
              <w:left w:type="dxa" w:w="100"/>
              <w:bottom w:type="dxa" w:w="80"/>
              <w:right w:type="dxa" w:w="100"/>
            </w:tcMar>
          </w:tcPr>
          <w:p>
            <w:r>
              <w:rPr>
                <w:sz w:val="20"/>
                <w:szCs w:val="20"/>
              </w:rPr>
              <w:t xml:space="preserve">Confirm source edition (Standard/Enterprise/Developer) and licensing model (per-core vs. Server+CAL) carries forward correctly to SQL Server 2022.</w:t>
            </w:r>
          </w:p>
        </w:tc>
      </w:tr>
      <w:tr>
        <w:tc>
          <w:tcPr>
            <w:tcW w:type="dxa" w:w="2600"/>
            <w:shd w:fill="F2F2F2" w:val="clear"/>
            <w:tcMar>
              <w:top w:type="dxa" w:w="80"/>
              <w:left w:type="dxa" w:w="100"/>
              <w:bottom w:type="dxa" w:w="80"/>
              <w:right w:type="dxa" w:w="100"/>
            </w:tcMar>
          </w:tcPr>
          <w:p>
            <w:r>
              <w:rPr>
                <w:sz w:val="20"/>
                <w:szCs w:val="20"/>
              </w:rPr>
              <w:t xml:space="preserve">Instance Count</w:t>
            </w:r>
          </w:p>
        </w:tc>
        <w:tc>
          <w:tcPr>
            <w:tcW w:type="dxa" w:w="7400"/>
            <w:shd w:fill="F2F2F2" w:val="clear"/>
            <w:tcMar>
              <w:top w:type="dxa" w:w="80"/>
              <w:left w:type="dxa" w:w="100"/>
              <w:bottom w:type="dxa" w:w="80"/>
              <w:right w:type="dxa" w:w="100"/>
            </w:tcMar>
          </w:tcPr>
          <w:p>
            <w:r>
              <w:rPr>
                <w:sz w:val="20"/>
                <w:szCs w:val="20"/>
              </w:rPr>
              <w:t xml:space="preserve">Inventory all default and named instances on the host; each is upgraded independently.</w:t>
            </w:r>
          </w:p>
        </w:tc>
      </w:tr>
      <w:tr>
        <w:tc>
          <w:tcPr>
            <w:tcW w:type="dxa" w:w="2600"/>
            <w:tcMar>
              <w:top w:type="dxa" w:w="80"/>
              <w:left w:type="dxa" w:w="100"/>
              <w:bottom w:type="dxa" w:w="80"/>
              <w:right w:type="dxa" w:w="100"/>
            </w:tcMar>
          </w:tcPr>
          <w:p>
            <w:r>
              <w:rPr>
                <w:sz w:val="20"/>
                <w:szCs w:val="20"/>
              </w:rPr>
              <w:t xml:space="preserve">Features Installed</w:t>
            </w:r>
          </w:p>
        </w:tc>
        <w:tc>
          <w:tcPr>
            <w:tcW w:type="dxa" w:w="7400"/>
            <w:tcMar>
              <w:top w:type="dxa" w:w="80"/>
              <w:left w:type="dxa" w:w="100"/>
              <w:bottom w:type="dxa" w:w="80"/>
              <w:right w:type="dxa" w:w="100"/>
            </w:tcMar>
          </w:tcPr>
          <w:p>
            <w:r>
              <w:rPr>
                <w:sz w:val="20"/>
                <w:szCs w:val="20"/>
              </w:rPr>
              <w:t xml:space="preserve">Full feature inventory via SQL Server Installation Center or `SELECT * FROM sys.dm_server_services` and Programs &amp; Features.</w:t>
            </w:r>
          </w:p>
        </w:tc>
      </w:tr>
      <w:tr>
        <w:tc>
          <w:tcPr>
            <w:tcW w:type="dxa" w:w="2600"/>
            <w:shd w:fill="F2F2F2" w:val="clear"/>
            <w:tcMar>
              <w:top w:type="dxa" w:w="80"/>
              <w:left w:type="dxa" w:w="100"/>
              <w:bottom w:type="dxa" w:w="80"/>
              <w:right w:type="dxa" w:w="100"/>
            </w:tcMar>
          </w:tcPr>
          <w:p>
            <w:r>
              <w:rPr>
                <w:sz w:val="20"/>
                <w:szCs w:val="20"/>
              </w:rPr>
              <w:t xml:space="preserve">Replication</w:t>
            </w:r>
          </w:p>
        </w:tc>
        <w:tc>
          <w:tcPr>
            <w:tcW w:type="dxa" w:w="7400"/>
            <w:shd w:fill="F2F2F2" w:val="clear"/>
            <w:tcMar>
              <w:top w:type="dxa" w:w="80"/>
              <w:left w:type="dxa" w:w="100"/>
              <w:bottom w:type="dxa" w:w="80"/>
              <w:right w:type="dxa" w:w="100"/>
            </w:tcMar>
          </w:tcPr>
          <w:p>
            <w:r>
              <w:rPr>
                <w:sz w:val="20"/>
                <w:szCs w:val="20"/>
              </w:rPr>
              <w:t xml:space="preserve">Document publisher/distributor/subscriber roles; replication topology must be upgraded in the correct order (distributor first).</w:t>
            </w:r>
          </w:p>
        </w:tc>
      </w:tr>
      <w:tr>
        <w:tc>
          <w:tcPr>
            <w:tcW w:type="dxa" w:w="2600"/>
            <w:tcMar>
              <w:top w:type="dxa" w:w="80"/>
              <w:left w:type="dxa" w:w="100"/>
              <w:bottom w:type="dxa" w:w="80"/>
              <w:right w:type="dxa" w:w="100"/>
            </w:tcMar>
          </w:tcPr>
          <w:p>
            <w:r>
              <w:rPr>
                <w:sz w:val="20"/>
                <w:szCs w:val="20"/>
              </w:rPr>
              <w:t xml:space="preserve">SSIS</w:t>
            </w:r>
          </w:p>
        </w:tc>
        <w:tc>
          <w:tcPr>
            <w:tcW w:type="dxa" w:w="7400"/>
            <w:tcMar>
              <w:top w:type="dxa" w:w="80"/>
              <w:left w:type="dxa" w:w="100"/>
              <w:bottom w:type="dxa" w:w="80"/>
              <w:right w:type="dxa" w:w="100"/>
            </w:tcMar>
          </w:tcPr>
          <w:p>
            <w:r>
              <w:rPr>
                <w:sz w:val="20"/>
                <w:szCs w:val="20"/>
              </w:rPr>
              <w:t xml:space="preserve">Inventory deployed packages and the SSIS Catalog (SSISDB); confirm package compatibility level and any deprecated components (e.g., Data Mining tasks).</w:t>
            </w:r>
          </w:p>
        </w:tc>
      </w:tr>
      <w:tr>
        <w:tc>
          <w:tcPr>
            <w:tcW w:type="dxa" w:w="2600"/>
            <w:shd w:fill="F2F2F2" w:val="clear"/>
            <w:tcMar>
              <w:top w:type="dxa" w:w="80"/>
              <w:left w:type="dxa" w:w="100"/>
              <w:bottom w:type="dxa" w:w="80"/>
              <w:right w:type="dxa" w:w="100"/>
            </w:tcMar>
          </w:tcPr>
          <w:p>
            <w:r>
              <w:rPr>
                <w:sz w:val="20"/>
                <w:szCs w:val="20"/>
              </w:rPr>
              <w:t xml:space="preserve">SSRS</w:t>
            </w:r>
          </w:p>
        </w:tc>
        <w:tc>
          <w:tcPr>
            <w:tcW w:type="dxa" w:w="7400"/>
            <w:shd w:fill="F2F2F2" w:val="clear"/>
            <w:tcMar>
              <w:top w:type="dxa" w:w="80"/>
              <w:left w:type="dxa" w:w="100"/>
              <w:bottom w:type="dxa" w:w="80"/>
              <w:right w:type="dxa" w:w="100"/>
            </w:tcMar>
          </w:tcPr>
          <w:p>
            <w:r>
              <w:rPr>
                <w:sz w:val="20"/>
                <w:szCs w:val="20"/>
              </w:rPr>
              <w:t xml:space="preserve">Note SSRS is a separate installable in modern SQL Server (Power BI Report Server / SSRS is no longer bundled with the engine setup from 2017+); plan its upgrade as a related but distinct change.</w:t>
            </w:r>
          </w:p>
        </w:tc>
      </w:tr>
      <w:tr>
        <w:tc>
          <w:tcPr>
            <w:tcW w:type="dxa" w:w="2600"/>
            <w:tcMar>
              <w:top w:type="dxa" w:w="80"/>
              <w:left w:type="dxa" w:w="100"/>
              <w:bottom w:type="dxa" w:w="80"/>
              <w:right w:type="dxa" w:w="100"/>
            </w:tcMar>
          </w:tcPr>
          <w:p>
            <w:r>
              <w:rPr>
                <w:sz w:val="20"/>
                <w:szCs w:val="20"/>
              </w:rPr>
              <w:t xml:space="preserve">SSAS</w:t>
            </w:r>
          </w:p>
        </w:tc>
        <w:tc>
          <w:tcPr>
            <w:tcW w:type="dxa" w:w="7400"/>
            <w:tcMar>
              <w:top w:type="dxa" w:w="80"/>
              <w:left w:type="dxa" w:w="100"/>
              <w:bottom w:type="dxa" w:w="80"/>
              <w:right w:type="dxa" w:w="100"/>
            </w:tcMar>
          </w:tcPr>
          <w:p>
            <w:r>
              <w:rPr>
                <w:sz w:val="20"/>
                <w:szCs w:val="20"/>
              </w:rPr>
              <w:t xml:space="preserve">Document Multidimensional vs. Tabular mode; confirm compatibility level support in SQL Server 2022 Analysis Services.</w:t>
            </w:r>
          </w:p>
        </w:tc>
      </w:tr>
      <w:tr>
        <w:tc>
          <w:tcPr>
            <w:tcW w:type="dxa" w:w="2600"/>
            <w:shd w:fill="F2F2F2" w:val="clear"/>
            <w:tcMar>
              <w:top w:type="dxa" w:w="80"/>
              <w:left w:type="dxa" w:w="100"/>
              <w:bottom w:type="dxa" w:w="80"/>
              <w:right w:type="dxa" w:w="100"/>
            </w:tcMar>
          </w:tcPr>
          <w:p>
            <w:r>
              <w:rPr>
                <w:sz w:val="20"/>
                <w:szCs w:val="20"/>
              </w:rPr>
              <w:t xml:space="preserve">AlwaysOn Availability Groups</w:t>
            </w:r>
          </w:p>
        </w:tc>
        <w:tc>
          <w:tcPr>
            <w:tcW w:type="dxa" w:w="7400"/>
            <w:shd w:fill="F2F2F2" w:val="clear"/>
            <w:tcMar>
              <w:top w:type="dxa" w:w="80"/>
              <w:left w:type="dxa" w:w="100"/>
              <w:bottom w:type="dxa" w:w="80"/>
              <w:right w:type="dxa" w:w="100"/>
            </w:tcMar>
          </w:tcPr>
          <w:p>
            <w:r>
              <w:rPr>
                <w:sz w:val="20"/>
                <w:szCs w:val="20"/>
              </w:rPr>
              <w:t xml:space="preserve">Document AG topology, replica roles, and synchronization mode; upgrade is performed replica-by-replica starting with secondaries.</w:t>
            </w:r>
          </w:p>
        </w:tc>
      </w:tr>
      <w:tr>
        <w:tc>
          <w:tcPr>
            <w:tcW w:type="dxa" w:w="2600"/>
            <w:tcMar>
              <w:top w:type="dxa" w:w="80"/>
              <w:left w:type="dxa" w:w="100"/>
              <w:bottom w:type="dxa" w:w="80"/>
              <w:right w:type="dxa" w:w="100"/>
            </w:tcMar>
          </w:tcPr>
          <w:p>
            <w:r>
              <w:rPr>
                <w:sz w:val="20"/>
                <w:szCs w:val="20"/>
              </w:rPr>
              <w:t xml:space="preserve">Log Shipping</w:t>
            </w:r>
          </w:p>
        </w:tc>
        <w:tc>
          <w:tcPr>
            <w:tcW w:type="dxa" w:w="7400"/>
            <w:tcMar>
              <w:top w:type="dxa" w:w="80"/>
              <w:left w:type="dxa" w:w="100"/>
              <w:bottom w:type="dxa" w:w="80"/>
              <w:right w:type="dxa" w:w="100"/>
            </w:tcMar>
          </w:tcPr>
          <w:p>
            <w:r>
              <w:rPr>
                <w:sz w:val="20"/>
                <w:szCs w:val="20"/>
              </w:rPr>
              <w:t xml:space="preserve">Document primary/secondary configuration; log shipping must be temporarily suspended during the upgrade of either role.</w:t>
            </w:r>
          </w:p>
        </w:tc>
      </w:tr>
      <w:tr>
        <w:tc>
          <w:tcPr>
            <w:tcW w:type="dxa" w:w="2600"/>
            <w:shd w:fill="F2F2F2" w:val="clear"/>
            <w:tcMar>
              <w:top w:type="dxa" w:w="80"/>
              <w:left w:type="dxa" w:w="100"/>
              <w:bottom w:type="dxa" w:w="80"/>
              <w:right w:type="dxa" w:w="100"/>
            </w:tcMar>
          </w:tcPr>
          <w:p>
            <w:r>
              <w:rPr>
                <w:sz w:val="20"/>
                <w:szCs w:val="20"/>
              </w:rPr>
              <w:t xml:space="preserve">Database Mirroring</w:t>
            </w:r>
          </w:p>
        </w:tc>
        <w:tc>
          <w:tcPr>
            <w:tcW w:type="dxa" w:w="7400"/>
            <w:shd w:fill="F2F2F2" w:val="clear"/>
            <w:tcMar>
              <w:top w:type="dxa" w:w="80"/>
              <w:left w:type="dxa" w:w="100"/>
              <w:bottom w:type="dxa" w:w="80"/>
              <w:right w:type="dxa" w:w="100"/>
            </w:tcMar>
          </w:tcPr>
          <w:p>
            <w:r>
              <w:rPr>
                <w:sz w:val="20"/>
                <w:szCs w:val="20"/>
              </w:rPr>
              <w:t xml:space="preserve">Note mirroring is deprecated since SQL Server 2012 (removal pending) — flag for migration to AlwaysOn AG as a follow-on recommendation, not part of this upgrade.</w:t>
            </w:r>
          </w:p>
        </w:tc>
      </w:tr>
      <w:tr>
        <w:tc>
          <w:tcPr>
            <w:tcW w:type="dxa" w:w="2600"/>
            <w:tcMar>
              <w:top w:type="dxa" w:w="80"/>
              <w:left w:type="dxa" w:w="100"/>
              <w:bottom w:type="dxa" w:w="80"/>
              <w:right w:type="dxa" w:w="100"/>
            </w:tcMar>
          </w:tcPr>
          <w:p>
            <w:r>
              <w:rPr>
                <w:sz w:val="20"/>
                <w:szCs w:val="20"/>
              </w:rPr>
              <w:t xml:space="preserve">Linked Servers</w:t>
            </w:r>
          </w:p>
        </w:tc>
        <w:tc>
          <w:tcPr>
            <w:tcW w:type="dxa" w:w="7400"/>
            <w:tcMar>
              <w:top w:type="dxa" w:w="80"/>
              <w:left w:type="dxa" w:w="100"/>
              <w:bottom w:type="dxa" w:w="80"/>
              <w:right w:type="dxa" w:w="100"/>
            </w:tcMar>
          </w:tcPr>
          <w:p>
            <w:r>
              <w:rPr>
                <w:sz w:val="20"/>
                <w:szCs w:val="20"/>
              </w:rPr>
              <w:t xml:space="preserve">Inventory all linked servers and confirm provider compatibility (e.g., legacy OLE DB providers may be deprecated).</w:t>
            </w:r>
          </w:p>
        </w:tc>
      </w:tr>
      <w:tr>
        <w:tc>
          <w:tcPr>
            <w:tcW w:type="dxa" w:w="2600"/>
            <w:shd w:fill="F2F2F2" w:val="clear"/>
            <w:tcMar>
              <w:top w:type="dxa" w:w="80"/>
              <w:left w:type="dxa" w:w="100"/>
              <w:bottom w:type="dxa" w:w="80"/>
              <w:right w:type="dxa" w:w="100"/>
            </w:tcMar>
          </w:tcPr>
          <w:p>
            <w:r>
              <w:rPr>
                <w:sz w:val="20"/>
                <w:szCs w:val="20"/>
              </w:rPr>
              <w:t xml:space="preserve">CLR Assemblies</w:t>
            </w:r>
          </w:p>
        </w:tc>
        <w:tc>
          <w:tcPr>
            <w:tcW w:type="dxa" w:w="7400"/>
            <w:shd w:fill="F2F2F2" w:val="clear"/>
            <w:tcMar>
              <w:top w:type="dxa" w:w="80"/>
              <w:left w:type="dxa" w:w="100"/>
              <w:bottom w:type="dxa" w:w="80"/>
              <w:right w:type="dxa" w:w="100"/>
            </w:tcMar>
          </w:tcPr>
          <w:p>
            <w:r>
              <w:rPr>
                <w:sz w:val="20"/>
                <w:szCs w:val="20"/>
              </w:rPr>
              <w:t xml:space="preserve">Inventory enabled CLR assemblies (`sys.assemblies`); confirm `clr strict security` behavior changes are accounted for.</w:t>
            </w:r>
          </w:p>
        </w:tc>
      </w:tr>
      <w:tr>
        <w:tc>
          <w:tcPr>
            <w:tcW w:type="dxa" w:w="2600"/>
            <w:tcMar>
              <w:top w:type="dxa" w:w="80"/>
              <w:left w:type="dxa" w:w="100"/>
              <w:bottom w:type="dxa" w:w="80"/>
              <w:right w:type="dxa" w:w="100"/>
            </w:tcMar>
          </w:tcPr>
          <w:p>
            <w:r>
              <w:rPr>
                <w:sz w:val="20"/>
                <w:szCs w:val="20"/>
              </w:rPr>
              <w:t xml:space="preserve">Service Broker</w:t>
            </w:r>
          </w:p>
        </w:tc>
        <w:tc>
          <w:tcPr>
            <w:tcW w:type="dxa" w:w="7400"/>
            <w:tcMar>
              <w:top w:type="dxa" w:w="80"/>
              <w:left w:type="dxa" w:w="100"/>
              <w:bottom w:type="dxa" w:w="80"/>
              <w:right w:type="dxa" w:w="100"/>
            </w:tcMar>
          </w:tcPr>
          <w:p>
            <w:r>
              <w:rPr>
                <w:sz w:val="20"/>
                <w:szCs w:val="20"/>
              </w:rPr>
              <w:t xml:space="preserve">Document enabled Service Broker services/queues; confirm no orphaned conversations before upgrade.</w:t>
            </w:r>
          </w:p>
        </w:tc>
      </w:tr>
      <w:tr>
        <w:tc>
          <w:tcPr>
            <w:tcW w:type="dxa" w:w="2600"/>
            <w:shd w:fill="F2F2F2" w:val="clear"/>
            <w:tcMar>
              <w:top w:type="dxa" w:w="80"/>
              <w:left w:type="dxa" w:w="100"/>
              <w:bottom w:type="dxa" w:w="80"/>
              <w:right w:type="dxa" w:w="100"/>
            </w:tcMar>
          </w:tcPr>
          <w:p>
            <w:r>
              <w:rPr>
                <w:sz w:val="20"/>
                <w:szCs w:val="20"/>
              </w:rPr>
              <w:t xml:space="preserve">Database Mail</w:t>
            </w:r>
          </w:p>
        </w:tc>
        <w:tc>
          <w:tcPr>
            <w:tcW w:type="dxa" w:w="7400"/>
            <w:shd w:fill="F2F2F2" w:val="clear"/>
            <w:tcMar>
              <w:top w:type="dxa" w:w="80"/>
              <w:left w:type="dxa" w:w="100"/>
              <w:bottom w:type="dxa" w:w="80"/>
              <w:right w:type="dxa" w:w="100"/>
            </w:tcMar>
          </w:tcPr>
          <w:p>
            <w:r>
              <w:rPr>
                <w:sz w:val="20"/>
                <w:szCs w:val="20"/>
              </w:rPr>
              <w:t xml:space="preserve">Document mail profiles and SMTP configuration; validate post-upgrade.</w:t>
            </w:r>
          </w:p>
        </w:tc>
      </w:tr>
      <w:tr>
        <w:tc>
          <w:tcPr>
            <w:tcW w:type="dxa" w:w="2600"/>
            <w:tcMar>
              <w:top w:type="dxa" w:w="80"/>
              <w:left w:type="dxa" w:w="100"/>
              <w:bottom w:type="dxa" w:w="80"/>
              <w:right w:type="dxa" w:w="100"/>
            </w:tcMar>
          </w:tcPr>
          <w:p>
            <w:r>
              <w:rPr>
                <w:sz w:val="20"/>
                <w:szCs w:val="20"/>
              </w:rPr>
              <w:t xml:space="preserve">Maintenance Plans</w:t>
            </w:r>
          </w:p>
        </w:tc>
        <w:tc>
          <w:tcPr>
            <w:tcW w:type="dxa" w:w="7400"/>
            <w:tcMar>
              <w:top w:type="dxa" w:w="80"/>
              <w:left w:type="dxa" w:w="100"/>
              <w:bottom w:type="dxa" w:w="80"/>
              <w:right w:type="dxa" w:w="100"/>
            </w:tcMar>
          </w:tcPr>
          <w:p>
            <w:r>
              <w:rPr>
                <w:sz w:val="20"/>
                <w:szCs w:val="20"/>
              </w:rPr>
              <w:t xml:space="preserve">Inventory SSIS-based maintenance plans; confirm they still function on the new engine version.</w:t>
            </w:r>
          </w:p>
        </w:tc>
      </w:tr>
      <w:tr>
        <w:tc>
          <w:tcPr>
            <w:tcW w:type="dxa" w:w="2600"/>
            <w:shd w:fill="F2F2F2" w:val="clear"/>
            <w:tcMar>
              <w:top w:type="dxa" w:w="80"/>
              <w:left w:type="dxa" w:w="100"/>
              <w:bottom w:type="dxa" w:w="80"/>
              <w:right w:type="dxa" w:w="100"/>
            </w:tcMar>
          </w:tcPr>
          <w:p>
            <w:r>
              <w:rPr>
                <w:sz w:val="20"/>
                <w:szCs w:val="20"/>
              </w:rPr>
              <w:t xml:space="preserve">SQL Agent Jobs</w:t>
            </w:r>
          </w:p>
        </w:tc>
        <w:tc>
          <w:tcPr>
            <w:tcW w:type="dxa" w:w="7400"/>
            <w:shd w:fill="F2F2F2" w:val="clear"/>
            <w:tcMar>
              <w:top w:type="dxa" w:w="80"/>
              <w:left w:type="dxa" w:w="100"/>
              <w:bottom w:type="dxa" w:w="80"/>
              <w:right w:type="dxa" w:w="100"/>
            </w:tcMar>
          </w:tcPr>
          <w:p>
            <w:r>
              <w:rPr>
                <w:sz w:val="20"/>
                <w:szCs w:val="20"/>
              </w:rPr>
              <w:t xml:space="preserve">Full job inventory including schedules, job steps, and job owners.</w:t>
            </w:r>
          </w:p>
        </w:tc>
      </w:tr>
      <w:tr>
        <w:tc>
          <w:tcPr>
            <w:tcW w:type="dxa" w:w="2600"/>
            <w:tcMar>
              <w:top w:type="dxa" w:w="80"/>
              <w:left w:type="dxa" w:w="100"/>
              <w:bottom w:type="dxa" w:w="80"/>
              <w:right w:type="dxa" w:w="100"/>
            </w:tcMar>
          </w:tcPr>
          <w:p>
            <w:r>
              <w:rPr>
                <w:sz w:val="20"/>
                <w:szCs w:val="20"/>
              </w:rPr>
              <w:t xml:space="preserve">Credentials &amp; Proxies</w:t>
            </w:r>
          </w:p>
        </w:tc>
        <w:tc>
          <w:tcPr>
            <w:tcW w:type="dxa" w:w="7400"/>
            <w:tcMar>
              <w:top w:type="dxa" w:w="80"/>
              <w:left w:type="dxa" w:w="100"/>
              <w:bottom w:type="dxa" w:w="80"/>
              <w:right w:type="dxa" w:w="100"/>
            </w:tcMar>
          </w:tcPr>
          <w:p>
            <w:r>
              <w:rPr>
                <w:sz w:val="20"/>
                <w:szCs w:val="20"/>
              </w:rPr>
              <w:t xml:space="preserve">Inventory SQL Agent proxies and credentials used for job steps.</w:t>
            </w:r>
          </w:p>
        </w:tc>
      </w:tr>
      <w:tr>
        <w:tc>
          <w:tcPr>
            <w:tcW w:type="dxa" w:w="2600"/>
            <w:shd w:fill="F2F2F2" w:val="clear"/>
            <w:tcMar>
              <w:top w:type="dxa" w:w="80"/>
              <w:left w:type="dxa" w:w="100"/>
              <w:bottom w:type="dxa" w:w="80"/>
              <w:right w:type="dxa" w:w="100"/>
            </w:tcMar>
          </w:tcPr>
          <w:p>
            <w:r>
              <w:rPr>
                <w:sz w:val="20"/>
                <w:szCs w:val="20"/>
              </w:rPr>
              <w:t xml:space="preserve">Certificates &amp; Keys</w:t>
            </w:r>
          </w:p>
        </w:tc>
        <w:tc>
          <w:tcPr>
            <w:tcW w:type="dxa" w:w="7400"/>
            <w:shd w:fill="F2F2F2" w:val="clear"/>
            <w:tcMar>
              <w:top w:type="dxa" w:w="80"/>
              <w:left w:type="dxa" w:w="100"/>
              <w:bottom w:type="dxa" w:w="80"/>
              <w:right w:type="dxa" w:w="100"/>
            </w:tcMar>
          </w:tcPr>
          <w:p>
            <w:r>
              <w:rPr>
                <w:sz w:val="20"/>
                <w:szCs w:val="20"/>
              </w:rPr>
              <w:t xml:space="preserve">Inventory database and server-level certificates, symmetric/asymmetric keys, and the Database Master Key/Service Master Key backup status.</w:t>
            </w:r>
          </w:p>
        </w:tc>
      </w:tr>
      <w:tr>
        <w:tc>
          <w:tcPr>
            <w:tcW w:type="dxa" w:w="2600"/>
            <w:tcMar>
              <w:top w:type="dxa" w:w="80"/>
              <w:left w:type="dxa" w:w="100"/>
              <w:bottom w:type="dxa" w:w="80"/>
              <w:right w:type="dxa" w:w="100"/>
            </w:tcMar>
          </w:tcPr>
          <w:p>
            <w:r>
              <w:rPr>
                <w:sz w:val="20"/>
                <w:szCs w:val="20"/>
              </w:rPr>
              <w:t xml:space="preserve">Encryption (TDE)</w:t>
            </w:r>
          </w:p>
        </w:tc>
        <w:tc>
          <w:tcPr>
            <w:tcW w:type="dxa" w:w="7400"/>
            <w:tcMar>
              <w:top w:type="dxa" w:w="80"/>
              <w:left w:type="dxa" w:w="100"/>
              <w:bottom w:type="dxa" w:w="80"/>
              <w:right w:type="dxa" w:w="100"/>
            </w:tcMar>
          </w:tcPr>
          <w:p>
            <w:r>
              <w:rPr>
                <w:sz w:val="20"/>
                <w:szCs w:val="20"/>
              </w:rPr>
              <w:t xml:space="preserve">Confirm TDE certificate backups exist and are current before upgrade — critical for restorability.</w:t>
            </w:r>
          </w:p>
        </w:tc>
      </w:tr>
      <w:tr>
        <w:tc>
          <w:tcPr>
            <w:tcW w:type="dxa" w:w="2600"/>
            <w:shd w:fill="F2F2F2" w:val="clear"/>
            <w:tcMar>
              <w:top w:type="dxa" w:w="80"/>
              <w:left w:type="dxa" w:w="100"/>
              <w:bottom w:type="dxa" w:w="80"/>
              <w:right w:type="dxa" w:w="100"/>
            </w:tcMar>
          </w:tcPr>
          <w:p>
            <w:r>
              <w:rPr>
                <w:sz w:val="20"/>
                <w:szCs w:val="20"/>
              </w:rPr>
              <w:t xml:space="preserve">Backup Compression</w:t>
            </w:r>
          </w:p>
        </w:tc>
        <w:tc>
          <w:tcPr>
            <w:tcW w:type="dxa" w:w="7400"/>
            <w:shd w:fill="F2F2F2" w:val="clear"/>
            <w:tcMar>
              <w:top w:type="dxa" w:w="80"/>
              <w:left w:type="dxa" w:w="100"/>
              <w:bottom w:type="dxa" w:w="80"/>
              <w:right w:type="dxa" w:w="100"/>
            </w:tcMar>
          </w:tcPr>
          <w:p>
            <w:r>
              <w:rPr>
                <w:sz w:val="20"/>
                <w:szCs w:val="20"/>
              </w:rPr>
              <w:t xml:space="preserve">Document default backup compression setting.</w:t>
            </w:r>
          </w:p>
        </w:tc>
      </w:tr>
      <w:tr>
        <w:tc>
          <w:tcPr>
            <w:tcW w:type="dxa" w:w="2600"/>
            <w:tcMar>
              <w:top w:type="dxa" w:w="80"/>
              <w:left w:type="dxa" w:w="100"/>
              <w:bottom w:type="dxa" w:w="80"/>
              <w:right w:type="dxa" w:w="100"/>
            </w:tcMar>
          </w:tcPr>
          <w:p>
            <w:r>
              <w:rPr>
                <w:sz w:val="20"/>
                <w:szCs w:val="20"/>
              </w:rPr>
              <w:t xml:space="preserve">MAXDOP / Cost Threshold for Parallelism</w:t>
            </w:r>
          </w:p>
        </w:tc>
        <w:tc>
          <w:tcPr>
            <w:tcW w:type="dxa" w:w="7400"/>
            <w:tcMar>
              <w:top w:type="dxa" w:w="80"/>
              <w:left w:type="dxa" w:w="100"/>
              <w:bottom w:type="dxa" w:w="80"/>
              <w:right w:type="dxa" w:w="100"/>
            </w:tcMar>
          </w:tcPr>
          <w:p>
            <w:r>
              <w:rPr>
                <w:sz w:val="20"/>
                <w:szCs w:val="20"/>
              </w:rPr>
              <w:t xml:space="preserve">Document current server-level settings; SQL Server 2022 setup will recommend MAXDOP based on core count during install.</w:t>
            </w:r>
          </w:p>
        </w:tc>
      </w:tr>
      <w:tr>
        <w:tc>
          <w:tcPr>
            <w:tcW w:type="dxa" w:w="2600"/>
            <w:shd w:fill="F2F2F2" w:val="clear"/>
            <w:tcMar>
              <w:top w:type="dxa" w:w="80"/>
              <w:left w:type="dxa" w:w="100"/>
              <w:bottom w:type="dxa" w:w="80"/>
              <w:right w:type="dxa" w:w="100"/>
            </w:tcMar>
          </w:tcPr>
          <w:p>
            <w:r>
              <w:rPr>
                <w:sz w:val="20"/>
                <w:szCs w:val="20"/>
              </w:rPr>
              <w:t xml:space="preserve">TempDB Configuration</w:t>
            </w:r>
          </w:p>
        </w:tc>
        <w:tc>
          <w:tcPr>
            <w:tcW w:type="dxa" w:w="7400"/>
            <w:shd w:fill="F2F2F2" w:val="clear"/>
            <w:tcMar>
              <w:top w:type="dxa" w:w="80"/>
              <w:left w:type="dxa" w:w="100"/>
              <w:bottom w:type="dxa" w:w="80"/>
              <w:right w:type="dxa" w:w="100"/>
            </w:tcMar>
          </w:tcPr>
          <w:p>
            <w:r>
              <w:rPr>
                <w:sz w:val="20"/>
                <w:szCs w:val="20"/>
              </w:rPr>
              <w:t xml:space="preserve">Document number of tempdb data files, sizing, and autogrowth settings.</w:t>
            </w:r>
          </w:p>
        </w:tc>
      </w:tr>
      <w:tr>
        <w:tc>
          <w:tcPr>
            <w:tcW w:type="dxa" w:w="2600"/>
            <w:tcMar>
              <w:top w:type="dxa" w:w="80"/>
              <w:left w:type="dxa" w:w="100"/>
              <w:bottom w:type="dxa" w:w="80"/>
              <w:right w:type="dxa" w:w="100"/>
            </w:tcMar>
          </w:tcPr>
          <w:p>
            <w:r>
              <w:rPr>
                <w:sz w:val="20"/>
                <w:szCs w:val="20"/>
              </w:rPr>
              <w:t xml:space="preserve">Collation</w:t>
            </w:r>
          </w:p>
        </w:tc>
        <w:tc>
          <w:tcPr>
            <w:tcW w:type="dxa" w:w="7400"/>
            <w:tcMar>
              <w:top w:type="dxa" w:w="80"/>
              <w:left w:type="dxa" w:w="100"/>
              <w:bottom w:type="dxa" w:w="80"/>
              <w:right w:type="dxa" w:w="100"/>
            </w:tcMar>
          </w:tcPr>
          <w:p>
            <w:r>
              <w:rPr>
                <w:sz w:val="20"/>
                <w:szCs w:val="20"/>
              </w:rPr>
              <w:t xml:space="preserve">Confirm server collation; collation cannot be changed by an in-place upgrade and must match for restore compatibility.</w:t>
            </w:r>
          </w:p>
        </w:tc>
      </w:tr>
      <w:tr>
        <w:tc>
          <w:tcPr>
            <w:tcW w:type="dxa" w:w="2600"/>
            <w:shd w:fill="F2F2F2" w:val="clear"/>
            <w:tcMar>
              <w:top w:type="dxa" w:w="80"/>
              <w:left w:type="dxa" w:w="100"/>
              <w:bottom w:type="dxa" w:w="80"/>
              <w:right w:type="dxa" w:w="100"/>
            </w:tcMar>
          </w:tcPr>
          <w:p>
            <w:r>
              <w:rPr>
                <w:sz w:val="20"/>
                <w:szCs w:val="20"/>
              </w:rPr>
              <w:t xml:space="preserve">Compatibility Level</w:t>
            </w:r>
          </w:p>
        </w:tc>
        <w:tc>
          <w:tcPr>
            <w:tcW w:type="dxa" w:w="7400"/>
            <w:shd w:fill="F2F2F2" w:val="clear"/>
            <w:tcMar>
              <w:top w:type="dxa" w:w="80"/>
              <w:left w:type="dxa" w:w="100"/>
              <w:bottom w:type="dxa" w:w="80"/>
              <w:right w:type="dxa" w:w="100"/>
            </w:tcMar>
          </w:tcPr>
          <w:p>
            <w:r>
              <w:rPr>
                <w:sz w:val="20"/>
                <w:szCs w:val="20"/>
              </w:rPr>
              <w:t xml:space="preserve">Document current database compatibility level(s) per database — this determines post-upgrade behavior (Section: SQL Post Upgrade).</w:t>
            </w:r>
          </w:p>
        </w:tc>
      </w:tr>
      <w:tr>
        <w:tc>
          <w:tcPr>
            <w:tcW w:type="dxa" w:w="2600"/>
            <w:tcMar>
              <w:top w:type="dxa" w:w="80"/>
              <w:left w:type="dxa" w:w="100"/>
              <w:bottom w:type="dxa" w:w="80"/>
              <w:right w:type="dxa" w:w="100"/>
            </w:tcMar>
          </w:tcPr>
          <w:p>
            <w:r>
              <w:rPr>
                <w:sz w:val="20"/>
                <w:szCs w:val="20"/>
              </w:rPr>
              <w:t xml:space="preserve">Database Size / Growth</w:t>
            </w:r>
          </w:p>
        </w:tc>
        <w:tc>
          <w:tcPr>
            <w:tcW w:type="dxa" w:w="7400"/>
            <w:tcMar>
              <w:top w:type="dxa" w:w="80"/>
              <w:left w:type="dxa" w:w="100"/>
              <w:bottom w:type="dxa" w:w="80"/>
              <w:right w:type="dxa" w:w="100"/>
            </w:tcMar>
          </w:tcPr>
          <w:p>
            <w:r>
              <w:rPr>
                <w:sz w:val="20"/>
                <w:szCs w:val="20"/>
              </w:rPr>
              <w:t xml:space="preserve">Document current size and autogrowth settings for capacity planning of the upgrade duration.</w:t>
            </w:r>
          </w:p>
        </w:tc>
      </w:tr>
      <w:tr>
        <w:tc>
          <w:tcPr>
            <w:tcW w:type="dxa" w:w="2600"/>
            <w:shd w:fill="F2F2F2" w:val="clear"/>
            <w:tcMar>
              <w:top w:type="dxa" w:w="80"/>
              <w:left w:type="dxa" w:w="100"/>
              <w:bottom w:type="dxa" w:w="80"/>
              <w:right w:type="dxa" w:w="100"/>
            </w:tcMar>
          </w:tcPr>
          <w:p>
            <w:r>
              <w:rPr>
                <w:sz w:val="20"/>
                <w:szCs w:val="20"/>
              </w:rPr>
              <w:t xml:space="preserve">I/O, Memory, CPU Baseline</w:t>
            </w:r>
          </w:p>
        </w:tc>
        <w:tc>
          <w:tcPr>
            <w:tcW w:type="dxa" w:w="7400"/>
            <w:shd w:fill="F2F2F2" w:val="clear"/>
            <w:tcMar>
              <w:top w:type="dxa" w:w="80"/>
              <w:left w:type="dxa" w:w="100"/>
              <w:bottom w:type="dxa" w:w="80"/>
              <w:right w:type="dxa" w:w="100"/>
            </w:tcMar>
          </w:tcPr>
          <w:p>
            <w:r>
              <w:rPr>
                <w:sz w:val="20"/>
                <w:szCs w:val="20"/>
              </w:rPr>
              <w:t xml:space="preserve">Capture DMV-based performance baseline for post-upgrade comparison.</w:t>
            </w:r>
          </w:p>
        </w:tc>
      </w:tr>
      <w:tr>
        <w:tc>
          <w:tcPr>
            <w:tcW w:type="dxa" w:w="2600"/>
            <w:tcMar>
              <w:top w:type="dxa" w:w="80"/>
              <w:left w:type="dxa" w:w="100"/>
              <w:bottom w:type="dxa" w:w="80"/>
              <w:right w:type="dxa" w:w="100"/>
            </w:tcMar>
          </w:tcPr>
          <w:p>
            <w:r>
              <w:rPr>
                <w:sz w:val="20"/>
                <w:szCs w:val="20"/>
              </w:rPr>
              <w:t xml:space="preserve">Blocking / Deadlocks / Wait Stats</w:t>
            </w:r>
          </w:p>
        </w:tc>
        <w:tc>
          <w:tcPr>
            <w:tcW w:type="dxa" w:w="7400"/>
            <w:tcMar>
              <w:top w:type="dxa" w:w="80"/>
              <w:left w:type="dxa" w:w="100"/>
              <w:bottom w:type="dxa" w:w="80"/>
              <w:right w:type="dxa" w:w="100"/>
            </w:tcMar>
          </w:tcPr>
          <w:p>
            <w:r>
              <w:rPr>
                <w:sz w:val="20"/>
                <w:szCs w:val="20"/>
              </w:rPr>
              <w:t xml:space="preserve">Capture current wait statistics baseline to compare post-upgrade query behavior under the new Cardinality Estimator / Query Optimizer.</w:t>
            </w:r>
          </w:p>
        </w:tc>
      </w:tr>
    </w:tbl>
    <w:p>
      <w:r>
        <w:br w:type="page"/>
      </w:r>
    </w:p>
    <w:p>
      <w:pPr>
        <w:pStyle w:val="Heading1"/>
        <w:spacing w:after="200" w:before="400"/>
      </w:pPr>
      <w:r>
        <w:t xml:space="preserve">SQL Pre-checks</w:t>
      </w:r>
    </w:p>
    <w:p>
      <w:pPr>
        <w:spacing w:after="150"/>
      </w:pPr>
      <w:r>
        <w:t xml:space="preserve">Execute and capture the output of every query below for each instance in scope. As with the Windows pre-checks, wrap execution in a logged SSMS query session or `sqlcmd` transcript for a single evidence artifact.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Check</w:t>
            </w:r>
          </w:p>
        </w:tc>
        <w:tc>
          <w:tcPr>
            <w:tcW w:type="dxa" w:w="4200"/>
            <w:shd w:fill="1F3864" w:val="clear"/>
            <w:tcMar>
              <w:top w:type="dxa" w:w="80"/>
              <w:left w:type="dxa" w:w="100"/>
              <w:bottom w:type="dxa" w:w="80"/>
              <w:right w:type="dxa" w:w="100"/>
            </w:tcMar>
            <w:vAlign w:val="center"/>
          </w:tcPr>
          <w:p>
            <w:r>
              <w:rPr>
                <w:b/>
                <w:bCs/>
                <w:color w:val="FFFFFF"/>
                <w:sz w:val="20"/>
                <w:szCs w:val="20"/>
              </w:rPr>
              <w:t xml:space="preserve">Query / Command</w:t>
            </w:r>
          </w:p>
        </w:tc>
        <w:tc>
          <w:tcPr>
            <w:tcW w:type="dxa" w:w="3600"/>
            <w:shd w:fill="1F3864" w:val="clear"/>
            <w:tcMar>
              <w:top w:type="dxa" w:w="80"/>
              <w:left w:type="dxa" w:w="100"/>
              <w:bottom w:type="dxa" w:w="80"/>
              <w:right w:type="dxa" w:w="100"/>
            </w:tcMar>
            <w:vAlign w:val="center"/>
          </w:tcPr>
          <w:p>
            <w:r>
              <w:rPr>
                <w:b/>
                <w:bCs/>
                <w:color w:val="FFFFFF"/>
                <w:sz w:val="20"/>
                <w:szCs w:val="20"/>
              </w:rPr>
              <w:t xml:space="preserve">Purpose &amp; Expected Output</w:t>
            </w:r>
          </w:p>
        </w:tc>
      </w:tr>
      <w:tr>
        <w:tc>
          <w:tcPr>
            <w:tcW w:type="dxa" w:w="2200"/>
            <w:tcMar>
              <w:top w:type="dxa" w:w="80"/>
              <w:left w:type="dxa" w:w="100"/>
              <w:bottom w:type="dxa" w:w="80"/>
              <w:right w:type="dxa" w:w="100"/>
            </w:tcMar>
          </w:tcPr>
          <w:p>
            <w:r>
              <w:rPr>
                <w:sz w:val="20"/>
                <w:szCs w:val="20"/>
              </w:rPr>
              <w:t xml:space="preserve">Version / Build</w:t>
            </w:r>
          </w:p>
        </w:tc>
        <w:tc>
          <w:tcPr>
            <w:tcW w:type="dxa" w:w="4200"/>
            <w:tcMar>
              <w:top w:type="dxa" w:w="80"/>
              <w:left w:type="dxa" w:w="100"/>
              <w:bottom w:type="dxa" w:w="80"/>
              <w:right w:type="dxa" w:w="100"/>
            </w:tcMar>
          </w:tcPr>
          <w:p>
            <w:r>
              <w:rPr>
                <w:sz w:val="20"/>
                <w:szCs w:val="20"/>
              </w:rPr>
              <w:t xml:space="preserve">`SELECT @@VERSION;`</w:t>
            </w:r>
          </w:p>
        </w:tc>
        <w:tc>
          <w:tcPr>
            <w:tcW w:type="dxa" w:w="3600"/>
            <w:tcMar>
              <w:top w:type="dxa" w:w="80"/>
              <w:left w:type="dxa" w:w="100"/>
              <w:bottom w:type="dxa" w:w="80"/>
              <w:right w:type="dxa" w:w="100"/>
            </w:tcMar>
          </w:tcPr>
          <w:p>
            <w:r>
              <w:rPr>
                <w:sz w:val="20"/>
                <w:szCs w:val="20"/>
              </w:rPr>
              <w:t xml:space="preserve">Confirms current SQL Server 2016 build and patch level.</w:t>
            </w:r>
          </w:p>
        </w:tc>
      </w:tr>
      <w:tr>
        <w:tc>
          <w:tcPr>
            <w:tcW w:type="dxa" w:w="2200"/>
            <w:shd w:fill="F2F2F2" w:val="clear"/>
            <w:tcMar>
              <w:top w:type="dxa" w:w="80"/>
              <w:left w:type="dxa" w:w="100"/>
              <w:bottom w:type="dxa" w:w="80"/>
              <w:right w:type="dxa" w:w="100"/>
            </w:tcMar>
          </w:tcPr>
          <w:p>
            <w:r>
              <w:rPr>
                <w:sz w:val="20"/>
                <w:szCs w:val="20"/>
              </w:rPr>
              <w:t xml:space="preserve">Database Integrity</w:t>
            </w:r>
          </w:p>
        </w:tc>
        <w:tc>
          <w:tcPr>
            <w:tcW w:type="dxa" w:w="4200"/>
            <w:shd w:fill="F2F2F2" w:val="clear"/>
            <w:tcMar>
              <w:top w:type="dxa" w:w="80"/>
              <w:left w:type="dxa" w:w="100"/>
              <w:bottom w:type="dxa" w:w="80"/>
              <w:right w:type="dxa" w:w="100"/>
            </w:tcMar>
          </w:tcPr>
          <w:p>
            <w:r>
              <w:rPr>
                <w:sz w:val="20"/>
                <w:szCs w:val="20"/>
              </w:rPr>
              <w:t xml:space="preserve">`DBCC CHECKDB WITH NO_INFOMSGS, ALL_ERRORMSGS;` (run per database)</w:t>
            </w:r>
          </w:p>
        </w:tc>
        <w:tc>
          <w:tcPr>
            <w:tcW w:type="dxa" w:w="3600"/>
            <w:shd w:fill="F2F2F2" w:val="clear"/>
            <w:tcMar>
              <w:top w:type="dxa" w:w="80"/>
              <w:left w:type="dxa" w:w="100"/>
              <w:bottom w:type="dxa" w:w="80"/>
              <w:right w:type="dxa" w:w="100"/>
            </w:tcMar>
          </w:tcPr>
          <w:p>
            <w:r>
              <w:rPr>
                <w:sz w:val="20"/>
                <w:szCs w:val="20"/>
              </w:rPr>
              <w:t xml:space="preserve">No integrity errors reported before upgrade — mandatory gate.</w:t>
            </w:r>
          </w:p>
        </w:tc>
      </w:tr>
      <w:tr>
        <w:tc>
          <w:tcPr>
            <w:tcW w:type="dxa" w:w="2200"/>
            <w:tcMar>
              <w:top w:type="dxa" w:w="80"/>
              <w:left w:type="dxa" w:w="100"/>
              <w:bottom w:type="dxa" w:w="80"/>
              <w:right w:type="dxa" w:w="100"/>
            </w:tcMar>
          </w:tcPr>
          <w:p>
            <w:r>
              <w:rPr>
                <w:sz w:val="20"/>
                <w:szCs w:val="20"/>
              </w:rPr>
              <w:t xml:space="preserve">Compatibility Levels</w:t>
            </w:r>
          </w:p>
        </w:tc>
        <w:tc>
          <w:tcPr>
            <w:tcW w:type="dxa" w:w="4200"/>
            <w:tcMar>
              <w:top w:type="dxa" w:w="80"/>
              <w:left w:type="dxa" w:w="100"/>
              <w:bottom w:type="dxa" w:w="80"/>
              <w:right w:type="dxa" w:w="100"/>
            </w:tcMar>
          </w:tcPr>
          <w:p>
            <w:r>
              <w:rPr>
                <w:sz w:val="20"/>
                <w:szCs w:val="20"/>
              </w:rPr>
              <w:t xml:space="preserve">`SELECT name, compatibility_level FROM sys.databases;`</w:t>
            </w:r>
          </w:p>
        </w:tc>
        <w:tc>
          <w:tcPr>
            <w:tcW w:type="dxa" w:w="3600"/>
            <w:tcMar>
              <w:top w:type="dxa" w:w="80"/>
              <w:left w:type="dxa" w:w="100"/>
              <w:bottom w:type="dxa" w:w="80"/>
              <w:right w:type="dxa" w:w="100"/>
            </w:tcMar>
          </w:tcPr>
          <w:p>
            <w:r>
              <w:rPr>
                <w:sz w:val="20"/>
                <w:szCs w:val="20"/>
              </w:rPr>
              <w:t xml:space="preserve">Documents per-database compatibility level for post-upgrade decision.</w:t>
            </w:r>
          </w:p>
        </w:tc>
      </w:tr>
      <w:tr>
        <w:tc>
          <w:tcPr>
            <w:tcW w:type="dxa" w:w="2200"/>
            <w:shd w:fill="F2F2F2" w:val="clear"/>
            <w:tcMar>
              <w:top w:type="dxa" w:w="80"/>
              <w:left w:type="dxa" w:w="100"/>
              <w:bottom w:type="dxa" w:w="80"/>
              <w:right w:type="dxa" w:w="100"/>
            </w:tcMar>
          </w:tcPr>
          <w:p>
            <w:r>
              <w:rPr>
                <w:sz w:val="20"/>
                <w:szCs w:val="20"/>
              </w:rPr>
              <w:t xml:space="preserve">Database Status</w:t>
            </w:r>
          </w:p>
        </w:tc>
        <w:tc>
          <w:tcPr>
            <w:tcW w:type="dxa" w:w="4200"/>
            <w:shd w:fill="F2F2F2" w:val="clear"/>
            <w:tcMar>
              <w:top w:type="dxa" w:w="80"/>
              <w:left w:type="dxa" w:w="100"/>
              <w:bottom w:type="dxa" w:w="80"/>
              <w:right w:type="dxa" w:w="100"/>
            </w:tcMar>
          </w:tcPr>
          <w:p>
            <w:r>
              <w:rPr>
                <w:sz w:val="20"/>
                <w:szCs w:val="20"/>
              </w:rPr>
              <w:t xml:space="preserve">`SELECT name, state_desc FROM sys.databases;`</w:t>
            </w:r>
          </w:p>
        </w:tc>
        <w:tc>
          <w:tcPr>
            <w:tcW w:type="dxa" w:w="3600"/>
            <w:shd w:fill="F2F2F2" w:val="clear"/>
            <w:tcMar>
              <w:top w:type="dxa" w:w="80"/>
              <w:left w:type="dxa" w:w="100"/>
              <w:bottom w:type="dxa" w:w="80"/>
              <w:right w:type="dxa" w:w="100"/>
            </w:tcMar>
          </w:tcPr>
          <w:p>
            <w:r>
              <w:rPr>
                <w:sz w:val="20"/>
                <w:szCs w:val="20"/>
              </w:rPr>
              <w:t xml:space="preserve">All user databases ONLINE; no SUSPECT/RECOVERY_PENDING databases.</w:t>
            </w:r>
          </w:p>
        </w:tc>
      </w:tr>
      <w:tr>
        <w:tc>
          <w:tcPr>
            <w:tcW w:type="dxa" w:w="2200"/>
            <w:tcMar>
              <w:top w:type="dxa" w:w="80"/>
              <w:left w:type="dxa" w:w="100"/>
              <w:bottom w:type="dxa" w:w="80"/>
              <w:right w:type="dxa" w:w="100"/>
            </w:tcMar>
          </w:tcPr>
          <w:p>
            <w:r>
              <w:rPr>
                <w:sz w:val="20"/>
                <w:szCs w:val="20"/>
              </w:rPr>
              <w:t xml:space="preserve">Recovery Model</w:t>
            </w:r>
          </w:p>
        </w:tc>
        <w:tc>
          <w:tcPr>
            <w:tcW w:type="dxa" w:w="4200"/>
            <w:tcMar>
              <w:top w:type="dxa" w:w="80"/>
              <w:left w:type="dxa" w:w="100"/>
              <w:bottom w:type="dxa" w:w="80"/>
              <w:right w:type="dxa" w:w="100"/>
            </w:tcMar>
          </w:tcPr>
          <w:p>
            <w:r>
              <w:rPr>
                <w:sz w:val="20"/>
                <w:szCs w:val="20"/>
              </w:rPr>
              <w:t xml:space="preserve">`SELECT name, recovery_model_desc FROM sys.databases;`</w:t>
            </w:r>
          </w:p>
        </w:tc>
        <w:tc>
          <w:tcPr>
            <w:tcW w:type="dxa" w:w="3600"/>
            <w:tcMar>
              <w:top w:type="dxa" w:w="80"/>
              <w:left w:type="dxa" w:w="100"/>
              <w:bottom w:type="dxa" w:w="80"/>
              <w:right w:type="dxa" w:w="100"/>
            </w:tcMar>
          </w:tcPr>
          <w:p>
            <w:r>
              <w:rPr>
                <w:sz w:val="20"/>
                <w:szCs w:val="20"/>
              </w:rPr>
              <w:t xml:space="preserve">Documented; confirms log backup chain requirements.</w:t>
            </w:r>
          </w:p>
        </w:tc>
      </w:tr>
      <w:tr>
        <w:tc>
          <w:tcPr>
            <w:tcW w:type="dxa" w:w="2200"/>
            <w:shd w:fill="F2F2F2" w:val="clear"/>
            <w:tcMar>
              <w:top w:type="dxa" w:w="80"/>
              <w:left w:type="dxa" w:w="100"/>
              <w:bottom w:type="dxa" w:w="80"/>
              <w:right w:type="dxa" w:w="100"/>
            </w:tcMar>
          </w:tcPr>
          <w:p>
            <w:r>
              <w:rPr>
                <w:sz w:val="20"/>
                <w:szCs w:val="20"/>
              </w:rPr>
              <w:t xml:space="preserve">SQL Agent Status</w:t>
            </w:r>
          </w:p>
        </w:tc>
        <w:tc>
          <w:tcPr>
            <w:tcW w:type="dxa" w:w="4200"/>
            <w:shd w:fill="F2F2F2" w:val="clear"/>
            <w:tcMar>
              <w:top w:type="dxa" w:w="80"/>
              <w:left w:type="dxa" w:w="100"/>
              <w:bottom w:type="dxa" w:w="80"/>
              <w:right w:type="dxa" w:w="100"/>
            </w:tcMar>
          </w:tcPr>
          <w:p>
            <w:r>
              <w:rPr>
                <w:sz w:val="20"/>
                <w:szCs w:val="20"/>
              </w:rPr>
              <w:t xml:space="preserve">`EXEC msdb.dbo.sp_help_job;`</w:t>
            </w:r>
          </w:p>
        </w:tc>
        <w:tc>
          <w:tcPr>
            <w:tcW w:type="dxa" w:w="3600"/>
            <w:shd w:fill="F2F2F2" w:val="clear"/>
            <w:tcMar>
              <w:top w:type="dxa" w:w="80"/>
              <w:left w:type="dxa" w:w="100"/>
              <w:bottom w:type="dxa" w:w="80"/>
              <w:right w:type="dxa" w:w="100"/>
            </w:tcMar>
          </w:tcPr>
          <w:p>
            <w:r>
              <w:rPr>
                <w:sz w:val="20"/>
                <w:szCs w:val="20"/>
              </w:rPr>
              <w:t xml:space="preserve">SQL Agent running; job inventory captured.</w:t>
            </w:r>
          </w:p>
        </w:tc>
      </w:tr>
      <w:tr>
        <w:tc>
          <w:tcPr>
            <w:tcW w:type="dxa" w:w="2200"/>
            <w:tcMar>
              <w:top w:type="dxa" w:w="80"/>
              <w:left w:type="dxa" w:w="100"/>
              <w:bottom w:type="dxa" w:w="80"/>
              <w:right w:type="dxa" w:w="100"/>
            </w:tcMar>
          </w:tcPr>
          <w:p>
            <w:r>
              <w:rPr>
                <w:sz w:val="20"/>
                <w:szCs w:val="20"/>
              </w:rPr>
              <w:t xml:space="preserve">Error Logs</w:t>
            </w:r>
          </w:p>
        </w:tc>
        <w:tc>
          <w:tcPr>
            <w:tcW w:type="dxa" w:w="4200"/>
            <w:tcMar>
              <w:top w:type="dxa" w:w="80"/>
              <w:left w:type="dxa" w:w="100"/>
              <w:bottom w:type="dxa" w:w="80"/>
              <w:right w:type="dxa" w:w="100"/>
            </w:tcMar>
          </w:tcPr>
          <w:p>
            <w:r>
              <w:rPr>
                <w:sz w:val="20"/>
                <w:szCs w:val="20"/>
              </w:rPr>
              <w:t xml:space="preserve">`EXEC sp_readerrorlog;`</w:t>
            </w:r>
          </w:p>
        </w:tc>
        <w:tc>
          <w:tcPr>
            <w:tcW w:type="dxa" w:w="3600"/>
            <w:tcMar>
              <w:top w:type="dxa" w:w="80"/>
              <w:left w:type="dxa" w:w="100"/>
              <w:bottom w:type="dxa" w:w="80"/>
              <w:right w:type="dxa" w:w="100"/>
            </w:tcMar>
          </w:tcPr>
          <w:p>
            <w:r>
              <w:rPr>
                <w:sz w:val="20"/>
                <w:szCs w:val="20"/>
              </w:rPr>
              <w:t xml:space="preserve">No unresolved critical errors in recent logs.</w:t>
            </w:r>
          </w:p>
        </w:tc>
      </w:tr>
      <w:tr>
        <w:tc>
          <w:tcPr>
            <w:tcW w:type="dxa" w:w="2200"/>
            <w:shd w:fill="F2F2F2" w:val="clear"/>
            <w:tcMar>
              <w:top w:type="dxa" w:w="80"/>
              <w:left w:type="dxa" w:w="100"/>
              <w:bottom w:type="dxa" w:w="80"/>
              <w:right w:type="dxa" w:w="100"/>
            </w:tcMar>
          </w:tcPr>
          <w:p>
            <w:r>
              <w:rPr>
                <w:sz w:val="20"/>
                <w:szCs w:val="20"/>
              </w:rPr>
              <w:t xml:space="preserve">Linked Servers</w:t>
            </w:r>
          </w:p>
        </w:tc>
        <w:tc>
          <w:tcPr>
            <w:tcW w:type="dxa" w:w="4200"/>
            <w:shd w:fill="F2F2F2" w:val="clear"/>
            <w:tcMar>
              <w:top w:type="dxa" w:w="80"/>
              <w:left w:type="dxa" w:w="100"/>
              <w:bottom w:type="dxa" w:w="80"/>
              <w:right w:type="dxa" w:w="100"/>
            </w:tcMar>
          </w:tcPr>
          <w:p>
            <w:r>
              <w:rPr>
                <w:sz w:val="20"/>
                <w:szCs w:val="20"/>
              </w:rPr>
              <w:t xml:space="preserve">`SELECT name, provider, data_source FROM sys.servers WHERE is_linked = 1;`</w:t>
            </w:r>
          </w:p>
        </w:tc>
        <w:tc>
          <w:tcPr>
            <w:tcW w:type="dxa" w:w="3600"/>
            <w:shd w:fill="F2F2F2" w:val="clear"/>
            <w:tcMar>
              <w:top w:type="dxa" w:w="80"/>
              <w:left w:type="dxa" w:w="100"/>
              <w:bottom w:type="dxa" w:w="80"/>
              <w:right w:type="dxa" w:w="100"/>
            </w:tcMar>
          </w:tcPr>
          <w:p>
            <w:r>
              <w:rPr>
                <w:sz w:val="20"/>
                <w:szCs w:val="20"/>
              </w:rPr>
              <w:t xml:space="preserve">Inventory captured for provider-compatibility check.</w:t>
            </w:r>
          </w:p>
        </w:tc>
      </w:tr>
      <w:tr>
        <w:tc>
          <w:tcPr>
            <w:tcW w:type="dxa" w:w="2200"/>
            <w:tcMar>
              <w:top w:type="dxa" w:w="80"/>
              <w:left w:type="dxa" w:w="100"/>
              <w:bottom w:type="dxa" w:w="80"/>
              <w:right w:type="dxa" w:w="100"/>
            </w:tcMar>
          </w:tcPr>
          <w:p>
            <w:r>
              <w:rPr>
                <w:sz w:val="20"/>
                <w:szCs w:val="20"/>
              </w:rPr>
              <w:t xml:space="preserve">Endpoints</w:t>
            </w:r>
          </w:p>
        </w:tc>
        <w:tc>
          <w:tcPr>
            <w:tcW w:type="dxa" w:w="4200"/>
            <w:tcMar>
              <w:top w:type="dxa" w:w="80"/>
              <w:left w:type="dxa" w:w="100"/>
              <w:bottom w:type="dxa" w:w="80"/>
              <w:right w:type="dxa" w:w="100"/>
            </w:tcMar>
          </w:tcPr>
          <w:p>
            <w:r>
              <w:rPr>
                <w:sz w:val="20"/>
                <w:szCs w:val="20"/>
              </w:rPr>
              <w:t xml:space="preserve">`SELECT name, protocol_desc, state_desc FROM sys.endpoints;`</w:t>
            </w:r>
          </w:p>
        </w:tc>
        <w:tc>
          <w:tcPr>
            <w:tcW w:type="dxa" w:w="3600"/>
            <w:tcMar>
              <w:top w:type="dxa" w:w="80"/>
              <w:left w:type="dxa" w:w="100"/>
              <w:bottom w:type="dxa" w:w="80"/>
              <w:right w:type="dxa" w:w="100"/>
            </w:tcMar>
          </w:tcPr>
          <w:p>
            <w:r>
              <w:rPr>
                <w:sz w:val="20"/>
                <w:szCs w:val="20"/>
              </w:rPr>
              <w:t xml:space="preserve">Documented; confirms mirroring/AG endpoint configuration.</w:t>
            </w:r>
          </w:p>
        </w:tc>
      </w:tr>
      <w:tr>
        <w:tc>
          <w:tcPr>
            <w:tcW w:type="dxa" w:w="2200"/>
            <w:shd w:fill="F2F2F2" w:val="clear"/>
            <w:tcMar>
              <w:top w:type="dxa" w:w="80"/>
              <w:left w:type="dxa" w:w="100"/>
              <w:bottom w:type="dxa" w:w="80"/>
              <w:right w:type="dxa" w:w="100"/>
            </w:tcMar>
          </w:tcPr>
          <w:p>
            <w:r>
              <w:rPr>
                <w:sz w:val="20"/>
                <w:szCs w:val="20"/>
              </w:rPr>
              <w:t xml:space="preserve">Certificates</w:t>
            </w:r>
          </w:p>
        </w:tc>
        <w:tc>
          <w:tcPr>
            <w:tcW w:type="dxa" w:w="4200"/>
            <w:shd w:fill="F2F2F2" w:val="clear"/>
            <w:tcMar>
              <w:top w:type="dxa" w:w="80"/>
              <w:left w:type="dxa" w:w="100"/>
              <w:bottom w:type="dxa" w:w="80"/>
              <w:right w:type="dxa" w:w="100"/>
            </w:tcMar>
          </w:tcPr>
          <w:p>
            <w:r>
              <w:rPr>
                <w:sz w:val="20"/>
                <w:szCs w:val="20"/>
              </w:rPr>
              <w:t xml:space="preserve">`SELECT name, expiry_date FROM sys.certificates;`</w:t>
            </w:r>
          </w:p>
        </w:tc>
        <w:tc>
          <w:tcPr>
            <w:tcW w:type="dxa" w:w="3600"/>
            <w:shd w:fill="F2F2F2" w:val="clear"/>
            <w:tcMar>
              <w:top w:type="dxa" w:w="80"/>
              <w:left w:type="dxa" w:w="100"/>
              <w:bottom w:type="dxa" w:w="80"/>
              <w:right w:type="dxa" w:w="100"/>
            </w:tcMar>
          </w:tcPr>
          <w:p>
            <w:r>
              <w:rPr>
                <w:sz w:val="20"/>
                <w:szCs w:val="20"/>
              </w:rPr>
              <w:t xml:space="preserve">No certificates expiring during the change window.</w:t>
            </w:r>
          </w:p>
        </w:tc>
      </w:tr>
      <w:tr>
        <w:tc>
          <w:tcPr>
            <w:tcW w:type="dxa" w:w="2200"/>
            <w:tcMar>
              <w:top w:type="dxa" w:w="80"/>
              <w:left w:type="dxa" w:w="100"/>
              <w:bottom w:type="dxa" w:w="80"/>
              <w:right w:type="dxa" w:w="100"/>
            </w:tcMar>
          </w:tcPr>
          <w:p>
            <w:r>
              <w:rPr>
                <w:sz w:val="20"/>
                <w:szCs w:val="20"/>
              </w:rPr>
              <w:t xml:space="preserve">Logins</w:t>
            </w:r>
          </w:p>
        </w:tc>
        <w:tc>
          <w:tcPr>
            <w:tcW w:type="dxa" w:w="4200"/>
            <w:tcMar>
              <w:top w:type="dxa" w:w="80"/>
              <w:left w:type="dxa" w:w="100"/>
              <w:bottom w:type="dxa" w:w="80"/>
              <w:right w:type="dxa" w:w="100"/>
            </w:tcMar>
          </w:tcPr>
          <w:p>
            <w:r>
              <w:rPr>
                <w:sz w:val="20"/>
                <w:szCs w:val="20"/>
              </w:rPr>
              <w:t xml:space="preserve">`SELECT name, type_desc, is_disabled FROM sys.server_principals WHERE type IN ('S','U','G');`</w:t>
            </w:r>
          </w:p>
        </w:tc>
        <w:tc>
          <w:tcPr>
            <w:tcW w:type="dxa" w:w="3600"/>
            <w:tcMar>
              <w:top w:type="dxa" w:w="80"/>
              <w:left w:type="dxa" w:w="100"/>
              <w:bottom w:type="dxa" w:w="80"/>
              <w:right w:type="dxa" w:w="100"/>
            </w:tcMar>
          </w:tcPr>
          <w:p>
            <w:r>
              <w:rPr>
                <w:sz w:val="20"/>
                <w:szCs w:val="20"/>
              </w:rPr>
              <w:t xml:space="preserve">Full login inventory for post-upgrade comparison.</w:t>
            </w:r>
          </w:p>
        </w:tc>
      </w:tr>
      <w:tr>
        <w:tc>
          <w:tcPr>
            <w:tcW w:type="dxa" w:w="2200"/>
            <w:shd w:fill="F2F2F2" w:val="clear"/>
            <w:tcMar>
              <w:top w:type="dxa" w:w="80"/>
              <w:left w:type="dxa" w:w="100"/>
              <w:bottom w:type="dxa" w:w="80"/>
              <w:right w:type="dxa" w:w="100"/>
            </w:tcMar>
          </w:tcPr>
          <w:p>
            <w:r>
              <w:rPr>
                <w:sz w:val="20"/>
                <w:szCs w:val="20"/>
              </w:rPr>
              <w:t xml:space="preserve">Permissions</w:t>
            </w:r>
          </w:p>
        </w:tc>
        <w:tc>
          <w:tcPr>
            <w:tcW w:type="dxa" w:w="4200"/>
            <w:shd w:fill="F2F2F2" w:val="clear"/>
            <w:tcMar>
              <w:top w:type="dxa" w:w="80"/>
              <w:left w:type="dxa" w:w="100"/>
              <w:bottom w:type="dxa" w:w="80"/>
              <w:right w:type="dxa" w:w="100"/>
            </w:tcMar>
          </w:tcPr>
          <w:p>
            <w:r>
              <w:rPr>
                <w:sz w:val="20"/>
                <w:szCs w:val="20"/>
              </w:rPr>
              <w:t xml:space="preserve">`SELECT * FROM sys.server_permissions;`</w:t>
            </w:r>
          </w:p>
        </w:tc>
        <w:tc>
          <w:tcPr>
            <w:tcW w:type="dxa" w:w="3600"/>
            <w:shd w:fill="F2F2F2" w:val="clear"/>
            <w:tcMar>
              <w:top w:type="dxa" w:w="80"/>
              <w:left w:type="dxa" w:w="100"/>
              <w:bottom w:type="dxa" w:w="80"/>
              <w:right w:type="dxa" w:w="100"/>
            </w:tcMar>
          </w:tcPr>
          <w:p>
            <w:r>
              <w:rPr>
                <w:sz w:val="20"/>
                <w:szCs w:val="20"/>
              </w:rPr>
              <w:t xml:space="preserve">Baseline captured for drift detection.</w:t>
            </w:r>
          </w:p>
        </w:tc>
      </w:tr>
      <w:tr>
        <w:tc>
          <w:tcPr>
            <w:tcW w:type="dxa" w:w="2200"/>
            <w:tcMar>
              <w:top w:type="dxa" w:w="80"/>
              <w:left w:type="dxa" w:w="100"/>
              <w:bottom w:type="dxa" w:w="80"/>
              <w:right w:type="dxa" w:w="100"/>
            </w:tcMar>
          </w:tcPr>
          <w:p>
            <w:r>
              <w:rPr>
                <w:sz w:val="20"/>
                <w:szCs w:val="20"/>
              </w:rPr>
              <w:t xml:space="preserve">SQL Agent Jobs</w:t>
            </w:r>
          </w:p>
        </w:tc>
        <w:tc>
          <w:tcPr>
            <w:tcW w:type="dxa" w:w="4200"/>
            <w:tcMar>
              <w:top w:type="dxa" w:w="80"/>
              <w:left w:type="dxa" w:w="100"/>
              <w:bottom w:type="dxa" w:w="80"/>
              <w:right w:type="dxa" w:w="100"/>
            </w:tcMar>
          </w:tcPr>
          <w:p>
            <w:r>
              <w:rPr>
                <w:sz w:val="20"/>
                <w:szCs w:val="20"/>
              </w:rPr>
              <w:t xml:space="preserve">`SELECT name, enabled FROM msdb.dbo.sysjobs;`</w:t>
            </w:r>
          </w:p>
        </w:tc>
        <w:tc>
          <w:tcPr>
            <w:tcW w:type="dxa" w:w="3600"/>
            <w:tcMar>
              <w:top w:type="dxa" w:w="80"/>
              <w:left w:type="dxa" w:w="100"/>
              <w:bottom w:type="dxa" w:w="80"/>
              <w:right w:type="dxa" w:w="100"/>
            </w:tcMar>
          </w:tcPr>
          <w:p>
            <w:r>
              <w:rPr>
                <w:sz w:val="20"/>
                <w:szCs w:val="20"/>
              </w:rPr>
              <w:t xml:space="preserve">Full job list with enabled/disabled state.</w:t>
            </w:r>
          </w:p>
        </w:tc>
      </w:tr>
      <w:tr>
        <w:tc>
          <w:tcPr>
            <w:tcW w:type="dxa" w:w="2200"/>
            <w:shd w:fill="F2F2F2" w:val="clear"/>
            <w:tcMar>
              <w:top w:type="dxa" w:w="80"/>
              <w:left w:type="dxa" w:w="100"/>
              <w:bottom w:type="dxa" w:w="80"/>
              <w:right w:type="dxa" w:w="100"/>
            </w:tcMar>
          </w:tcPr>
          <w:p>
            <w:r>
              <w:rPr>
                <w:sz w:val="20"/>
                <w:szCs w:val="20"/>
              </w:rPr>
              <w:t xml:space="preserve">Maintenance Plans</w:t>
            </w:r>
          </w:p>
        </w:tc>
        <w:tc>
          <w:tcPr>
            <w:tcW w:type="dxa" w:w="4200"/>
            <w:shd w:fill="F2F2F2" w:val="clear"/>
            <w:tcMar>
              <w:top w:type="dxa" w:w="80"/>
              <w:left w:type="dxa" w:w="100"/>
              <w:bottom w:type="dxa" w:w="80"/>
              <w:right w:type="dxa" w:w="100"/>
            </w:tcMar>
          </w:tcPr>
          <w:p>
            <w:r>
              <w:rPr>
                <w:sz w:val="20"/>
                <w:szCs w:val="20"/>
              </w:rPr>
              <w:t xml:space="preserve">`SELECT name FROM msdb.dbo.sysmaintplan_plans;`</w:t>
            </w:r>
          </w:p>
        </w:tc>
        <w:tc>
          <w:tcPr>
            <w:tcW w:type="dxa" w:w="3600"/>
            <w:shd w:fill="F2F2F2" w:val="clear"/>
            <w:tcMar>
              <w:top w:type="dxa" w:w="80"/>
              <w:left w:type="dxa" w:w="100"/>
              <w:bottom w:type="dxa" w:w="80"/>
              <w:right w:type="dxa" w:w="100"/>
            </w:tcMar>
          </w:tcPr>
          <w:p>
            <w:r>
              <w:rPr>
                <w:sz w:val="20"/>
                <w:szCs w:val="20"/>
              </w:rPr>
              <w:t xml:space="preserve">Inventory captured.</w:t>
            </w:r>
          </w:p>
        </w:tc>
      </w:tr>
      <w:tr>
        <w:tc>
          <w:tcPr>
            <w:tcW w:type="dxa" w:w="2200"/>
            <w:tcMar>
              <w:top w:type="dxa" w:w="80"/>
              <w:left w:type="dxa" w:w="100"/>
              <w:bottom w:type="dxa" w:w="80"/>
              <w:right w:type="dxa" w:w="100"/>
            </w:tcMar>
          </w:tcPr>
          <w:p>
            <w:r>
              <w:rPr>
                <w:sz w:val="20"/>
                <w:szCs w:val="20"/>
              </w:rPr>
              <w:t xml:space="preserve">Replication</w:t>
            </w:r>
          </w:p>
        </w:tc>
        <w:tc>
          <w:tcPr>
            <w:tcW w:type="dxa" w:w="4200"/>
            <w:tcMar>
              <w:top w:type="dxa" w:w="80"/>
              <w:left w:type="dxa" w:w="100"/>
              <w:bottom w:type="dxa" w:w="80"/>
              <w:right w:type="dxa" w:w="100"/>
            </w:tcMar>
          </w:tcPr>
          <w:p>
            <w:r>
              <w:rPr>
                <w:sz w:val="20"/>
                <w:szCs w:val="20"/>
              </w:rPr>
              <w:t xml:space="preserve">`EXEC sp_helpreplicationdb;` / `EXEC sp_helppublication;`</w:t>
            </w:r>
          </w:p>
        </w:tc>
        <w:tc>
          <w:tcPr>
            <w:tcW w:type="dxa" w:w="3600"/>
            <w:tcMar>
              <w:top w:type="dxa" w:w="80"/>
              <w:left w:type="dxa" w:w="100"/>
              <w:bottom w:type="dxa" w:w="80"/>
              <w:right w:type="dxa" w:w="100"/>
            </w:tcMar>
          </w:tcPr>
          <w:p>
            <w:r>
              <w:rPr>
                <w:sz w:val="20"/>
                <w:szCs w:val="20"/>
              </w:rPr>
              <w:t xml:space="preserve">Topology documented; distributor upgraded first.</w:t>
            </w:r>
          </w:p>
        </w:tc>
      </w:tr>
      <w:tr>
        <w:tc>
          <w:tcPr>
            <w:tcW w:type="dxa" w:w="2200"/>
            <w:shd w:fill="F2F2F2" w:val="clear"/>
            <w:tcMar>
              <w:top w:type="dxa" w:w="80"/>
              <w:left w:type="dxa" w:w="100"/>
              <w:bottom w:type="dxa" w:w="80"/>
              <w:right w:type="dxa" w:w="100"/>
            </w:tcMar>
          </w:tcPr>
          <w:p>
            <w:r>
              <w:rPr>
                <w:sz w:val="20"/>
                <w:szCs w:val="20"/>
              </w:rPr>
              <w:t xml:space="preserve">AlwaysOn AG Health</w:t>
            </w:r>
          </w:p>
        </w:tc>
        <w:tc>
          <w:tcPr>
            <w:tcW w:type="dxa" w:w="4200"/>
            <w:shd w:fill="F2F2F2" w:val="clear"/>
            <w:tcMar>
              <w:top w:type="dxa" w:w="80"/>
              <w:left w:type="dxa" w:w="100"/>
              <w:bottom w:type="dxa" w:w="80"/>
              <w:right w:type="dxa" w:w="100"/>
            </w:tcMar>
          </w:tcPr>
          <w:p>
            <w:r>
              <w:rPr>
                <w:sz w:val="20"/>
                <w:szCs w:val="20"/>
              </w:rPr>
              <w:t xml:space="preserve">`SELECT * FROM sys.dm_hadr_availability_replica_states;`</w:t>
            </w:r>
          </w:p>
        </w:tc>
        <w:tc>
          <w:tcPr>
            <w:tcW w:type="dxa" w:w="3600"/>
            <w:shd w:fill="F2F2F2" w:val="clear"/>
            <w:tcMar>
              <w:top w:type="dxa" w:w="80"/>
              <w:left w:type="dxa" w:w="100"/>
              <w:bottom w:type="dxa" w:w="80"/>
              <w:right w:type="dxa" w:w="100"/>
            </w:tcMar>
          </w:tcPr>
          <w:p>
            <w:r>
              <w:rPr>
                <w:sz w:val="20"/>
                <w:szCs w:val="20"/>
              </w:rPr>
              <w:t xml:space="preserve">All replicas synchronized/healthy before starting.</w:t>
            </w:r>
          </w:p>
        </w:tc>
      </w:tr>
      <w:tr>
        <w:tc>
          <w:tcPr>
            <w:tcW w:type="dxa" w:w="2200"/>
            <w:tcMar>
              <w:top w:type="dxa" w:w="80"/>
              <w:left w:type="dxa" w:w="100"/>
              <w:bottom w:type="dxa" w:w="80"/>
              <w:right w:type="dxa" w:w="100"/>
            </w:tcMar>
          </w:tcPr>
          <w:p>
            <w:r>
              <w:rPr>
                <w:sz w:val="20"/>
                <w:szCs w:val="20"/>
              </w:rPr>
              <w:t xml:space="preserve">Database Mail</w:t>
            </w:r>
          </w:p>
        </w:tc>
        <w:tc>
          <w:tcPr>
            <w:tcW w:type="dxa" w:w="4200"/>
            <w:tcMar>
              <w:top w:type="dxa" w:w="80"/>
              <w:left w:type="dxa" w:w="100"/>
              <w:bottom w:type="dxa" w:w="80"/>
              <w:right w:type="dxa" w:w="100"/>
            </w:tcMar>
          </w:tcPr>
          <w:p>
            <w:r>
              <w:rPr>
                <w:sz w:val="20"/>
                <w:szCs w:val="20"/>
              </w:rPr>
              <w:t xml:space="preserve">`SELECT * FROM msdb.dbo.sysmail_profile;`</w:t>
            </w:r>
          </w:p>
        </w:tc>
        <w:tc>
          <w:tcPr>
            <w:tcW w:type="dxa" w:w="3600"/>
            <w:tcMar>
              <w:top w:type="dxa" w:w="80"/>
              <w:left w:type="dxa" w:w="100"/>
              <w:bottom w:type="dxa" w:w="80"/>
              <w:right w:type="dxa" w:w="100"/>
            </w:tcMar>
          </w:tcPr>
          <w:p>
            <w:r>
              <w:rPr>
                <w:sz w:val="20"/>
                <w:szCs w:val="20"/>
              </w:rPr>
              <w:t xml:space="preserve">Profile configuration documented.</w:t>
            </w:r>
          </w:p>
        </w:tc>
      </w:tr>
      <w:tr>
        <w:tc>
          <w:tcPr>
            <w:tcW w:type="dxa" w:w="2200"/>
            <w:shd w:fill="F2F2F2" w:val="clear"/>
            <w:tcMar>
              <w:top w:type="dxa" w:w="80"/>
              <w:left w:type="dxa" w:w="100"/>
              <w:bottom w:type="dxa" w:w="80"/>
              <w:right w:type="dxa" w:w="100"/>
            </w:tcMar>
          </w:tcPr>
          <w:p>
            <w:r>
              <w:rPr>
                <w:sz w:val="20"/>
                <w:szCs w:val="20"/>
              </w:rPr>
              <w:t xml:space="preserve">Service Accounts</w:t>
            </w:r>
          </w:p>
        </w:tc>
        <w:tc>
          <w:tcPr>
            <w:tcW w:type="dxa" w:w="4200"/>
            <w:shd w:fill="F2F2F2" w:val="clear"/>
            <w:tcMar>
              <w:top w:type="dxa" w:w="80"/>
              <w:left w:type="dxa" w:w="100"/>
              <w:bottom w:type="dxa" w:w="80"/>
              <w:right w:type="dxa" w:w="100"/>
            </w:tcMar>
          </w:tcPr>
          <w:p>
            <w:r>
              <w:rPr>
                <w:sz w:val="20"/>
                <w:szCs w:val="20"/>
              </w:rPr>
              <w:t xml:space="preserve">SQL Server Configuration Manager</w:t>
            </w:r>
          </w:p>
        </w:tc>
        <w:tc>
          <w:tcPr>
            <w:tcW w:type="dxa" w:w="3600"/>
            <w:shd w:fill="F2F2F2" w:val="clear"/>
            <w:tcMar>
              <w:top w:type="dxa" w:w="80"/>
              <w:left w:type="dxa" w:w="100"/>
              <w:bottom w:type="dxa" w:w="80"/>
              <w:right w:type="dxa" w:w="100"/>
            </w:tcMar>
          </w:tcPr>
          <w:p>
            <w:r>
              <w:rPr>
                <w:sz w:val="20"/>
                <w:szCs w:val="20"/>
              </w:rPr>
              <w:t xml:space="preserve">Documented; confirm account has required permissions post-upgrade.</w:t>
            </w:r>
          </w:p>
        </w:tc>
      </w:tr>
      <w:tr>
        <w:tc>
          <w:tcPr>
            <w:tcW w:type="dxa" w:w="2200"/>
            <w:tcMar>
              <w:top w:type="dxa" w:w="80"/>
              <w:left w:type="dxa" w:w="100"/>
              <w:bottom w:type="dxa" w:w="80"/>
              <w:right w:type="dxa" w:w="100"/>
            </w:tcMar>
          </w:tcPr>
          <w:p>
            <w:r>
              <w:rPr>
                <w:sz w:val="20"/>
                <w:szCs w:val="20"/>
              </w:rPr>
              <w:t xml:space="preserve">SPNs</w:t>
            </w:r>
          </w:p>
        </w:tc>
        <w:tc>
          <w:tcPr>
            <w:tcW w:type="dxa" w:w="4200"/>
            <w:tcMar>
              <w:top w:type="dxa" w:w="80"/>
              <w:left w:type="dxa" w:w="100"/>
              <w:bottom w:type="dxa" w:w="80"/>
              <w:right w:type="dxa" w:w="100"/>
            </w:tcMar>
          </w:tcPr>
          <w:p>
            <w:r>
              <w:rPr>
                <w:sz w:val="20"/>
                <w:szCs w:val="20"/>
              </w:rPr>
              <w:t xml:space="preserve">`setspn -L &lt;ServiceAccount&gt;`</w:t>
            </w:r>
          </w:p>
        </w:tc>
        <w:tc>
          <w:tcPr>
            <w:tcW w:type="dxa" w:w="3600"/>
            <w:tcMar>
              <w:top w:type="dxa" w:w="80"/>
              <w:left w:type="dxa" w:w="100"/>
              <w:bottom w:type="dxa" w:w="80"/>
              <w:right w:type="dxa" w:w="100"/>
            </w:tcMar>
          </w:tcPr>
          <w:p>
            <w:r>
              <w:rPr>
                <w:sz w:val="20"/>
                <w:szCs w:val="20"/>
              </w:rPr>
              <w:t xml:space="preserve">Correct SPNs registered to avoid Kerberos double-hop issues post-upgrade.</w:t>
            </w:r>
          </w:p>
        </w:tc>
      </w:tr>
      <w:tr>
        <w:tc>
          <w:tcPr>
            <w:tcW w:type="dxa" w:w="2200"/>
            <w:shd w:fill="F2F2F2" w:val="clear"/>
            <w:tcMar>
              <w:top w:type="dxa" w:w="80"/>
              <w:left w:type="dxa" w:w="100"/>
              <w:bottom w:type="dxa" w:w="80"/>
              <w:right w:type="dxa" w:w="100"/>
            </w:tcMar>
          </w:tcPr>
          <w:p>
            <w:r>
              <w:rPr>
                <w:sz w:val="20"/>
                <w:szCs w:val="20"/>
              </w:rPr>
              <w:t xml:space="preserve">Ports</w:t>
            </w:r>
          </w:p>
        </w:tc>
        <w:tc>
          <w:tcPr>
            <w:tcW w:type="dxa" w:w="4200"/>
            <w:shd w:fill="F2F2F2" w:val="clear"/>
            <w:tcMar>
              <w:top w:type="dxa" w:w="80"/>
              <w:left w:type="dxa" w:w="100"/>
              <w:bottom w:type="dxa" w:w="80"/>
              <w:right w:type="dxa" w:w="100"/>
            </w:tcMar>
          </w:tcPr>
          <w:p>
            <w:r>
              <w:rPr>
                <w:sz w:val="20"/>
                <w:szCs w:val="20"/>
              </w:rPr>
              <w:t xml:space="preserve">`SELECT local_tcp_port FROM sys.dm_exec_connections WHERE session_id = @@SPID;`</w:t>
            </w:r>
          </w:p>
        </w:tc>
        <w:tc>
          <w:tcPr>
            <w:tcW w:type="dxa" w:w="3600"/>
            <w:shd w:fill="F2F2F2" w:val="clear"/>
            <w:tcMar>
              <w:top w:type="dxa" w:w="80"/>
              <w:left w:type="dxa" w:w="100"/>
              <w:bottom w:type="dxa" w:w="80"/>
              <w:right w:type="dxa" w:w="100"/>
            </w:tcMar>
          </w:tcPr>
          <w:p>
            <w:r>
              <w:rPr>
                <w:sz w:val="20"/>
                <w:szCs w:val="20"/>
              </w:rPr>
              <w:t xml:space="preserve">Static port confirmed for firewall rule continuity.</w:t>
            </w:r>
          </w:p>
        </w:tc>
      </w:tr>
      <w:tr>
        <w:tc>
          <w:tcPr>
            <w:tcW w:type="dxa" w:w="2200"/>
            <w:tcMar>
              <w:top w:type="dxa" w:w="80"/>
              <w:left w:type="dxa" w:w="100"/>
              <w:bottom w:type="dxa" w:w="80"/>
              <w:right w:type="dxa" w:w="100"/>
            </w:tcMar>
          </w:tcPr>
          <w:p>
            <w:r>
              <w:rPr>
                <w:sz w:val="20"/>
                <w:szCs w:val="20"/>
              </w:rPr>
              <w:t xml:space="preserve">TempDB Config</w:t>
            </w:r>
          </w:p>
        </w:tc>
        <w:tc>
          <w:tcPr>
            <w:tcW w:type="dxa" w:w="4200"/>
            <w:tcMar>
              <w:top w:type="dxa" w:w="80"/>
              <w:left w:type="dxa" w:w="100"/>
              <w:bottom w:type="dxa" w:w="80"/>
              <w:right w:type="dxa" w:w="100"/>
            </w:tcMar>
          </w:tcPr>
          <w:p>
            <w:r>
              <w:rPr>
                <w:sz w:val="20"/>
                <w:szCs w:val="20"/>
              </w:rPr>
              <w:t xml:space="preserve">`SELECT name, physical_name, size FROM tempdb.sys.database_files;`</w:t>
            </w:r>
          </w:p>
        </w:tc>
        <w:tc>
          <w:tcPr>
            <w:tcW w:type="dxa" w:w="3600"/>
            <w:tcMar>
              <w:top w:type="dxa" w:w="80"/>
              <w:left w:type="dxa" w:w="100"/>
              <w:bottom w:type="dxa" w:w="80"/>
              <w:right w:type="dxa" w:w="100"/>
            </w:tcMar>
          </w:tcPr>
          <w:p>
            <w:r>
              <w:rPr>
                <w:sz w:val="20"/>
                <w:szCs w:val="20"/>
              </w:rPr>
              <w:t xml:space="preserve">Documented; SQL 2022 setup recommends tempdb file count based on logical CPUs.</w:t>
            </w:r>
          </w:p>
        </w:tc>
      </w:tr>
      <w:tr>
        <w:tc>
          <w:tcPr>
            <w:tcW w:type="dxa" w:w="2200"/>
            <w:shd w:fill="F2F2F2" w:val="clear"/>
            <w:tcMar>
              <w:top w:type="dxa" w:w="80"/>
              <w:left w:type="dxa" w:w="100"/>
              <w:bottom w:type="dxa" w:w="80"/>
              <w:right w:type="dxa" w:w="100"/>
            </w:tcMar>
          </w:tcPr>
          <w:p>
            <w:r>
              <w:rPr>
                <w:sz w:val="20"/>
                <w:szCs w:val="20"/>
              </w:rPr>
              <w:t xml:space="preserve">Instant File Initialization</w:t>
            </w:r>
          </w:p>
        </w:tc>
        <w:tc>
          <w:tcPr>
            <w:tcW w:type="dxa" w:w="4200"/>
            <w:shd w:fill="F2F2F2" w:val="clear"/>
            <w:tcMar>
              <w:top w:type="dxa" w:w="80"/>
              <w:left w:type="dxa" w:w="100"/>
              <w:bottom w:type="dxa" w:w="80"/>
              <w:right w:type="dxa" w:w="100"/>
            </w:tcMar>
          </w:tcPr>
          <w:p>
            <w:r>
              <w:rPr>
                <w:sz w:val="20"/>
                <w:szCs w:val="20"/>
              </w:rPr>
              <w:t xml:space="preserve">`SELECT instant_file_initialization_enabled FROM sys.dm_server_services;`</w:t>
            </w:r>
          </w:p>
        </w:tc>
        <w:tc>
          <w:tcPr>
            <w:tcW w:type="dxa" w:w="3600"/>
            <w:shd w:fill="F2F2F2" w:val="clear"/>
            <w:tcMar>
              <w:top w:type="dxa" w:w="80"/>
              <w:left w:type="dxa" w:w="100"/>
              <w:bottom w:type="dxa" w:w="80"/>
              <w:right w:type="dxa" w:w="100"/>
            </w:tcMar>
          </w:tcPr>
          <w:p>
            <w:r>
              <w:rPr>
                <w:sz w:val="20"/>
                <w:szCs w:val="20"/>
              </w:rPr>
              <w:t xml:space="preserve">Documented; recommend enabling if not already (reduces data file growth time).</w:t>
            </w:r>
          </w:p>
        </w:tc>
      </w:tr>
      <w:tr>
        <w:tc>
          <w:tcPr>
            <w:tcW w:type="dxa" w:w="2200"/>
            <w:tcMar>
              <w:top w:type="dxa" w:w="80"/>
              <w:left w:type="dxa" w:w="100"/>
              <w:bottom w:type="dxa" w:w="80"/>
              <w:right w:type="dxa" w:w="100"/>
            </w:tcMar>
          </w:tcPr>
          <w:p>
            <w:r>
              <w:rPr>
                <w:sz w:val="20"/>
                <w:szCs w:val="20"/>
              </w:rPr>
              <w:t xml:space="preserve">Power Plan (OS)</w:t>
            </w:r>
          </w:p>
        </w:tc>
        <w:tc>
          <w:tcPr>
            <w:tcW w:type="dxa" w:w="4200"/>
            <w:tcMar>
              <w:top w:type="dxa" w:w="80"/>
              <w:left w:type="dxa" w:w="100"/>
              <w:bottom w:type="dxa" w:w="80"/>
              <w:right w:type="dxa" w:w="100"/>
            </w:tcMar>
          </w:tcPr>
          <w:p>
            <w:r>
              <w:rPr>
                <w:sz w:val="20"/>
                <w:szCs w:val="20"/>
              </w:rPr>
              <w:t xml:space="preserve">`powercfg /getactivescheme` (OS-level)</w:t>
            </w:r>
          </w:p>
        </w:tc>
        <w:tc>
          <w:tcPr>
            <w:tcW w:type="dxa" w:w="3600"/>
            <w:tcMar>
              <w:top w:type="dxa" w:w="80"/>
              <w:left w:type="dxa" w:w="100"/>
              <w:bottom w:type="dxa" w:w="80"/>
              <w:right w:type="dxa" w:w="100"/>
            </w:tcMar>
          </w:tcPr>
          <w:p>
            <w:r>
              <w:rPr>
                <w:sz w:val="20"/>
                <w:szCs w:val="20"/>
              </w:rPr>
              <w:t xml:space="preserve">High Performance plan active — SQL Server performance dependency.</w:t>
            </w:r>
          </w:p>
        </w:tc>
      </w:tr>
      <w:tr>
        <w:tc>
          <w:tcPr>
            <w:tcW w:type="dxa" w:w="2200"/>
            <w:shd w:fill="F2F2F2" w:val="clear"/>
            <w:tcMar>
              <w:top w:type="dxa" w:w="80"/>
              <w:left w:type="dxa" w:w="100"/>
              <w:bottom w:type="dxa" w:w="80"/>
              <w:right w:type="dxa" w:w="100"/>
            </w:tcMar>
          </w:tcPr>
          <w:p>
            <w:r>
              <w:rPr>
                <w:sz w:val="20"/>
                <w:szCs w:val="20"/>
              </w:rPr>
              <w:t xml:space="preserve">Storage Performance</w:t>
            </w:r>
          </w:p>
        </w:tc>
        <w:tc>
          <w:tcPr>
            <w:tcW w:type="dxa" w:w="4200"/>
            <w:shd w:fill="F2F2F2" w:val="clear"/>
            <w:tcMar>
              <w:top w:type="dxa" w:w="80"/>
              <w:left w:type="dxa" w:w="100"/>
              <w:bottom w:type="dxa" w:w="80"/>
              <w:right w:type="dxa" w:w="100"/>
            </w:tcMar>
          </w:tcPr>
          <w:p>
            <w:r>
              <w:rPr>
                <w:sz w:val="20"/>
                <w:szCs w:val="20"/>
              </w:rPr>
              <w:t xml:space="preserve">`SELECT * FROM sys.dm_io_virtual_file_stats(NULL, NULL);`</w:t>
            </w:r>
          </w:p>
        </w:tc>
        <w:tc>
          <w:tcPr>
            <w:tcW w:type="dxa" w:w="3600"/>
            <w:shd w:fill="F2F2F2" w:val="clear"/>
            <w:tcMar>
              <w:top w:type="dxa" w:w="80"/>
              <w:left w:type="dxa" w:w="100"/>
              <w:bottom w:type="dxa" w:w="80"/>
              <w:right w:type="dxa" w:w="100"/>
            </w:tcMar>
          </w:tcPr>
          <w:p>
            <w:r>
              <w:rPr>
                <w:sz w:val="20"/>
                <w:szCs w:val="20"/>
              </w:rPr>
              <w:t xml:space="preserve">Baseline I/O latency captured for post-upgrade comparison.</w:t>
            </w:r>
          </w:p>
        </w:tc>
      </w:tr>
    </w:tbl>
    <w:p>
      <w:pPr>
        <w:spacing w:after="120"/>
      </w:pP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`DBCC CHECKDB` must complete with zero allocation or consistency errors before proceeding. If errors are found, halt the change, engage the DBA lead, and remediate (restore from a known-good backup or run targeted repair) before rescheduling — do not attempt the upgrade against a database with unresolved corruption.</w:t>
            </w:r>
          </w:p>
        </w:tc>
      </w:tr>
    </w:tbl>
    <w:p>
      <w:r>
        <w:br w:type="page"/>
      </w:r>
    </w:p>
    <w:p>
      <w:pPr>
        <w:pStyle w:val="Heading1"/>
        <w:spacing w:after="200" w:before="400"/>
      </w:pPr>
      <w:r>
        <w:t xml:space="preserve">SQL Backup Strategy</w:t>
      </w:r>
    </w:p>
    <w:p>
      <w:pPr>
        <w:pStyle w:val="Heading2"/>
        <w:spacing w:after="150" w:before="300"/>
      </w:pPr>
      <w:r>
        <w:t xml:space="preserve">Full, Differential, and Transaction Log Backups</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BACKUP DATABASE [&lt;DatabaseName&gt;] TO DISK = 'E:\Backups\&lt;DatabaseName&gt;_Full_PreUpgrade.bak' WITH COMPRESSION, CHECKSUM, STATS = 10;
BACKUP LOG [&lt;DatabaseName&gt;] TO DISK = 'E:\Backups\&lt;DatabaseName&gt;_Log_PreUpgrade.trn' WITH COMPRESSION, CHECKSUM;</w:t>
      </w:r>
    </w:p>
    <w:p>
      <w:pPr>
        <w:pStyle w:val="Heading2"/>
        <w:spacing w:after="150" w:before="300"/>
      </w:pPr>
      <w:r>
        <w:t xml:space="preserve">System Databases</w:t>
      </w:r>
    </w:p>
    <w:p>
      <w:pPr>
        <w:spacing w:after="150"/>
      </w:pPr>
      <w:r>
        <w:t xml:space="preserve">Back up master, model, and msdb in addition to user databases — these hold logins, jobs, and configuration required for a full instance rollback.</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BACKUP DATABASE master TO DISK = 'E:\Backups\master_PreUpgrade.bak' WITH CHECKSUM;
BACKUP DATABASE model TO DISK = 'E:\Backups\model_PreUpgrade.bak' WITH CHECKSUM;
BACKUP DATABASE msdb TO DISK = 'E:\Backups\msdb_PreUpgrade.bak' WITH CHECKSUM;</w:t>
      </w:r>
    </w:p>
    <w:p>
      <w:pPr>
        <w:pStyle w:val="Heading2"/>
        <w:spacing w:after="150" w:before="300"/>
      </w:pPr>
      <w:r>
        <w:t xml:space="preserve">Certificates and Keys</w:t>
      </w:r>
    </w:p>
    <w:p>
      <w:pPr>
        <w:spacing w:after="150"/>
      </w:pPr>
      <w:r>
        <w:t xml:space="preserve">Back up the Service Master Key, Database Master Keys, and any TDE or column-level encryption certificates. Losing these makes encrypted data unrecoverable even with a valid database backup.</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BACKUP SERVICE MASTER KEY TO FILE = 'E:\Backups\Keys\SMK.key' ENCRYPTION BY PASSWORD = '&lt;StrongPassword&gt;';
BACKUP CERTIFICATE &lt;TDECertName&gt; TO FILE = 'E:\Backups\Keys\TDECert.cer'
  WITH PRIVATE KEY (FILE = 'E:\Backups\Keys\TDECert.pvk', ENCRYPTION BY PASSWORD = '&lt;StrongPassword&gt;');</w:t>
      </w:r>
    </w:p>
    <w:p>
      <w:pPr>
        <w:pStyle w:val="Heading2"/>
        <w:spacing w:after="150" w:before="300"/>
      </w:pPr>
      <w:r>
        <w:t xml:space="preserve">SQL Agent Jobs, SSIS Packages, and Linked Servers</w:t>
      </w:r>
    </w:p>
    <w:p>
      <w:pPr>
        <w:pStyle w:val="ListParagraph"/>
        <w:numPr>
          <w:ilvl w:val="0"/>
          <w:numId w:val="2"/>
        </w:numPr>
        <w:spacing w:after="60"/>
      </w:pPr>
      <w:r>
        <w:t xml:space="preserve">Script all SQL Agent jobs via SSMS 'Generate Scripts' or `msdb` backup, in addition to the msdb system database backup.</w:t>
      </w:r>
    </w:p>
    <w:p>
      <w:pPr>
        <w:pStyle w:val="ListParagraph"/>
        <w:numPr>
          <w:ilvl w:val="0"/>
          <w:numId w:val="2"/>
        </w:numPr>
        <w:spacing w:after="60"/>
      </w:pPr>
      <w:r>
        <w:t xml:space="preserve">Export SSIS Catalog (SSISDB) via a full database backup, and export individual package versions if not catalog-deployed.</w:t>
      </w:r>
    </w:p>
    <w:p>
      <w:pPr>
        <w:pStyle w:val="ListParagraph"/>
        <w:numPr>
          <w:ilvl w:val="0"/>
          <w:numId w:val="2"/>
        </w:numPr>
        <w:spacing w:after="60"/>
      </w:pPr>
      <w:r>
        <w:t xml:space="preserve">Script linked server definitions via `sp_helplinkedsrvlogin` and SSMS scripting for rapid recreation if needed.</w:t>
      </w:r>
    </w:p>
    <w:p>
      <w:pPr>
        <w:pStyle w:val="Heading2"/>
        <w:spacing w:after="150" w:before="300"/>
      </w:pPr>
      <w:r>
        <w:t xml:space="preserve">Login SID Capture</w:t>
      </w:r>
    </w:p>
    <w:p>
      <w:pPr>
        <w:spacing w:after="150"/>
      </w:pPr>
      <w:r>
        <w:t xml:space="preserve">Capture SQL login SIDs so that logins can be correctly remapped to database users after a restore, avoiding orphaned users.</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SELECT sp.name, sp.SID FROM sys.server_principals sp WHERE sp.type IN ('S','U');</w:t>
      </w:r>
    </w:p>
    <w:p>
      <w:pPr>
        <w:pStyle w:val="Heading2"/>
        <w:spacing w:after="150" w:before="300"/>
      </w:pPr>
      <w:r>
        <w:t xml:space="preserve">Server Configuration Export</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EXEC sp_configure; -- capture full output
SELECT * FROM sys.configurations;</w:t>
      </w:r>
    </w:p>
    <w:p>
      <w:pPr>
        <w:pStyle w:val="Heading2"/>
        <w:spacing w:after="150" w:before="300"/>
      </w:pPr>
      <w:r>
        <w:t xml:space="preserve">Backup Validation and Restore Test</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RESTORE VERIFYONLY FROM DISK = 'E:\Backups\&lt;DatabaseName&gt;_Full_PreUpgrade.bak';</w:t>
      </w:r>
    </w:p>
    <w:p>
      <w:pPr>
        <w:spacing w:after="150"/>
      </w:pPr>
      <w:r>
        <w:t xml:space="preserve">In addition to VERIFYONLY, perform an actual restore of at least one representative production database to a non-production instance to confirm the backup chain is genuinely restorable, not just structurally valid.</w:t>
      </w:r>
    </w:p>
    <w:p>
      <w:r>
        <w:br w:type="page"/>
      </w:r>
    </w:p>
    <w:p>
      <w:pPr>
        <w:pStyle w:val="Heading1"/>
        <w:spacing w:after="200" w:before="400"/>
      </w:pPr>
      <w:r>
        <w:t xml:space="preserve">SQL Upgrade Procedure</w:t>
      </w:r>
    </w:p>
    <w:tbl>
      <w:tblPr>
        <w:tblW w:type="pct" w:w="100%"/>
        <w:tblBorders>
          <w:top w:val="single" w:color="B7950B" w:sz="6"/>
          <w:left w:val="single" w:color="B7950B" w:sz="6"/>
          <w:bottom w:val="single" w:color="B7950B" w:sz="6"/>
          <w:right w:val="single" w:color="B7950B" w:sz="6"/>
          <w:insideH w:val="none" w:color="FFFFFF" w:sz="0"/>
          <w:insideV w:val="none" w:color="FFFFFF" w:sz="0"/>
        </w:tblBorders>
      </w:tblPr>
      <w:tblGrid>
        <w:gridCol w:w="100"/>
      </w:tblGrid>
      <w:tr>
        <w:tc>
          <w:tcPr>
            <w:shd w:fill="FFF4D6" w:val="clear"/>
            <w:tcMar>
              <w:top w:type="dxa" w:w="100"/>
              <w:left w:type="dxa" w:w="150"/>
              <w:bottom w:type="dxa" w:w="100"/>
              <w:right w:type="dxa" w:w="150"/>
            </w:tcMar>
          </w:tcPr>
          <w:p>
            <w:r>
              <w:rPr>
                <w:b/>
                <w:bCs/>
                <w:color w:val="B7950B"/>
              </w:rPr>
              <w:t xml:space="preserve">IMPORTANT</w:t>
            </w:r>
          </w:p>
          <w:p>
            <w:r>
              <w:t xml:space="preserve">If SQL Server is in an AlwaysOn Availability Group, upgrade secondary replicas first, one at a time, validating health after each before upgrading the primary. If in a Failover Cluster Instance (FCI), upgrade passive nodes first.</w:t>
            </w:r>
          </w:p>
        </w:tc>
      </w:tr>
    </w:tbl>
    <w:p>
      <w:pPr>
        <w:pStyle w:val="Heading3"/>
        <w:spacing w:after="100" w:before="200"/>
      </w:pPr>
      <w:r>
        <w:t xml:space="preserve">Step 1: Suspend log shipping / AG data movement (if applicable)</w:t>
      </w:r>
    </w:p>
    <w:p>
      <w:pPr>
        <w:spacing w:after="150"/>
      </w:pPr>
      <w:r>
        <w:t xml:space="preserve">Purpose: Prevent data-movement errors while the instance is offline for setup.</w:t>
      </w:r>
    </w:p>
    <w:p>
      <w:pPr>
        <w:spacing w:after="150"/>
      </w:pPr>
      <w:r>
        <w:t xml:space="preserve">Estimated Duration: 5 minutes</w:t>
      </w:r>
    </w:p>
    <w:p>
      <w:pPr>
        <w:spacing w:after="150"/>
      </w:pPr>
      <w:r>
        <w:t xml:space="preserve">Potential Risks: Low</w:t>
      </w:r>
    </w:p>
    <w:p>
      <w:pPr>
        <w:spacing w:after="150"/>
      </w:pPr>
      <w:r>
        <w:t xml:space="preserve">Rollback Point: Resume data movement if the change is aborted before Step 5.</w:t>
      </w:r>
    </w:p>
    <w:p>
      <w:pPr>
        <w:spacing w:after="150"/>
      </w:pPr>
      <w:r>
        <w:t xml:space="preserve">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ALTER AVAILABILITY GROUP [&lt;AGName&gt;] MODIFY REPLICA ON N'&lt;ReplicaName&gt;' WITH (SESSION_TIMEOUT = 30);
-- On the replica being upgraded, suspend data movement per-database if required:
ALTER DATABASE [&lt;DatabaseName&gt;] SET HADR SUSPEND;</w:t>
      </w:r>
    </w:p>
    <w:p>
      <w:pPr>
        <w:spacing w:after="120"/>
      </w:pPr>
    </w:p>
    <w:p>
      <w:pPr>
        <w:pStyle w:val="Heading3"/>
        <w:spacing w:after="100" w:before="200"/>
      </w:pPr>
      <w:r>
        <w:t xml:space="preserve">Step 2: Launch SQL Server Installation Center</w:t>
      </w:r>
    </w:p>
    <w:p>
      <w:pPr>
        <w:spacing w:after="150"/>
      </w:pPr>
      <w:r>
        <w:t xml:space="preserve">Purpose: Start the SQL Server 2022 setup media and select the Upgrade option.</w:t>
      </w:r>
    </w:p>
    <w:p>
      <w:pPr>
        <w:spacing w:after="150"/>
      </w:pPr>
      <w:r>
        <w:t xml:space="preserve">Estimated Duration: 5 minutes</w:t>
      </w:r>
    </w:p>
    <w:p>
      <w:pPr>
        <w:spacing w:after="150"/>
      </w:pPr>
      <w:r>
        <w:t xml:space="preserve">Potential Risks: Low</w:t>
      </w:r>
    </w:p>
    <w:p>
      <w:pPr>
        <w:spacing w:after="150"/>
      </w:pPr>
      <w:r>
        <w:t xml:space="preserve">Rollback Point: Cancel setup; no changes made yet.</w:t>
      </w:r>
    </w:p>
    <w:p>
      <w:pPr>
        <w:spacing w:after="150"/>
      </w:pPr>
      <w:r>
        <w:t xml:space="preserve">GUI Navigation:</w:t>
      </w:r>
    </w:p>
    <w:p>
      <w:pPr>
        <w:pStyle w:val="ListParagraph"/>
        <w:numPr>
          <w:ilvl w:val="0"/>
          <w:numId w:val="2"/>
        </w:numPr>
        <w:spacing w:after="60"/>
      </w:pPr>
      <w:r>
        <w:t xml:space="preserve">Mount SQL Server 2022 ISO → run setup.exe → Installation → 'Upgrade from a previous version of SQL Server'.</w:t>
      </w:r>
    </w:p>
    <w:p>
      <w:pPr>
        <w:spacing w:after="150"/>
      </w:pPr>
      <w:r>
        <w:rPr>
          <w:i/>
          <w:iCs/>
        </w:rPr>
        <w:t xml:space="preserve">Figure Reference: Figure 11 — SQL Server Installation Center, Installation tab.</w:t>
      </w:r>
    </w:p>
    <w:p>
      <w:pPr>
        <w:spacing w:after="120"/>
      </w:pPr>
    </w:p>
    <w:p>
      <w:pPr>
        <w:pStyle w:val="Heading3"/>
        <w:spacing w:after="100" w:before="200"/>
      </w:pPr>
      <w:r>
        <w:t xml:space="preserve">Step 3: Setup Support Rules and Feature Rules</w:t>
      </w:r>
    </w:p>
    <w:p>
      <w:pPr>
        <w:spacing w:after="150"/>
      </w:pPr>
      <w:r>
        <w:t xml:space="preserve">Purpose: Setup runs automated checks for OS compatibility, prior installations, and known blocking conditions.</w:t>
      </w:r>
    </w:p>
    <w:p>
      <w:pPr>
        <w:spacing w:after="150"/>
      </w:pPr>
      <w:r>
        <w:t xml:space="preserve">Estimated Duration: 5–10 minutes</w:t>
      </w:r>
    </w:p>
    <w:p>
      <w:pPr>
        <w:spacing w:after="150"/>
      </w:pPr>
      <w:r>
        <w:t xml:space="preserve">Potential Risks: Medium — failed rules block progress until remediated.</w:t>
      </w:r>
    </w:p>
    <w:p>
      <w:pPr>
        <w:spacing w:after="150"/>
      </w:pPr>
      <w:r>
        <w:t xml:space="preserve">Rollback Point: Cancel setup; no changes committed.</w:t>
      </w:r>
    </w:p>
    <w:p>
      <w:pPr>
        <w:spacing w:after="150"/>
      </w:pPr>
      <w:r>
        <w:t xml:space="preserve">Expected Output: All rules show Passed, or Warning with a documented, accepted reason.</w:t>
      </w:r>
    </w:p>
    <w:p>
      <w:pPr>
        <w:spacing w:after="150"/>
      </w:pPr>
      <w:r>
        <w:rPr>
          <w:i/>
          <w:iCs/>
        </w:rPr>
        <w:t xml:space="preserve">Figure Reference: Figure 12 — Setup Support Rules results grid. Figure 13 — Feature Rules results grid.</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Do not proceed past a Failed rule. Common failures include insufficient disk space, pending reboot, or an unsupported instance mixing edition/version combination.</w:t>
            </w:r>
          </w:p>
        </w:tc>
      </w:tr>
    </w:tbl>
    <w:p>
      <w:pPr>
        <w:spacing w:after="120"/>
      </w:pPr>
    </w:p>
    <w:p>
      <w:pPr>
        <w:pStyle w:val="Heading3"/>
        <w:spacing w:after="100" w:before="200"/>
      </w:pPr>
      <w:r>
        <w:t xml:space="preserve">Step 4: Product key and license terms</w:t>
      </w:r>
    </w:p>
    <w:p>
      <w:pPr>
        <w:spacing w:after="150"/>
      </w:pPr>
      <w:r>
        <w:t xml:space="preserve">Purpose: Enter the validated SQL Server 2022 product key (or select the correct edition for volume-license/KMS activation) and accept license terms.</w:t>
      </w:r>
    </w:p>
    <w:p>
      <w:pPr>
        <w:spacing w:after="150"/>
      </w:pPr>
      <w:r>
        <w:t xml:space="preserve">Estimated Duration: 5 minutes</w:t>
      </w:r>
    </w:p>
    <w:p>
      <w:pPr>
        <w:spacing w:after="150"/>
      </w:pPr>
      <w:r>
        <w:t xml:space="preserve">Potential Risks: Low</w:t>
      </w:r>
    </w:p>
    <w:p>
      <w:pPr>
        <w:spacing w:after="150"/>
      </w:pPr>
      <w:r>
        <w:t xml:space="preserve">Rollback Point: Cancel setup.</w:t>
      </w:r>
    </w:p>
    <w:p>
      <w:pPr>
        <w:spacing w:after="150"/>
      </w:pPr>
      <w:r>
        <w:rPr>
          <w:i/>
          <w:iCs/>
        </w:rPr>
        <w:t xml:space="preserve">Figure Reference: Figure 14 — Product Key entry screen.</w:t>
      </w:r>
    </w:p>
    <w:p>
      <w:pPr>
        <w:spacing w:after="120"/>
      </w:pPr>
    </w:p>
    <w:p>
      <w:pPr>
        <w:pStyle w:val="Heading3"/>
        <w:spacing w:after="100" w:before="200"/>
      </w:pPr>
      <w:r>
        <w:t xml:space="preserve">Step 5: Select instance to upgrade</w:t>
      </w:r>
    </w:p>
    <w:p>
      <w:pPr>
        <w:spacing w:after="150"/>
      </w:pPr>
      <w:r>
        <w:t xml:space="preserve">Purpose: Choose the specific default or named instance to upgrade; each instance on a multi-instance host is upgraded in a separate setup run.</w:t>
      </w:r>
    </w:p>
    <w:p>
      <w:pPr>
        <w:spacing w:after="150"/>
      </w:pPr>
      <w:r>
        <w:t xml:space="preserve">Estimated Duration: 5 minutes</w:t>
      </w:r>
    </w:p>
    <w:p>
      <w:pPr>
        <w:spacing w:after="150"/>
      </w:pPr>
      <w:r>
        <w:t xml:space="preserve">Potential Risks: Medium — selecting the wrong instance on a multi-instance host causes unplanned downtime to unrelated workloads.</w:t>
      </w:r>
    </w:p>
    <w:p>
      <w:pPr>
        <w:spacing w:after="150"/>
      </w:pPr>
      <w:r>
        <w:t xml:space="preserve">Rollback Point: Cancel setup before confirming instance selection.</w:t>
      </w:r>
    </w:p>
    <w:p>
      <w:pPr>
        <w:spacing w:after="150"/>
      </w:pPr>
      <w:r>
        <w:rPr>
          <w:i/>
          <w:iCs/>
        </w:rPr>
        <w:t xml:space="preserve">Figure Reference: Figure 15 — Select Instance screen; confirm the instance name matches the change record exactly before continuing.</w:t>
      </w:r>
    </w:p>
    <w:p>
      <w:pPr>
        <w:spacing w:after="120"/>
      </w:pPr>
    </w:p>
    <w:p>
      <w:pPr>
        <w:pStyle w:val="Heading3"/>
        <w:spacing w:after="100" w:before="200"/>
      </w:pPr>
      <w:r>
        <w:t xml:space="preserve">Step 6: Feature selection confirmation</w:t>
      </w:r>
    </w:p>
    <w:p>
      <w:pPr>
        <w:spacing w:after="150"/>
      </w:pPr>
      <w:r>
        <w:t xml:space="preserve">Purpose: Setup automatically carries forward previously installed features (Database Engine, SSAS, full-text search, etc.); review and confirm.</w:t>
      </w:r>
    </w:p>
    <w:p>
      <w:pPr>
        <w:spacing w:after="150"/>
      </w:pPr>
      <w:r>
        <w:t xml:space="preserve">Estimated Duration: 5 minutes</w:t>
      </w:r>
    </w:p>
    <w:p>
      <w:pPr>
        <w:spacing w:after="150"/>
      </w:pPr>
      <w:r>
        <w:t xml:space="preserve">Potential Risks: Low</w:t>
      </w:r>
    </w:p>
    <w:p>
      <w:pPr>
        <w:spacing w:after="150"/>
      </w:pPr>
      <w:r>
        <w:t xml:space="preserve">Rollback Point: Cancel setup.</w:t>
      </w:r>
    </w:p>
    <w:p>
      <w:pPr>
        <w:spacing w:after="150"/>
      </w:pPr>
      <w:r>
        <w:rPr>
          <w:i/>
          <w:iCs/>
        </w:rPr>
        <w:t xml:space="preserve">Figure Reference: Figure 16 — Select Features screen showing carried-forward feature set.</w:t>
      </w:r>
    </w:p>
    <w:p>
      <w:pPr>
        <w:spacing w:after="120"/>
      </w:pPr>
    </w:p>
    <w:p>
      <w:pPr>
        <w:pStyle w:val="Heading3"/>
        <w:spacing w:after="100" w:before="200"/>
      </w:pPr>
      <w:r>
        <w:t xml:space="preserve">Step 7: Upgrade Rules check</w:t>
      </w:r>
    </w:p>
    <w:p>
      <w:pPr>
        <w:spacing w:after="150"/>
      </w:pPr>
      <w:r>
        <w:t xml:space="preserve">Purpose: Final automated validation specific to the upgrade path (e.g., checks for deprecated features in use, replication state, AG state).</w:t>
      </w:r>
    </w:p>
    <w:p>
      <w:pPr>
        <w:spacing w:after="150"/>
      </w:pPr>
      <w:r>
        <w:t xml:space="preserve">Estimated Duration: 5–10 minutes</w:t>
      </w:r>
    </w:p>
    <w:p>
      <w:pPr>
        <w:spacing w:after="150"/>
      </w:pPr>
      <w:r>
        <w:t xml:space="preserve">Potential Risks: Medium</w:t>
      </w:r>
    </w:p>
    <w:p>
      <w:pPr>
        <w:spacing w:after="150"/>
      </w:pPr>
      <w:r>
        <w:t xml:space="preserve">Rollback Point: Cancel setup; no changes committed.</w:t>
      </w:r>
    </w:p>
    <w:p>
      <w:pPr>
        <w:spacing w:after="150"/>
      </w:pPr>
      <w:r>
        <w:t xml:space="preserve">Expected Output: All rules Passed or accepted Warning.</w:t>
      </w:r>
    </w:p>
    <w:p>
      <w:pPr>
        <w:spacing w:after="150"/>
      </w:pPr>
      <w:r>
        <w:rPr>
          <w:i/>
          <w:iCs/>
        </w:rPr>
        <w:t xml:space="preserve">Figure Reference: Figure 17 — Upgrade Rules results grid.</w:t>
      </w:r>
    </w:p>
    <w:p>
      <w:pPr>
        <w:spacing w:after="120"/>
      </w:pPr>
    </w:p>
    <w:p>
      <w:pPr>
        <w:pStyle w:val="Heading3"/>
        <w:spacing w:after="100" w:before="200"/>
      </w:pPr>
      <w:r>
        <w:t xml:space="preserve">Step 8: Ready to Upgrade summary review</w:t>
      </w:r>
    </w:p>
    <w:p>
      <w:pPr>
        <w:spacing w:after="150"/>
      </w:pPr>
      <w:r>
        <w:t xml:space="preserve">Purpose: Final human checkpoint before setup begins writing changes — this is the last point at which the change can be cancelled with zero impact.</w:t>
      </w:r>
    </w:p>
    <w:p>
      <w:pPr>
        <w:spacing w:after="150"/>
      </w:pPr>
      <w:r>
        <w:t xml:space="preserve">Estimated Duration: 5 minutes</w:t>
      </w:r>
    </w:p>
    <w:p>
      <w:pPr>
        <w:spacing w:after="150"/>
      </w:pPr>
      <w:r>
        <w:t xml:space="preserve">Potential Risks: Low</w:t>
      </w:r>
    </w:p>
    <w:p>
      <w:pPr>
        <w:spacing w:after="150"/>
      </w:pPr>
      <w:r>
        <w:t xml:space="preserve">Rollback Point: Cancel setup — last no-impact rollback point.</w:t>
      </w:r>
    </w:p>
    <w:p>
      <w:pPr>
        <w:spacing w:after="150"/>
      </w:pPr>
      <w:r>
        <w:rPr>
          <w:i/>
          <w:iCs/>
        </w:rPr>
        <w:t xml:space="preserve">Figure Reference: Figure 18 — Ready to Upgrade summary; verify instance name, features, and edition one final time against the change record.</w:t>
      </w:r>
    </w:p>
    <w:p>
      <w:pPr>
        <w:spacing w:after="120"/>
      </w:pPr>
    </w:p>
    <w:p>
      <w:pPr>
        <w:pStyle w:val="Heading3"/>
        <w:spacing w:after="100" w:before="200"/>
      </w:pPr>
      <w:r>
        <w:t xml:space="preserve">Step 9: Execute the upgrade</w:t>
      </w:r>
    </w:p>
    <w:p>
      <w:pPr>
        <w:spacing w:after="150"/>
      </w:pPr>
      <w:r>
        <w:t xml:space="preserve">Purpose: Commit to the upgrade; setup stops SQL services, upgrades system databases, and restarts the instance.</w:t>
      </w:r>
    </w:p>
    <w:p>
      <w:pPr>
        <w:spacing w:after="150"/>
      </w:pPr>
      <w:r>
        <w:t xml:space="preserve">Estimated Duration: 20–90 minutes depending on database count/size and feature set</w:t>
      </w:r>
    </w:p>
    <w:p>
      <w:pPr>
        <w:spacing w:after="150"/>
      </w:pPr>
      <w:r>
        <w:t xml:space="preserve">Potential Risks: High — do not interrupt this phase; do not close the setup window or restart the VM.</w:t>
      </w:r>
    </w:p>
    <w:p>
      <w:pPr>
        <w:spacing w:after="150"/>
      </w:pPr>
      <w:r>
        <w:t xml:space="preserve">Rollback Point: SQL restore from Section 'SQL Backup Strategy', or VM snapshot revert if taken specifically before this step.</w:t>
      </w:r>
    </w:p>
    <w:p>
      <w:pPr>
        <w:spacing w:after="150"/>
      </w:pPr>
      <w:r>
        <w:t xml:space="preserve">Expected Output: Upgrade Progress screen reaches 100% and the Complete screen reports success for all selected features.</w:t>
      </w:r>
    </w:p>
    <w:p>
      <w:pPr>
        <w:spacing w:after="150"/>
      </w:pPr>
      <w:r>
        <w:rPr>
          <w:i/>
          <w:iCs/>
        </w:rPr>
        <w:t xml:space="preserve">Figure Reference: Figure 19 — Upgrade Progress screen. Figure 20 — Complete screen confirming successful installation.</w:t>
      </w:r>
    </w:p>
    <w:p>
      <w:pPr>
        <w:spacing w:after="120"/>
      </w:pPr>
    </w:p>
    <w:p>
      <w:pPr>
        <w:pStyle w:val="Heading3"/>
        <w:spacing w:after="100" w:before="200"/>
      </w:pPr>
      <w:r>
        <w:t xml:space="preserve">Step 10: Post-setup reboot (if prompted)</w:t>
      </w:r>
    </w:p>
    <w:p>
      <w:pPr>
        <w:spacing w:after="150"/>
      </w:pPr>
      <w:r>
        <w:t xml:space="preserve">Purpose: Some upgrades require a final OS-level reboot to complete file replacement operations.</w:t>
      </w:r>
    </w:p>
    <w:p>
      <w:pPr>
        <w:spacing w:after="150"/>
      </w:pPr>
      <w:r>
        <w:t xml:space="preserve">Estimated Duration: 5–10 minutes</w:t>
      </w:r>
    </w:p>
    <w:p>
      <w:pPr>
        <w:spacing w:after="150"/>
      </w:pPr>
      <w:r>
        <w:t xml:space="preserve">Potential Risks: Low</w:t>
      </w:r>
    </w:p>
    <w:p>
      <w:pPr>
        <w:spacing w:after="150"/>
      </w:pPr>
      <w:r>
        <w:t xml:space="preserve">Rollback Point: N/A — upgrade already committed at this point; proceed to validation.</w:t>
      </w:r>
    </w:p>
    <w:p>
      <w:pPr>
        <w:spacing w:after="150"/>
      </w:pPr>
      <w:r>
        <w:t xml:space="preserve">Expected Output: Server returns to a responsive state; SQL Server service set to start automatically.</w:t>
      </w:r>
    </w:p>
    <w:p>
      <w:pPr>
        <w:spacing w:after="120"/>
      </w:pPr>
    </w:p>
    <w:p>
      <w:pPr>
        <w:pStyle w:val="Heading3"/>
        <w:spacing w:after="100" w:before="200"/>
      </w:pPr>
      <w:r>
        <w:t xml:space="preserve">Step 11: Resume data movement / log shipping</w:t>
      </w:r>
    </w:p>
    <w:p>
      <w:pPr>
        <w:spacing w:after="150"/>
      </w:pPr>
      <w:r>
        <w:t xml:space="preserve">Purpose: Re-enable AlwaysOn data movement or log shipping suspended in Step 1, and confirm synchronization resumes.</w:t>
      </w:r>
    </w:p>
    <w:p>
      <w:pPr>
        <w:spacing w:after="150"/>
      </w:pPr>
      <w:r>
        <w:t xml:space="preserve">Estimated Duration: 10–15 minutes to confirm full sync</w:t>
      </w:r>
    </w:p>
    <w:p>
      <w:pPr>
        <w:spacing w:after="150"/>
      </w:pPr>
      <w:r>
        <w:t xml:space="preserve">Potential Risks: Medium — large log backlog can extend resync time.</w:t>
      </w:r>
    </w:p>
    <w:p>
      <w:pPr>
        <w:spacing w:after="150"/>
      </w:pPr>
      <w:r>
        <w:t xml:space="preserve">Rollback Point: N/A</w:t>
      </w:r>
    </w:p>
    <w:p>
      <w:pPr>
        <w:spacing w:after="150"/>
      </w:pPr>
      <w:r>
        <w:t xml:space="preserve">Command:</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ALTER DATABASE [&lt;DatabaseName&gt;] SET HADR RESUME;</w:t>
      </w:r>
    </w:p>
    <w:p>
      <w:pPr>
        <w:spacing w:after="150"/>
      </w:pPr>
      <w:r>
        <w:t xml:space="preserve">Expected Output: `sys.dm_hadr_database_replica_states` shows synchronization_state = SYNCHRONIZED.</w:t>
      </w:r>
    </w:p>
    <w:p>
      <w:pPr>
        <w:spacing w:after="120"/>
      </w:pPr>
    </w:p>
    <w:p>
      <w:r>
        <w:br w:type="page"/>
      </w:r>
    </w:p>
    <w:p>
      <w:pPr>
        <w:pStyle w:val="Heading1"/>
        <w:spacing w:after="200" w:before="400"/>
      </w:pPr>
      <w:r>
        <w:t xml:space="preserve">SQL Post Upgrade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4600"/>
            <w:shd w:fill="1F3864" w:val="clear"/>
            <w:tcMar>
              <w:top w:type="dxa" w:w="80"/>
              <w:left w:type="dxa" w:w="100"/>
              <w:bottom w:type="dxa" w:w="80"/>
              <w:right w:type="dxa" w:w="100"/>
            </w:tcMar>
            <w:vAlign w:val="center"/>
          </w:tcPr>
          <w:p>
            <w:r>
              <w:rPr>
                <w:b/>
                <w:bCs/>
                <w:color w:val="FFFFFF"/>
                <w:sz w:val="20"/>
                <w:szCs w:val="20"/>
              </w:rPr>
              <w:t xml:space="preserve">Detail</w:t>
            </w:r>
          </w:p>
        </w:tc>
        <w:tc>
          <w:tcPr>
            <w:tcW w:type="dxa" w:w="3200"/>
            <w:shd w:fill="1F3864" w:val="clear"/>
            <w:tcMar>
              <w:top w:type="dxa" w:w="80"/>
              <w:left w:type="dxa" w:w="100"/>
              <w:bottom w:type="dxa" w:w="80"/>
              <w:right w:type="dxa" w:w="100"/>
            </w:tcMar>
            <w:vAlign w:val="center"/>
          </w:tcPr>
          <w:p>
            <w:r>
              <w:rPr>
                <w:b/>
                <w:bCs/>
                <w:color w:val="FFFFFF"/>
                <w:sz w:val="20"/>
                <w:szCs w:val="20"/>
              </w:rPr>
              <w:t xml:space="preserve">Command / Method</w:t>
            </w:r>
          </w:p>
        </w:tc>
      </w:tr>
      <w:tr>
        <w:tc>
          <w:tcPr>
            <w:tcW w:type="dxa" w:w="2200"/>
            <w:tcMar>
              <w:top w:type="dxa" w:w="80"/>
              <w:left w:type="dxa" w:w="100"/>
              <w:bottom w:type="dxa" w:w="80"/>
              <w:right w:type="dxa" w:w="100"/>
            </w:tcMar>
          </w:tcPr>
          <w:p>
            <w:r>
              <w:rPr>
                <w:sz w:val="20"/>
                <w:szCs w:val="20"/>
              </w:rPr>
              <w:t xml:space="preserve">Compatibility Level</w:t>
            </w:r>
          </w:p>
        </w:tc>
        <w:tc>
          <w:tcPr>
            <w:tcW w:type="dxa" w:w="4600"/>
            <w:tcMar>
              <w:top w:type="dxa" w:w="80"/>
              <w:left w:type="dxa" w:w="100"/>
              <w:bottom w:type="dxa" w:w="80"/>
              <w:right w:type="dxa" w:w="100"/>
            </w:tcMar>
          </w:tcPr>
          <w:p>
            <w:r>
              <w:rPr>
                <w:sz w:val="20"/>
                <w:szCs w:val="20"/>
              </w:rPr>
              <w:t xml:space="preserve">Decide and document whether to raise database compatibility level to 160 (SQL Server 2022) immediately or defer; raising it changes query optimizer behavior and should be tested.</w:t>
            </w:r>
          </w:p>
        </w:tc>
        <w:tc>
          <w:tcPr>
            <w:tcW w:type="dxa" w:w="3200"/>
            <w:tcMar>
              <w:top w:type="dxa" w:w="80"/>
              <w:left w:type="dxa" w:w="100"/>
              <w:bottom w:type="dxa" w:w="80"/>
              <w:right w:type="dxa" w:w="100"/>
            </w:tcMar>
          </w:tcPr>
          <w:p>
            <w:r>
              <w:rPr>
                <w:sz w:val="20"/>
                <w:szCs w:val="20"/>
              </w:rPr>
              <w:t xml:space="preserve">`ALTER DATABASE [&lt;DB&gt;] SET COMPATIBILITY_LEVEL = 160;`</w:t>
            </w:r>
          </w:p>
        </w:tc>
      </w:tr>
      <w:tr>
        <w:tc>
          <w:tcPr>
            <w:tcW w:type="dxa" w:w="2200"/>
            <w:shd w:fill="F2F2F2" w:val="clear"/>
            <w:tcMar>
              <w:top w:type="dxa" w:w="80"/>
              <w:left w:type="dxa" w:w="100"/>
              <w:bottom w:type="dxa" w:w="80"/>
              <w:right w:type="dxa" w:w="100"/>
            </w:tcMar>
          </w:tcPr>
          <w:p>
            <w:r>
              <w:rPr>
                <w:sz w:val="20"/>
                <w:szCs w:val="20"/>
              </w:rPr>
              <w:t xml:space="preserve">Statistics Update</w:t>
            </w:r>
          </w:p>
        </w:tc>
        <w:tc>
          <w:tcPr>
            <w:tcW w:type="dxa" w:w="4600"/>
            <w:shd w:fill="F2F2F2" w:val="clear"/>
            <w:tcMar>
              <w:top w:type="dxa" w:w="80"/>
              <w:left w:type="dxa" w:w="100"/>
              <w:bottom w:type="dxa" w:w="80"/>
              <w:right w:type="dxa" w:w="100"/>
            </w:tcMar>
          </w:tcPr>
          <w:p>
            <w:r>
              <w:rPr>
                <w:sz w:val="20"/>
                <w:szCs w:val="20"/>
              </w:rPr>
              <w:t xml:space="preserve">Update statistics for all databases after upgrade to help the optimizer adapt to the new engine version.</w:t>
            </w:r>
          </w:p>
        </w:tc>
        <w:tc>
          <w:tcPr>
            <w:tcW w:type="dxa" w:w="3200"/>
            <w:shd w:fill="F2F2F2" w:val="clear"/>
            <w:tcMar>
              <w:top w:type="dxa" w:w="80"/>
              <w:left w:type="dxa" w:w="100"/>
              <w:bottom w:type="dxa" w:w="80"/>
              <w:right w:type="dxa" w:w="100"/>
            </w:tcMar>
          </w:tcPr>
          <w:p>
            <w:r>
              <w:rPr>
                <w:sz w:val="20"/>
                <w:szCs w:val="20"/>
              </w:rPr>
              <w:t xml:space="preserve">`EXEC sp_updatestats;` per database, or `UPDATE STATISTICS` per table for large databases.</w:t>
            </w:r>
          </w:p>
        </w:tc>
      </w:tr>
      <w:tr>
        <w:tc>
          <w:tcPr>
            <w:tcW w:type="dxa" w:w="2200"/>
            <w:tcMar>
              <w:top w:type="dxa" w:w="80"/>
              <w:left w:type="dxa" w:w="100"/>
              <w:bottom w:type="dxa" w:w="80"/>
              <w:right w:type="dxa" w:w="100"/>
            </w:tcMar>
          </w:tcPr>
          <w:p>
            <w:r>
              <w:rPr>
                <w:sz w:val="20"/>
                <w:szCs w:val="20"/>
              </w:rPr>
              <w:t xml:space="preserve">CHECKDB</w:t>
            </w:r>
          </w:p>
        </w:tc>
        <w:tc>
          <w:tcPr>
            <w:tcW w:type="dxa" w:w="4600"/>
            <w:tcMar>
              <w:top w:type="dxa" w:w="80"/>
              <w:left w:type="dxa" w:w="100"/>
              <w:bottom w:type="dxa" w:w="80"/>
              <w:right w:type="dxa" w:w="100"/>
            </w:tcMar>
          </w:tcPr>
          <w:p>
            <w:r>
              <w:rPr>
                <w:sz w:val="20"/>
                <w:szCs w:val="20"/>
              </w:rPr>
              <w:t xml:space="preserve">Re-run integrity check post-upgrade as a final confirmation.</w:t>
            </w:r>
          </w:p>
        </w:tc>
        <w:tc>
          <w:tcPr>
            <w:tcW w:type="dxa" w:w="3200"/>
            <w:tcMar>
              <w:top w:type="dxa" w:w="80"/>
              <w:left w:type="dxa" w:w="100"/>
              <w:bottom w:type="dxa" w:w="80"/>
              <w:right w:type="dxa" w:w="100"/>
            </w:tcMar>
          </w:tcPr>
          <w:p>
            <w:r>
              <w:rPr>
                <w:sz w:val="20"/>
                <w:szCs w:val="20"/>
              </w:rPr>
              <w:t xml:space="preserve">`DBCC CHECKDB WITH NO_INFOMSGS, ALL_ERRORMSGS;`</w:t>
            </w:r>
          </w:p>
        </w:tc>
      </w:tr>
      <w:tr>
        <w:tc>
          <w:tcPr>
            <w:tcW w:type="dxa" w:w="2200"/>
            <w:shd w:fill="F2F2F2" w:val="clear"/>
            <w:tcMar>
              <w:top w:type="dxa" w:w="80"/>
              <w:left w:type="dxa" w:w="100"/>
              <w:bottom w:type="dxa" w:w="80"/>
              <w:right w:type="dxa" w:w="100"/>
            </w:tcMar>
          </w:tcPr>
          <w:p>
            <w:r>
              <w:rPr>
                <w:sz w:val="20"/>
                <w:szCs w:val="20"/>
              </w:rPr>
              <w:t xml:space="preserve">Query Store</w:t>
            </w:r>
          </w:p>
        </w:tc>
        <w:tc>
          <w:tcPr>
            <w:tcW w:type="dxa" w:w="4600"/>
            <w:shd w:fill="F2F2F2" w:val="clear"/>
            <w:tcMar>
              <w:top w:type="dxa" w:w="80"/>
              <w:left w:type="dxa" w:w="100"/>
              <w:bottom w:type="dxa" w:w="80"/>
              <w:right w:type="dxa" w:w="100"/>
            </w:tcMar>
          </w:tcPr>
          <w:p>
            <w:r>
              <w:rPr>
                <w:sz w:val="20"/>
                <w:szCs w:val="20"/>
              </w:rPr>
              <w:t xml:space="preserve">Consider enabling Query Store if not already enabled — SQL Server 2022 introduces enhancements (e.g., Query Store hints) useful for post-upgrade performance monitoring.</w:t>
            </w:r>
          </w:p>
        </w:tc>
        <w:tc>
          <w:tcPr>
            <w:tcW w:type="dxa" w:w="3200"/>
            <w:shd w:fill="F2F2F2" w:val="clear"/>
            <w:tcMar>
              <w:top w:type="dxa" w:w="80"/>
              <w:left w:type="dxa" w:w="100"/>
              <w:bottom w:type="dxa" w:w="80"/>
              <w:right w:type="dxa" w:w="100"/>
            </w:tcMar>
          </w:tcPr>
          <w:p>
            <w:r>
              <w:rPr>
                <w:sz w:val="20"/>
                <w:szCs w:val="20"/>
              </w:rPr>
              <w:t xml:space="preserve">`ALTER DATABASE [&lt;DB&gt;] SET QUERY_STORE = ON;`</w:t>
            </w:r>
          </w:p>
        </w:tc>
      </w:tr>
      <w:tr>
        <w:tc>
          <w:tcPr>
            <w:tcW w:type="dxa" w:w="2200"/>
            <w:tcMar>
              <w:top w:type="dxa" w:w="80"/>
              <w:left w:type="dxa" w:w="100"/>
              <w:bottom w:type="dxa" w:w="80"/>
              <w:right w:type="dxa" w:w="100"/>
            </w:tcMar>
          </w:tcPr>
          <w:p>
            <w:r>
              <w:rPr>
                <w:sz w:val="20"/>
                <w:szCs w:val="20"/>
              </w:rPr>
              <w:t xml:space="preserve">SQL Agent</w:t>
            </w:r>
          </w:p>
        </w:tc>
        <w:tc>
          <w:tcPr>
            <w:tcW w:type="dxa" w:w="4600"/>
            <w:tcMar>
              <w:top w:type="dxa" w:w="80"/>
              <w:left w:type="dxa" w:w="100"/>
              <w:bottom w:type="dxa" w:w="80"/>
              <w:right w:type="dxa" w:w="100"/>
            </w:tcMar>
          </w:tcPr>
          <w:p>
            <w:r>
              <w:rPr>
                <w:sz w:val="20"/>
                <w:szCs w:val="20"/>
              </w:rPr>
              <w:t xml:space="preserve">Confirm SQL Agent service is running and jobs are visible and correctly scheduled.</w:t>
            </w:r>
          </w:p>
        </w:tc>
        <w:tc>
          <w:tcPr>
            <w:tcW w:type="dxa" w:w="3200"/>
            <w:tcMar>
              <w:top w:type="dxa" w:w="80"/>
              <w:left w:type="dxa" w:w="100"/>
              <w:bottom w:type="dxa" w:w="80"/>
              <w:right w:type="dxa" w:w="100"/>
            </w:tcMar>
          </w:tcPr>
          <w:p>
            <w:r>
              <w:rPr>
                <w:sz w:val="20"/>
                <w:szCs w:val="20"/>
              </w:rPr>
              <w:t xml:space="preserve">`EXEC msdb.dbo.sp_help_job;`</w:t>
            </w:r>
          </w:p>
        </w:tc>
      </w:tr>
      <w:tr>
        <w:tc>
          <w:tcPr>
            <w:tcW w:type="dxa" w:w="2200"/>
            <w:shd w:fill="F2F2F2" w:val="clear"/>
            <w:tcMar>
              <w:top w:type="dxa" w:w="80"/>
              <w:left w:type="dxa" w:w="100"/>
              <w:bottom w:type="dxa" w:w="80"/>
              <w:right w:type="dxa" w:w="100"/>
            </w:tcMar>
          </w:tcPr>
          <w:p>
            <w:r>
              <w:rPr>
                <w:sz w:val="20"/>
                <w:szCs w:val="20"/>
              </w:rPr>
              <w:t xml:space="preserve">Jobs / Maintenance Plans</w:t>
            </w:r>
          </w:p>
        </w:tc>
        <w:tc>
          <w:tcPr>
            <w:tcW w:type="dxa" w:w="4600"/>
            <w:shd w:fill="F2F2F2" w:val="clear"/>
            <w:tcMar>
              <w:top w:type="dxa" w:w="80"/>
              <w:left w:type="dxa" w:w="100"/>
              <w:bottom w:type="dxa" w:w="80"/>
              <w:right w:type="dxa" w:w="100"/>
            </w:tcMar>
          </w:tcPr>
          <w:p>
            <w:r>
              <w:rPr>
                <w:sz w:val="20"/>
                <w:szCs w:val="20"/>
              </w:rPr>
              <w:t xml:space="preserve">Run a manual test execution of critical jobs and maintenance plans.</w:t>
            </w:r>
          </w:p>
        </w:tc>
        <w:tc>
          <w:tcPr>
            <w:tcW w:type="dxa" w:w="3200"/>
            <w:shd w:fill="F2F2F2" w:val="clear"/>
            <w:tcMar>
              <w:top w:type="dxa" w:w="80"/>
              <w:left w:type="dxa" w:w="100"/>
              <w:bottom w:type="dxa" w:w="80"/>
              <w:right w:type="dxa" w:w="100"/>
            </w:tcMar>
          </w:tcPr>
          <w:p>
            <w:r>
              <w:rPr>
                <w:sz w:val="20"/>
                <w:szCs w:val="20"/>
              </w:rPr>
              <w:t xml:space="preserve">SSMS Job Activity Monitor</w:t>
            </w:r>
          </w:p>
        </w:tc>
      </w:tr>
      <w:tr>
        <w:tc>
          <w:tcPr>
            <w:tcW w:type="dxa" w:w="2200"/>
            <w:tcMar>
              <w:top w:type="dxa" w:w="80"/>
              <w:left w:type="dxa" w:w="100"/>
              <w:bottom w:type="dxa" w:w="80"/>
              <w:right w:type="dxa" w:w="100"/>
            </w:tcMar>
          </w:tcPr>
          <w:p>
            <w:r>
              <w:rPr>
                <w:sz w:val="20"/>
                <w:szCs w:val="20"/>
              </w:rPr>
              <w:t xml:space="preserve">Linked Servers</w:t>
            </w:r>
          </w:p>
        </w:tc>
        <w:tc>
          <w:tcPr>
            <w:tcW w:type="dxa" w:w="4600"/>
            <w:tcMar>
              <w:top w:type="dxa" w:w="80"/>
              <w:left w:type="dxa" w:w="100"/>
              <w:bottom w:type="dxa" w:w="80"/>
              <w:right w:type="dxa" w:w="100"/>
            </w:tcMar>
          </w:tcPr>
          <w:p>
            <w:r>
              <w:rPr>
                <w:sz w:val="20"/>
                <w:szCs w:val="20"/>
              </w:rPr>
              <w:t xml:space="preserve">Test connectivity for each linked server.</w:t>
            </w:r>
          </w:p>
        </w:tc>
        <w:tc>
          <w:tcPr>
            <w:tcW w:type="dxa" w:w="3200"/>
            <w:tcMar>
              <w:top w:type="dxa" w:w="80"/>
              <w:left w:type="dxa" w:w="100"/>
              <w:bottom w:type="dxa" w:w="80"/>
              <w:right w:type="dxa" w:w="100"/>
            </w:tcMar>
          </w:tcPr>
          <w:p>
            <w:r>
              <w:rPr>
                <w:sz w:val="20"/>
                <w:szCs w:val="20"/>
              </w:rPr>
              <w:t xml:space="preserve">`EXEC sp_testlinkedserver '&lt;LinkedServerName&gt;';`</w:t>
            </w:r>
          </w:p>
        </w:tc>
      </w:tr>
      <w:tr>
        <w:tc>
          <w:tcPr>
            <w:tcW w:type="dxa" w:w="2200"/>
            <w:shd w:fill="F2F2F2" w:val="clear"/>
            <w:tcMar>
              <w:top w:type="dxa" w:w="80"/>
              <w:left w:type="dxa" w:w="100"/>
              <w:bottom w:type="dxa" w:w="80"/>
              <w:right w:type="dxa" w:w="100"/>
            </w:tcMar>
          </w:tcPr>
          <w:p>
            <w:r>
              <w:rPr>
                <w:sz w:val="20"/>
                <w:szCs w:val="20"/>
              </w:rPr>
              <w:t xml:space="preserve">Replication</w:t>
            </w:r>
          </w:p>
        </w:tc>
        <w:tc>
          <w:tcPr>
            <w:tcW w:type="dxa" w:w="4600"/>
            <w:shd w:fill="F2F2F2" w:val="clear"/>
            <w:tcMar>
              <w:top w:type="dxa" w:w="80"/>
              <w:left w:type="dxa" w:w="100"/>
              <w:bottom w:type="dxa" w:w="80"/>
              <w:right w:type="dxa" w:w="100"/>
            </w:tcMar>
          </w:tcPr>
          <w:p>
            <w:r>
              <w:rPr>
                <w:sz w:val="20"/>
                <w:szCs w:val="20"/>
              </w:rPr>
              <w:t xml:space="preserve">Validate replication agents and confirm no errors in the Replication Monitor.</w:t>
            </w:r>
          </w:p>
        </w:tc>
        <w:tc>
          <w:tcPr>
            <w:tcW w:type="dxa" w:w="3200"/>
            <w:shd w:fill="F2F2F2" w:val="clear"/>
            <w:tcMar>
              <w:top w:type="dxa" w:w="80"/>
              <w:left w:type="dxa" w:w="100"/>
              <w:bottom w:type="dxa" w:w="80"/>
              <w:right w:type="dxa" w:w="100"/>
            </w:tcMar>
          </w:tcPr>
          <w:p>
            <w:r>
              <w:rPr>
                <w:sz w:val="20"/>
                <w:szCs w:val="20"/>
              </w:rPr>
              <w:t xml:space="preserve">Replication Monitor GUI / `sp_replmonitorhelppublication`</w:t>
            </w:r>
          </w:p>
        </w:tc>
      </w:tr>
      <w:tr>
        <w:tc>
          <w:tcPr>
            <w:tcW w:type="dxa" w:w="2200"/>
            <w:tcMar>
              <w:top w:type="dxa" w:w="80"/>
              <w:left w:type="dxa" w:w="100"/>
              <w:bottom w:type="dxa" w:w="80"/>
              <w:right w:type="dxa" w:w="100"/>
            </w:tcMar>
          </w:tcPr>
          <w:p>
            <w:r>
              <w:rPr>
                <w:sz w:val="20"/>
                <w:szCs w:val="20"/>
              </w:rPr>
              <w:t xml:space="preserve">AlwaysOn AG</w:t>
            </w:r>
          </w:p>
        </w:tc>
        <w:tc>
          <w:tcPr>
            <w:tcW w:type="dxa" w:w="4600"/>
            <w:tcMar>
              <w:top w:type="dxa" w:w="80"/>
              <w:left w:type="dxa" w:w="100"/>
              <w:bottom w:type="dxa" w:w="80"/>
              <w:right w:type="dxa" w:w="100"/>
            </w:tcMar>
          </w:tcPr>
          <w:p>
            <w:r>
              <w:rPr>
                <w:sz w:val="20"/>
                <w:szCs w:val="20"/>
              </w:rPr>
              <w:t xml:space="preserve">Confirm all replicas report SYNCHRONIZED / HEALTHY.</w:t>
            </w:r>
          </w:p>
        </w:tc>
        <w:tc>
          <w:tcPr>
            <w:tcW w:type="dxa" w:w="3200"/>
            <w:tcMar>
              <w:top w:type="dxa" w:w="80"/>
              <w:left w:type="dxa" w:w="100"/>
              <w:bottom w:type="dxa" w:w="80"/>
              <w:right w:type="dxa" w:w="100"/>
            </w:tcMar>
          </w:tcPr>
          <w:p>
            <w:r>
              <w:rPr>
                <w:sz w:val="20"/>
                <w:szCs w:val="20"/>
              </w:rPr>
              <w:t xml:space="preserve">`SELECT * FROM sys.dm_hadr_availability_replica_states;`</w:t>
            </w:r>
          </w:p>
        </w:tc>
      </w:tr>
      <w:tr>
        <w:tc>
          <w:tcPr>
            <w:tcW w:type="dxa" w:w="2200"/>
            <w:shd w:fill="F2F2F2" w:val="clear"/>
            <w:tcMar>
              <w:top w:type="dxa" w:w="80"/>
              <w:left w:type="dxa" w:w="100"/>
              <w:bottom w:type="dxa" w:w="80"/>
              <w:right w:type="dxa" w:w="100"/>
            </w:tcMar>
          </w:tcPr>
          <w:p>
            <w:r>
              <w:rPr>
                <w:sz w:val="20"/>
                <w:szCs w:val="20"/>
              </w:rPr>
              <w:t xml:space="preserve">Backups</w:t>
            </w:r>
          </w:p>
        </w:tc>
        <w:tc>
          <w:tcPr>
            <w:tcW w:type="dxa" w:w="4600"/>
            <w:shd w:fill="F2F2F2" w:val="clear"/>
            <w:tcMar>
              <w:top w:type="dxa" w:w="80"/>
              <w:left w:type="dxa" w:w="100"/>
              <w:bottom w:type="dxa" w:w="80"/>
              <w:right w:type="dxa" w:w="100"/>
            </w:tcMar>
          </w:tcPr>
          <w:p>
            <w:r>
              <w:rPr>
                <w:sz w:val="20"/>
                <w:szCs w:val="20"/>
              </w:rPr>
              <w:t xml:space="preserve">Run and validate a fresh full backup on the new version to establish a new baseline recovery point.</w:t>
            </w:r>
          </w:p>
        </w:tc>
        <w:tc>
          <w:tcPr>
            <w:tcW w:type="dxa" w:w="3200"/>
            <w:shd w:fill="F2F2F2" w:val="clear"/>
            <w:tcMar>
              <w:top w:type="dxa" w:w="80"/>
              <w:left w:type="dxa" w:w="100"/>
              <w:bottom w:type="dxa" w:w="80"/>
              <w:right w:type="dxa" w:w="100"/>
            </w:tcMar>
          </w:tcPr>
          <w:p>
            <w:r>
              <w:rPr>
                <w:sz w:val="20"/>
                <w:szCs w:val="20"/>
              </w:rPr>
              <w:t xml:space="preserve">`BACKUP DATABASE ... WITH CHECKSUM;`</w:t>
            </w:r>
          </w:p>
        </w:tc>
      </w:tr>
      <w:tr>
        <w:tc>
          <w:tcPr>
            <w:tcW w:type="dxa" w:w="2200"/>
            <w:tcMar>
              <w:top w:type="dxa" w:w="80"/>
              <w:left w:type="dxa" w:w="100"/>
              <w:bottom w:type="dxa" w:w="80"/>
              <w:right w:type="dxa" w:w="100"/>
            </w:tcMar>
          </w:tcPr>
          <w:p>
            <w:r>
              <w:rPr>
                <w:sz w:val="20"/>
                <w:szCs w:val="20"/>
              </w:rPr>
              <w:t xml:space="preserve">Monitoring</w:t>
            </w:r>
          </w:p>
        </w:tc>
        <w:tc>
          <w:tcPr>
            <w:tcW w:type="dxa" w:w="4600"/>
            <w:tcMar>
              <w:top w:type="dxa" w:w="80"/>
              <w:left w:type="dxa" w:w="100"/>
              <w:bottom w:type="dxa" w:w="80"/>
              <w:right w:type="dxa" w:w="100"/>
            </w:tcMar>
          </w:tcPr>
          <w:p>
            <w:r>
              <w:rPr>
                <w:sz w:val="20"/>
                <w:szCs w:val="20"/>
              </w:rPr>
              <w:t xml:space="preserve">Confirm performance/monitoring tooling correctly reports the new SQL Server version and collects metrics.</w:t>
            </w:r>
          </w:p>
        </w:tc>
        <w:tc>
          <w:tcPr>
            <w:tcW w:type="dxa" w:w="3200"/>
            <w:tcMar>
              <w:top w:type="dxa" w:w="80"/>
              <w:left w:type="dxa" w:w="100"/>
              <w:bottom w:type="dxa" w:w="80"/>
              <w:right w:type="dxa" w:w="100"/>
            </w:tcMar>
          </w:tcPr>
          <w:p>
            <w:r>
              <w:rPr>
                <w:sz w:val="20"/>
                <w:szCs w:val="20"/>
              </w:rPr>
              <w:t xml:space="preserve">Monitoring console</w:t>
            </w:r>
          </w:p>
        </w:tc>
      </w:tr>
      <w:tr>
        <w:tc>
          <w:tcPr>
            <w:tcW w:type="dxa" w:w="2200"/>
            <w:shd w:fill="F2F2F2" w:val="clear"/>
            <w:tcMar>
              <w:top w:type="dxa" w:w="80"/>
              <w:left w:type="dxa" w:w="100"/>
              <w:bottom w:type="dxa" w:w="80"/>
              <w:right w:type="dxa" w:w="100"/>
            </w:tcMar>
          </w:tcPr>
          <w:p>
            <w:r>
              <w:rPr>
                <w:sz w:val="20"/>
                <w:szCs w:val="20"/>
              </w:rPr>
              <w:t xml:space="preserve">Memory Configuration</w:t>
            </w:r>
          </w:p>
        </w:tc>
        <w:tc>
          <w:tcPr>
            <w:tcW w:type="dxa" w:w="4600"/>
            <w:shd w:fill="F2F2F2" w:val="clear"/>
            <w:tcMar>
              <w:top w:type="dxa" w:w="80"/>
              <w:left w:type="dxa" w:w="100"/>
              <w:bottom w:type="dxa" w:w="80"/>
              <w:right w:type="dxa" w:w="100"/>
            </w:tcMar>
          </w:tcPr>
          <w:p>
            <w:r>
              <w:rPr>
                <w:sz w:val="20"/>
                <w:szCs w:val="20"/>
              </w:rPr>
              <w:t xml:space="preserve">Re-validate max server memory setting is appropriate for the host (unchanged by upgrade, but confirm it wasn't reset).</w:t>
            </w:r>
          </w:p>
        </w:tc>
        <w:tc>
          <w:tcPr>
            <w:tcW w:type="dxa" w:w="3200"/>
            <w:shd w:fill="F2F2F2" w:val="clear"/>
            <w:tcMar>
              <w:top w:type="dxa" w:w="80"/>
              <w:left w:type="dxa" w:w="100"/>
              <w:bottom w:type="dxa" w:w="80"/>
              <w:right w:type="dxa" w:w="100"/>
            </w:tcMar>
          </w:tcPr>
          <w:p>
            <w:r>
              <w:rPr>
                <w:sz w:val="20"/>
                <w:szCs w:val="20"/>
              </w:rPr>
              <w:t xml:space="preserve">`EXEC sp_configure 'max server memory';`</w:t>
            </w:r>
          </w:p>
        </w:tc>
      </w:tr>
      <w:tr>
        <w:tc>
          <w:tcPr>
            <w:tcW w:type="dxa" w:w="2200"/>
            <w:tcMar>
              <w:top w:type="dxa" w:w="80"/>
              <w:left w:type="dxa" w:w="100"/>
              <w:bottom w:type="dxa" w:w="80"/>
              <w:right w:type="dxa" w:w="100"/>
            </w:tcMar>
          </w:tcPr>
          <w:p>
            <w:r>
              <w:rPr>
                <w:sz w:val="20"/>
                <w:szCs w:val="20"/>
              </w:rPr>
              <w:t xml:space="preserve">MAXDOP</w:t>
            </w:r>
          </w:p>
        </w:tc>
        <w:tc>
          <w:tcPr>
            <w:tcW w:type="dxa" w:w="4600"/>
            <w:tcMar>
              <w:top w:type="dxa" w:w="80"/>
              <w:left w:type="dxa" w:w="100"/>
              <w:bottom w:type="dxa" w:w="80"/>
              <w:right w:type="dxa" w:w="100"/>
            </w:tcMar>
          </w:tcPr>
          <w:p>
            <w:r>
              <w:rPr>
                <w:sz w:val="20"/>
                <w:szCs w:val="20"/>
              </w:rPr>
              <w:t xml:space="preserve">Confirm MAXDOP setting; SQL Server 2022 setup may prompt to set a recommended value during install — confirm it matches workload requirements.</w:t>
            </w:r>
          </w:p>
        </w:tc>
        <w:tc>
          <w:tcPr>
            <w:tcW w:type="dxa" w:w="3200"/>
            <w:tcMar>
              <w:top w:type="dxa" w:w="80"/>
              <w:left w:type="dxa" w:w="100"/>
              <w:bottom w:type="dxa" w:w="80"/>
              <w:right w:type="dxa" w:w="100"/>
            </w:tcMar>
          </w:tcPr>
          <w:p>
            <w:r>
              <w:rPr>
                <w:sz w:val="20"/>
                <w:szCs w:val="20"/>
              </w:rPr>
              <w:t xml:space="preserve">`EXEC sp_configure 'max degree of parallelism';`</w:t>
            </w:r>
          </w:p>
        </w:tc>
      </w:tr>
      <w:tr>
        <w:tc>
          <w:tcPr>
            <w:tcW w:type="dxa" w:w="2200"/>
            <w:shd w:fill="F2F2F2" w:val="clear"/>
            <w:tcMar>
              <w:top w:type="dxa" w:w="80"/>
              <w:left w:type="dxa" w:w="100"/>
              <w:bottom w:type="dxa" w:w="80"/>
              <w:right w:type="dxa" w:w="100"/>
            </w:tcMar>
          </w:tcPr>
          <w:p>
            <w:r>
              <w:rPr>
                <w:sz w:val="20"/>
                <w:szCs w:val="20"/>
              </w:rPr>
              <w:t xml:space="preserve">TempDB</w:t>
            </w:r>
          </w:p>
        </w:tc>
        <w:tc>
          <w:tcPr>
            <w:tcW w:type="dxa" w:w="4600"/>
            <w:shd w:fill="F2F2F2" w:val="clear"/>
            <w:tcMar>
              <w:top w:type="dxa" w:w="80"/>
              <w:left w:type="dxa" w:w="100"/>
              <w:bottom w:type="dxa" w:w="80"/>
              <w:right w:type="dxa" w:w="100"/>
            </w:tcMar>
          </w:tcPr>
          <w:p>
            <w:r>
              <w:rPr>
                <w:sz w:val="20"/>
                <w:szCs w:val="20"/>
              </w:rPr>
              <w:t xml:space="preserve">Confirm tempdb file count/sizing persisted correctly and matches recommended configuration for the core count.</w:t>
            </w:r>
          </w:p>
        </w:tc>
        <w:tc>
          <w:tcPr>
            <w:tcW w:type="dxa" w:w="3200"/>
            <w:shd w:fill="F2F2F2" w:val="clear"/>
            <w:tcMar>
              <w:top w:type="dxa" w:w="80"/>
              <w:left w:type="dxa" w:w="100"/>
              <w:bottom w:type="dxa" w:w="80"/>
              <w:right w:type="dxa" w:w="100"/>
            </w:tcMar>
          </w:tcPr>
          <w:p>
            <w:r>
              <w:rPr>
                <w:sz w:val="20"/>
                <w:szCs w:val="20"/>
              </w:rPr>
              <w:t xml:space="preserve">`SELECT name, size FROM tempdb.sys.database_files;`</w:t>
            </w:r>
          </w:p>
        </w:tc>
      </w:tr>
      <w:tr>
        <w:tc>
          <w:tcPr>
            <w:tcW w:type="dxa" w:w="2200"/>
            <w:tcMar>
              <w:top w:type="dxa" w:w="80"/>
              <w:left w:type="dxa" w:w="100"/>
              <w:bottom w:type="dxa" w:w="80"/>
              <w:right w:type="dxa" w:w="100"/>
            </w:tcMar>
          </w:tcPr>
          <w:p>
            <w:r>
              <w:rPr>
                <w:sz w:val="20"/>
                <w:szCs w:val="20"/>
              </w:rPr>
              <w:t xml:space="preserve">Parallelism / Cost Threshold</w:t>
            </w:r>
          </w:p>
        </w:tc>
        <w:tc>
          <w:tcPr>
            <w:tcW w:type="dxa" w:w="4600"/>
            <w:tcMar>
              <w:top w:type="dxa" w:w="80"/>
              <w:left w:type="dxa" w:w="100"/>
              <w:bottom w:type="dxa" w:w="80"/>
              <w:right w:type="dxa" w:w="100"/>
            </w:tcMar>
          </w:tcPr>
          <w:p>
            <w:r>
              <w:rPr>
                <w:sz w:val="20"/>
                <w:szCs w:val="20"/>
              </w:rPr>
              <w:t xml:space="preserve">Re-validate cost threshold for parallelism against workload baseline.</w:t>
            </w:r>
          </w:p>
        </w:tc>
        <w:tc>
          <w:tcPr>
            <w:tcW w:type="dxa" w:w="3200"/>
            <w:tcMar>
              <w:top w:type="dxa" w:w="80"/>
              <w:left w:type="dxa" w:w="100"/>
              <w:bottom w:type="dxa" w:w="80"/>
              <w:right w:type="dxa" w:w="100"/>
            </w:tcMar>
          </w:tcPr>
          <w:p>
            <w:r>
              <w:rPr>
                <w:sz w:val="20"/>
                <w:szCs w:val="20"/>
              </w:rPr>
              <w:t xml:space="preserve">`EXEC sp_configure 'cost threshold for parallelism';`</w:t>
            </w:r>
          </w:p>
        </w:tc>
      </w:tr>
      <w:tr>
        <w:tc>
          <w:tcPr>
            <w:tcW w:type="dxa" w:w="2200"/>
            <w:shd w:fill="F2F2F2" w:val="clear"/>
            <w:tcMar>
              <w:top w:type="dxa" w:w="80"/>
              <w:left w:type="dxa" w:w="100"/>
              <w:bottom w:type="dxa" w:w="80"/>
              <w:right w:type="dxa" w:w="100"/>
            </w:tcMar>
          </w:tcPr>
          <w:p>
            <w:r>
              <w:rPr>
                <w:sz w:val="20"/>
                <w:szCs w:val="20"/>
              </w:rPr>
              <w:t xml:space="preserve">Instant File Initialization</w:t>
            </w:r>
          </w:p>
        </w:tc>
        <w:tc>
          <w:tcPr>
            <w:tcW w:type="dxa" w:w="4600"/>
            <w:shd w:fill="F2F2F2" w:val="clear"/>
            <w:tcMar>
              <w:top w:type="dxa" w:w="80"/>
              <w:left w:type="dxa" w:w="100"/>
              <w:bottom w:type="dxa" w:w="80"/>
              <w:right w:type="dxa" w:w="100"/>
            </w:tcMar>
          </w:tcPr>
          <w:p>
            <w:r>
              <w:rPr>
                <w:sz w:val="20"/>
                <w:szCs w:val="20"/>
              </w:rPr>
              <w:t xml:space="preserve">Confirm the SQL service account still holds 'Perform Volume Maintenance Tasks' right post-upgrade.</w:t>
            </w:r>
          </w:p>
        </w:tc>
        <w:tc>
          <w:tcPr>
            <w:tcW w:type="dxa" w:w="3200"/>
            <w:shd w:fill="F2F2F2" w:val="clear"/>
            <w:tcMar>
              <w:top w:type="dxa" w:w="80"/>
              <w:left w:type="dxa" w:w="100"/>
              <w:bottom w:type="dxa" w:w="80"/>
              <w:right w:type="dxa" w:w="100"/>
            </w:tcMar>
          </w:tcPr>
          <w:p>
            <w:r>
              <w:rPr>
                <w:sz w:val="20"/>
                <w:szCs w:val="20"/>
              </w:rPr>
              <w:t xml:space="preserve">Local Security Policy / `secpol.msc`</w:t>
            </w:r>
          </w:p>
        </w:tc>
      </w:tr>
      <w:tr>
        <w:tc>
          <w:tcPr>
            <w:tcW w:type="dxa" w:w="2200"/>
            <w:tcMar>
              <w:top w:type="dxa" w:w="80"/>
              <w:left w:type="dxa" w:w="100"/>
              <w:bottom w:type="dxa" w:w="80"/>
              <w:right w:type="dxa" w:w="100"/>
            </w:tcMar>
          </w:tcPr>
          <w:p>
            <w:r>
              <w:rPr>
                <w:sz w:val="20"/>
                <w:szCs w:val="20"/>
              </w:rPr>
              <w:t xml:space="preserve">Startup Parameters</w:t>
            </w:r>
          </w:p>
        </w:tc>
        <w:tc>
          <w:tcPr>
            <w:tcW w:type="dxa" w:w="4600"/>
            <w:tcMar>
              <w:top w:type="dxa" w:w="80"/>
              <w:left w:type="dxa" w:w="100"/>
              <w:bottom w:type="dxa" w:w="80"/>
              <w:right w:type="dxa" w:w="100"/>
            </w:tcMar>
          </w:tcPr>
          <w:p>
            <w:r>
              <w:rPr>
                <w:sz w:val="20"/>
                <w:szCs w:val="20"/>
              </w:rPr>
              <w:t xml:space="preserve">Confirm trace flags and startup parameters carried forward correctly.</w:t>
            </w:r>
          </w:p>
        </w:tc>
        <w:tc>
          <w:tcPr>
            <w:tcW w:type="dxa" w:w="3200"/>
            <w:tcMar>
              <w:top w:type="dxa" w:w="80"/>
              <w:left w:type="dxa" w:w="100"/>
              <w:bottom w:type="dxa" w:w="80"/>
              <w:right w:type="dxa" w:w="100"/>
            </w:tcMar>
          </w:tcPr>
          <w:p>
            <w:r>
              <w:rPr>
                <w:sz w:val="20"/>
                <w:szCs w:val="20"/>
              </w:rPr>
              <w:t xml:space="preserve">SQL Server Configuration Manager</w:t>
            </w:r>
          </w:p>
        </w:tc>
      </w:tr>
      <w:tr>
        <w:tc>
          <w:tcPr>
            <w:tcW w:type="dxa" w:w="2200"/>
            <w:shd w:fill="F2F2F2" w:val="clear"/>
            <w:tcMar>
              <w:top w:type="dxa" w:w="80"/>
              <w:left w:type="dxa" w:w="100"/>
              <w:bottom w:type="dxa" w:w="80"/>
              <w:right w:type="dxa" w:w="100"/>
            </w:tcMar>
          </w:tcPr>
          <w:p>
            <w:r>
              <w:rPr>
                <w:sz w:val="20"/>
                <w:szCs w:val="20"/>
              </w:rPr>
              <w:t xml:space="preserve">Encryption / TDE</w:t>
            </w:r>
          </w:p>
        </w:tc>
        <w:tc>
          <w:tcPr>
            <w:tcW w:type="dxa" w:w="4600"/>
            <w:shd w:fill="F2F2F2" w:val="clear"/>
            <w:tcMar>
              <w:top w:type="dxa" w:w="80"/>
              <w:left w:type="dxa" w:w="100"/>
              <w:bottom w:type="dxa" w:w="80"/>
              <w:right w:type="dxa" w:w="100"/>
            </w:tcMar>
          </w:tcPr>
          <w:p>
            <w:r>
              <w:rPr>
                <w:sz w:val="20"/>
                <w:szCs w:val="20"/>
              </w:rPr>
              <w:t xml:space="preserve">Confirm TDE-protected databases are accessible and the certificate is present and backed up again post-upgrade.</w:t>
            </w:r>
          </w:p>
        </w:tc>
        <w:tc>
          <w:tcPr>
            <w:tcW w:type="dxa" w:w="3200"/>
            <w:shd w:fill="F2F2F2" w:val="clear"/>
            <w:tcMar>
              <w:top w:type="dxa" w:w="80"/>
              <w:left w:type="dxa" w:w="100"/>
              <w:bottom w:type="dxa" w:w="80"/>
              <w:right w:type="dxa" w:w="100"/>
            </w:tcMar>
          </w:tcPr>
          <w:p>
            <w:r>
              <w:rPr>
                <w:sz w:val="20"/>
                <w:szCs w:val="20"/>
              </w:rPr>
              <w:t xml:space="preserve">`SELECT * FROM sys.dm_database_encryption_keys;`</w:t>
            </w:r>
          </w:p>
        </w:tc>
      </w:tr>
      <w:tr>
        <w:tc>
          <w:tcPr>
            <w:tcW w:type="dxa" w:w="2200"/>
            <w:tcMar>
              <w:top w:type="dxa" w:w="80"/>
              <w:left w:type="dxa" w:w="100"/>
              <w:bottom w:type="dxa" w:w="80"/>
              <w:right w:type="dxa" w:w="100"/>
            </w:tcMar>
          </w:tcPr>
          <w:p>
            <w:r>
              <w:rPr>
                <w:sz w:val="20"/>
                <w:szCs w:val="20"/>
              </w:rPr>
              <w:t xml:space="preserve">SPNs</w:t>
            </w:r>
          </w:p>
        </w:tc>
        <w:tc>
          <w:tcPr>
            <w:tcW w:type="dxa" w:w="4600"/>
            <w:tcMar>
              <w:top w:type="dxa" w:w="80"/>
              <w:left w:type="dxa" w:w="100"/>
              <w:bottom w:type="dxa" w:w="80"/>
              <w:right w:type="dxa" w:w="100"/>
            </w:tcMar>
          </w:tcPr>
          <w:p>
            <w:r>
              <w:rPr>
                <w:sz w:val="20"/>
                <w:szCs w:val="20"/>
              </w:rPr>
              <w:t xml:space="preserve">Re-validate SPN registration, especially if the service account or port changed.</w:t>
            </w:r>
          </w:p>
        </w:tc>
        <w:tc>
          <w:tcPr>
            <w:tcW w:type="dxa" w:w="3200"/>
            <w:tcMar>
              <w:top w:type="dxa" w:w="80"/>
              <w:left w:type="dxa" w:w="100"/>
              <w:bottom w:type="dxa" w:w="80"/>
              <w:right w:type="dxa" w:w="100"/>
            </w:tcMar>
          </w:tcPr>
          <w:p>
            <w:r>
              <w:rPr>
                <w:sz w:val="20"/>
                <w:szCs w:val="20"/>
              </w:rPr>
              <w:t xml:space="preserve">`setspn -L &lt;ServiceAccount&gt;`</w:t>
            </w:r>
          </w:p>
        </w:tc>
      </w:tr>
      <w:tr>
        <w:tc>
          <w:tcPr>
            <w:tcW w:type="dxa" w:w="2200"/>
            <w:shd w:fill="F2F2F2" w:val="clear"/>
            <w:tcMar>
              <w:top w:type="dxa" w:w="80"/>
              <w:left w:type="dxa" w:w="100"/>
              <w:bottom w:type="dxa" w:w="80"/>
              <w:right w:type="dxa" w:w="100"/>
            </w:tcMar>
          </w:tcPr>
          <w:p>
            <w:r>
              <w:rPr>
                <w:sz w:val="20"/>
                <w:szCs w:val="20"/>
              </w:rPr>
              <w:t xml:space="preserve">Service Accounts</w:t>
            </w:r>
          </w:p>
        </w:tc>
        <w:tc>
          <w:tcPr>
            <w:tcW w:type="dxa" w:w="4600"/>
            <w:shd w:fill="F2F2F2" w:val="clear"/>
            <w:tcMar>
              <w:top w:type="dxa" w:w="80"/>
              <w:left w:type="dxa" w:w="100"/>
              <w:bottom w:type="dxa" w:w="80"/>
              <w:right w:type="dxa" w:w="100"/>
            </w:tcMar>
          </w:tcPr>
          <w:p>
            <w:r>
              <w:rPr>
                <w:sz w:val="20"/>
                <w:szCs w:val="20"/>
              </w:rPr>
              <w:t xml:space="preserve">Confirm service account and permissions unchanged/functioning.</w:t>
            </w:r>
          </w:p>
        </w:tc>
        <w:tc>
          <w:tcPr>
            <w:tcW w:type="dxa" w:w="3200"/>
            <w:shd w:fill="F2F2F2" w:val="clear"/>
            <w:tcMar>
              <w:top w:type="dxa" w:w="80"/>
              <w:left w:type="dxa" w:w="100"/>
              <w:bottom w:type="dxa" w:w="80"/>
              <w:right w:type="dxa" w:w="100"/>
            </w:tcMar>
          </w:tcPr>
          <w:p>
            <w:r>
              <w:rPr>
                <w:sz w:val="20"/>
                <w:szCs w:val="20"/>
              </w:rPr>
              <w:t xml:space="preserve">SQL Server Configuration Manager</w:t>
            </w:r>
          </w:p>
        </w:tc>
      </w:tr>
    </w:tbl>
    <w:p>
      <w:r>
        <w:br w:type="page"/>
      </w:r>
    </w:p>
    <w:p>
      <w:pPr>
        <w:pStyle w:val="Heading1"/>
        <w:spacing w:after="200" w:before="400"/>
      </w:pPr>
      <w:r>
        <w:t xml:space="preserve">SQL Validation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8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Validation Item</w:t>
            </w:r>
          </w:p>
        </w:tc>
        <w:tc>
          <w:tcPr>
            <w:tcW w:type="dxa" w:w="3000"/>
            <w:shd w:fill="1F3864" w:val="clear"/>
            <w:tcMar>
              <w:top w:type="dxa" w:w="80"/>
              <w:left w:type="dxa" w:w="100"/>
              <w:bottom w:type="dxa" w:w="80"/>
              <w:right w:type="dxa" w:w="100"/>
            </w:tcMar>
            <w:vAlign w:val="center"/>
          </w:tcPr>
          <w:p>
            <w:r>
              <w:rPr>
                <w:b/>
                <w:bCs/>
                <w:color w:val="FFFFFF"/>
                <w:sz w:val="20"/>
                <w:szCs w:val="20"/>
              </w:rPr>
              <w:t xml:space="preserve">Query / Method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Expected Result</w:t>
            </w:r>
          </w:p>
        </w:tc>
        <w:tc>
          <w:tcPr>
            <w:tcW w:type="dxa" w:w="1800"/>
            <w:shd w:fill="1F3864" w:val="clear"/>
            <w:tcMar>
              <w:top w:type="dxa" w:w="80"/>
              <w:left w:type="dxa" w:w="100"/>
              <w:bottom w:type="dxa" w:w="80"/>
              <w:right w:type="dxa" w:w="100"/>
            </w:tcMar>
            <w:vAlign w:val="center"/>
          </w:tcPr>
          <w:p>
            <w:r>
              <w:rPr>
                <w:b/>
                <w:bCs/>
                <w:color w:val="FFFFFF"/>
                <w:sz w:val="20"/>
                <w:szCs w:val="20"/>
              </w:rPr>
              <w:t xml:space="preserve">Result / Evidence</w:t>
            </w:r>
          </w:p>
        </w:tc>
      </w:tr>
      <w:tr>
        <w:tc>
          <w:tcPr>
            <w:tcW w:type="dxa" w:w="2400"/>
            <w:tcMar>
              <w:top w:type="dxa" w:w="80"/>
              <w:left w:type="dxa" w:w="100"/>
              <w:bottom w:type="dxa" w:w="80"/>
              <w:right w:type="dxa" w:w="100"/>
            </w:tcMar>
          </w:tcPr>
          <w:p>
            <w:r>
              <w:rPr>
                <w:sz w:val="20"/>
                <w:szCs w:val="20"/>
              </w:rPr>
              <w:t xml:space="preserve">Engine version</w:t>
            </w:r>
          </w:p>
        </w:tc>
        <w:tc>
          <w:tcPr>
            <w:tcW w:type="dxa" w:w="3000"/>
            <w:tcMar>
              <w:top w:type="dxa" w:w="80"/>
              <w:left w:type="dxa" w:w="100"/>
              <w:bottom w:type="dxa" w:w="80"/>
              <w:right w:type="dxa" w:w="100"/>
            </w:tcMar>
          </w:tcPr>
          <w:p>
            <w:r>
              <w:rPr>
                <w:sz w:val="20"/>
                <w:szCs w:val="20"/>
              </w:rPr>
              <w:t xml:space="preserve">`SELECT @@VERSION;`</w:t>
            </w:r>
          </w:p>
        </w:tc>
        <w:tc>
          <w:tcPr>
            <w:tcW w:type="dxa" w:w="2600"/>
            <w:tcMar>
              <w:top w:type="dxa" w:w="80"/>
              <w:left w:type="dxa" w:w="100"/>
              <w:bottom w:type="dxa" w:w="80"/>
              <w:right w:type="dxa" w:w="100"/>
            </w:tcMar>
          </w:tcPr>
          <w:p>
            <w:r>
              <w:rPr>
                <w:sz w:val="20"/>
                <w:szCs w:val="20"/>
              </w:rPr>
              <w:t xml:space="preserve">Reports SQL Server 2022</w:t>
            </w:r>
          </w:p>
        </w:tc>
        <w:tc>
          <w:tcPr>
            <w:tcW w:type="dxa" w:w="1800"/>
            <w:tcMar>
              <w:top w:type="dxa" w:w="80"/>
              <w:left w:type="dxa" w:w="100"/>
              <w:bottom w:type="dxa" w:w="80"/>
              <w:right w:type="dxa" w:w="100"/>
            </w:tcMar>
          </w:tcPr>
          <w:p>
            <w:r>
              <w:rPr>
                <w:sz w:val="20"/>
                <w:szCs w:val="20"/>
              </w:rPr>
              <w:t xml:space="preserve">PASS/FAIL</w:t>
            </w:r>
          </w:p>
        </w:tc>
      </w:tr>
      <w:tr>
        <w:tc>
          <w:tcPr>
            <w:tcW w:type="dxa" w:w="2400"/>
            <w:shd w:fill="F2F2F2" w:val="clear"/>
            <w:tcMar>
              <w:top w:type="dxa" w:w="80"/>
              <w:left w:type="dxa" w:w="100"/>
              <w:bottom w:type="dxa" w:w="80"/>
              <w:right w:type="dxa" w:w="100"/>
            </w:tcMar>
          </w:tcPr>
          <w:p>
            <w:r>
              <w:rPr>
                <w:sz w:val="20"/>
                <w:szCs w:val="20"/>
              </w:rPr>
              <w:t xml:space="preserve">All databases online</w:t>
            </w:r>
          </w:p>
        </w:tc>
        <w:tc>
          <w:tcPr>
            <w:tcW w:type="dxa" w:w="3000"/>
            <w:shd w:fill="F2F2F2" w:val="clear"/>
            <w:tcMar>
              <w:top w:type="dxa" w:w="80"/>
              <w:left w:type="dxa" w:w="100"/>
              <w:bottom w:type="dxa" w:w="80"/>
              <w:right w:type="dxa" w:w="100"/>
            </w:tcMar>
          </w:tcPr>
          <w:p>
            <w:r>
              <w:rPr>
                <w:sz w:val="20"/>
                <w:szCs w:val="20"/>
              </w:rPr>
              <w:t xml:space="preserve">`SELECT name, state_desc FROM sys.databases;`</w:t>
            </w:r>
          </w:p>
        </w:tc>
        <w:tc>
          <w:tcPr>
            <w:tcW w:type="dxa" w:w="2600"/>
            <w:shd w:fill="F2F2F2" w:val="clear"/>
            <w:tcMar>
              <w:top w:type="dxa" w:w="80"/>
              <w:left w:type="dxa" w:w="100"/>
              <w:bottom w:type="dxa" w:w="80"/>
              <w:right w:type="dxa" w:w="100"/>
            </w:tcMar>
          </w:tcPr>
          <w:p>
            <w:r>
              <w:rPr>
                <w:sz w:val="20"/>
                <w:szCs w:val="20"/>
              </w:rPr>
              <w:t xml:space="preserve">All ONLINE</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400"/>
            <w:tcMar>
              <w:top w:type="dxa" w:w="80"/>
              <w:left w:type="dxa" w:w="100"/>
              <w:bottom w:type="dxa" w:w="80"/>
              <w:right w:type="dxa" w:w="100"/>
            </w:tcMar>
          </w:tcPr>
          <w:p>
            <w:r>
              <w:rPr>
                <w:sz w:val="20"/>
                <w:szCs w:val="20"/>
              </w:rPr>
              <w:t xml:space="preserve">CHECKDB clean</w:t>
            </w:r>
          </w:p>
        </w:tc>
        <w:tc>
          <w:tcPr>
            <w:tcW w:type="dxa" w:w="3000"/>
            <w:tcMar>
              <w:top w:type="dxa" w:w="80"/>
              <w:left w:type="dxa" w:w="100"/>
              <w:bottom w:type="dxa" w:w="80"/>
              <w:right w:type="dxa" w:w="100"/>
            </w:tcMar>
          </w:tcPr>
          <w:p>
            <w:r>
              <w:rPr>
                <w:sz w:val="20"/>
                <w:szCs w:val="20"/>
              </w:rPr>
              <w:t xml:space="preserve">`DBCC CHECKDB;`</w:t>
            </w:r>
          </w:p>
        </w:tc>
        <w:tc>
          <w:tcPr>
            <w:tcW w:type="dxa" w:w="2600"/>
            <w:tcMar>
              <w:top w:type="dxa" w:w="80"/>
              <w:left w:type="dxa" w:w="100"/>
              <w:bottom w:type="dxa" w:w="80"/>
              <w:right w:type="dxa" w:w="100"/>
            </w:tcMar>
          </w:tcPr>
          <w:p>
            <w:r>
              <w:rPr>
                <w:sz w:val="20"/>
                <w:szCs w:val="20"/>
              </w:rPr>
              <w:t xml:space="preserve">No errors</w:t>
            </w:r>
          </w:p>
        </w:tc>
        <w:tc>
          <w:tcPr>
            <w:tcW w:type="dxa" w:w="1800"/>
            <w:tcMar>
              <w:top w:type="dxa" w:w="80"/>
              <w:left w:type="dxa" w:w="100"/>
              <w:bottom w:type="dxa" w:w="80"/>
              <w:right w:type="dxa" w:w="100"/>
            </w:tcMar>
          </w:tcPr>
          <w:p>
            <w:r>
              <w:rPr>
                <w:sz w:val="20"/>
                <w:szCs w:val="20"/>
              </w:rPr>
              <w:t xml:space="preserve">PASS/FAIL</w:t>
            </w:r>
          </w:p>
        </w:tc>
      </w:tr>
      <w:tr>
        <w:tc>
          <w:tcPr>
            <w:tcW w:type="dxa" w:w="2400"/>
            <w:shd w:fill="F2F2F2" w:val="clear"/>
            <w:tcMar>
              <w:top w:type="dxa" w:w="80"/>
              <w:left w:type="dxa" w:w="100"/>
              <w:bottom w:type="dxa" w:w="80"/>
              <w:right w:type="dxa" w:w="100"/>
            </w:tcMar>
          </w:tcPr>
          <w:p>
            <w:r>
              <w:rPr>
                <w:sz w:val="20"/>
                <w:szCs w:val="20"/>
              </w:rPr>
              <w:t xml:space="preserve">SQL Agent jobs functional</w:t>
            </w:r>
          </w:p>
        </w:tc>
        <w:tc>
          <w:tcPr>
            <w:tcW w:type="dxa" w:w="3000"/>
            <w:shd w:fill="F2F2F2" w:val="clear"/>
            <w:tcMar>
              <w:top w:type="dxa" w:w="80"/>
              <w:left w:type="dxa" w:w="100"/>
              <w:bottom w:type="dxa" w:w="80"/>
              <w:right w:type="dxa" w:w="100"/>
            </w:tcMar>
          </w:tcPr>
          <w:p>
            <w:r>
              <w:rPr>
                <w:sz w:val="20"/>
                <w:szCs w:val="20"/>
              </w:rPr>
              <w:t xml:space="preserve">Job Activity Monitor</w:t>
            </w:r>
          </w:p>
        </w:tc>
        <w:tc>
          <w:tcPr>
            <w:tcW w:type="dxa" w:w="2600"/>
            <w:shd w:fill="F2F2F2" w:val="clear"/>
            <w:tcMar>
              <w:top w:type="dxa" w:w="80"/>
              <w:left w:type="dxa" w:w="100"/>
              <w:bottom w:type="dxa" w:w="80"/>
              <w:right w:type="dxa" w:w="100"/>
            </w:tcMar>
          </w:tcPr>
          <w:p>
            <w:r>
              <w:rPr>
                <w:sz w:val="20"/>
                <w:szCs w:val="20"/>
              </w:rPr>
              <w:t xml:space="preserve">Scheduled jobs run successfully</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400"/>
            <w:tcMar>
              <w:top w:type="dxa" w:w="80"/>
              <w:left w:type="dxa" w:w="100"/>
              <w:bottom w:type="dxa" w:w="80"/>
              <w:right w:type="dxa" w:w="100"/>
            </w:tcMar>
          </w:tcPr>
          <w:p>
            <w:r>
              <w:rPr>
                <w:sz w:val="20"/>
                <w:szCs w:val="20"/>
              </w:rPr>
              <w:t xml:space="preserve">AlwaysOn AG healthy</w:t>
            </w:r>
          </w:p>
        </w:tc>
        <w:tc>
          <w:tcPr>
            <w:tcW w:type="dxa" w:w="3000"/>
            <w:tcMar>
              <w:top w:type="dxa" w:w="80"/>
              <w:left w:type="dxa" w:w="100"/>
              <w:bottom w:type="dxa" w:w="80"/>
              <w:right w:type="dxa" w:w="100"/>
            </w:tcMar>
          </w:tcPr>
          <w:p>
            <w:r>
              <w:rPr>
                <w:sz w:val="20"/>
                <w:szCs w:val="20"/>
              </w:rPr>
              <w:t xml:space="preserve">`sys.dm_hadr_availability_replica_states`</w:t>
            </w:r>
          </w:p>
        </w:tc>
        <w:tc>
          <w:tcPr>
            <w:tcW w:type="dxa" w:w="2600"/>
            <w:tcMar>
              <w:top w:type="dxa" w:w="80"/>
              <w:left w:type="dxa" w:w="100"/>
              <w:bottom w:type="dxa" w:w="80"/>
              <w:right w:type="dxa" w:w="100"/>
            </w:tcMar>
          </w:tcPr>
          <w:p>
            <w:r>
              <w:rPr>
                <w:sz w:val="20"/>
                <w:szCs w:val="20"/>
              </w:rPr>
              <w:t xml:space="preserve">All SYNCHRONIZED</w:t>
            </w:r>
          </w:p>
        </w:tc>
        <w:tc>
          <w:tcPr>
            <w:tcW w:type="dxa" w:w="1800"/>
            <w:tcMar>
              <w:top w:type="dxa" w:w="80"/>
              <w:left w:type="dxa" w:w="100"/>
              <w:bottom w:type="dxa" w:w="80"/>
              <w:right w:type="dxa" w:w="100"/>
            </w:tcMar>
          </w:tcPr>
          <w:p>
            <w:r>
              <w:rPr>
                <w:sz w:val="20"/>
                <w:szCs w:val="20"/>
              </w:rPr>
              <w:t xml:space="preserve">PASS/FAIL</w:t>
            </w:r>
          </w:p>
        </w:tc>
      </w:tr>
      <w:tr>
        <w:tc>
          <w:tcPr>
            <w:tcW w:type="dxa" w:w="2400"/>
            <w:shd w:fill="F2F2F2" w:val="clear"/>
            <w:tcMar>
              <w:top w:type="dxa" w:w="80"/>
              <w:left w:type="dxa" w:w="100"/>
              <w:bottom w:type="dxa" w:w="80"/>
              <w:right w:type="dxa" w:w="100"/>
            </w:tcMar>
          </w:tcPr>
          <w:p>
            <w:r>
              <w:rPr>
                <w:sz w:val="20"/>
                <w:szCs w:val="20"/>
              </w:rPr>
              <w:t xml:space="preserve">Application connectivity</w:t>
            </w:r>
          </w:p>
        </w:tc>
        <w:tc>
          <w:tcPr>
            <w:tcW w:type="dxa" w:w="3000"/>
            <w:shd w:fill="F2F2F2" w:val="clear"/>
            <w:tcMar>
              <w:top w:type="dxa" w:w="80"/>
              <w:left w:type="dxa" w:w="100"/>
              <w:bottom w:type="dxa" w:w="80"/>
              <w:right w:type="dxa" w:w="100"/>
            </w:tcMar>
          </w:tcPr>
          <w:p>
            <w:r>
              <w:rPr>
                <w:sz w:val="20"/>
                <w:szCs w:val="20"/>
              </w:rPr>
              <w:t xml:space="preserve">Application smoke test / `sqlcmd -S -Q "SELECT 1"`</w:t>
            </w:r>
          </w:p>
        </w:tc>
        <w:tc>
          <w:tcPr>
            <w:tcW w:type="dxa" w:w="2600"/>
            <w:shd w:fill="F2F2F2" w:val="clear"/>
            <w:tcMar>
              <w:top w:type="dxa" w:w="80"/>
              <w:left w:type="dxa" w:w="100"/>
              <w:bottom w:type="dxa" w:w="80"/>
              <w:right w:type="dxa" w:w="100"/>
            </w:tcMar>
          </w:tcPr>
          <w:p>
            <w:r>
              <w:rPr>
                <w:sz w:val="20"/>
                <w:szCs w:val="20"/>
              </w:rPr>
              <w:t xml:space="preserve">Successful connection and query</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400"/>
            <w:tcMar>
              <w:top w:type="dxa" w:w="80"/>
              <w:left w:type="dxa" w:w="100"/>
              <w:bottom w:type="dxa" w:w="80"/>
              <w:right w:type="dxa" w:w="100"/>
            </w:tcMar>
          </w:tcPr>
          <w:p>
            <w:r>
              <w:rPr>
                <w:sz w:val="20"/>
                <w:szCs w:val="20"/>
              </w:rPr>
              <w:t xml:space="preserve">Login/permission parity</w:t>
            </w:r>
          </w:p>
        </w:tc>
        <w:tc>
          <w:tcPr>
            <w:tcW w:type="dxa" w:w="3000"/>
            <w:tcMar>
              <w:top w:type="dxa" w:w="80"/>
              <w:left w:type="dxa" w:w="100"/>
              <w:bottom w:type="dxa" w:w="80"/>
              <w:right w:type="dxa" w:w="100"/>
            </w:tcMar>
          </w:tcPr>
          <w:p>
            <w:r>
              <w:rPr>
                <w:sz w:val="20"/>
                <w:szCs w:val="20"/>
              </w:rPr>
              <w:t xml:space="preserve">Compare against pre-upgrade export</w:t>
            </w:r>
          </w:p>
        </w:tc>
        <w:tc>
          <w:tcPr>
            <w:tcW w:type="dxa" w:w="2600"/>
            <w:tcMar>
              <w:top w:type="dxa" w:w="80"/>
              <w:left w:type="dxa" w:w="100"/>
              <w:bottom w:type="dxa" w:w="80"/>
              <w:right w:type="dxa" w:w="100"/>
            </w:tcMar>
          </w:tcPr>
          <w:p>
            <w:r>
              <w:rPr>
                <w:sz w:val="20"/>
                <w:szCs w:val="20"/>
              </w:rPr>
              <w:t xml:space="preserve">No unexpected loss of logins/permissions</w:t>
            </w:r>
          </w:p>
        </w:tc>
        <w:tc>
          <w:tcPr>
            <w:tcW w:type="dxa" w:w="1800"/>
            <w:tcMar>
              <w:top w:type="dxa" w:w="80"/>
              <w:left w:type="dxa" w:w="100"/>
              <w:bottom w:type="dxa" w:w="80"/>
              <w:right w:type="dxa" w:w="100"/>
            </w:tcMar>
          </w:tcPr>
          <w:p>
            <w:r>
              <w:rPr>
                <w:sz w:val="20"/>
                <w:szCs w:val="20"/>
              </w:rPr>
              <w:t xml:space="preserve">PASS/FAIL</w:t>
            </w:r>
          </w:p>
        </w:tc>
      </w:tr>
      <w:tr>
        <w:tc>
          <w:tcPr>
            <w:tcW w:type="dxa" w:w="2400"/>
            <w:shd w:fill="F2F2F2" w:val="clear"/>
            <w:tcMar>
              <w:top w:type="dxa" w:w="80"/>
              <w:left w:type="dxa" w:w="100"/>
              <w:bottom w:type="dxa" w:w="80"/>
              <w:right w:type="dxa" w:w="100"/>
            </w:tcMar>
          </w:tcPr>
          <w:p>
            <w:r>
              <w:rPr>
                <w:sz w:val="20"/>
                <w:szCs w:val="20"/>
              </w:rPr>
              <w:t xml:space="preserve">Backup succeeds post-upgrade</w:t>
            </w:r>
          </w:p>
        </w:tc>
        <w:tc>
          <w:tcPr>
            <w:tcW w:type="dxa" w:w="3000"/>
            <w:shd w:fill="F2F2F2" w:val="clear"/>
            <w:tcMar>
              <w:top w:type="dxa" w:w="80"/>
              <w:left w:type="dxa" w:w="100"/>
              <w:bottom w:type="dxa" w:w="80"/>
              <w:right w:type="dxa" w:w="100"/>
            </w:tcMar>
          </w:tcPr>
          <w:p>
            <w:r>
              <w:rPr>
                <w:sz w:val="20"/>
                <w:szCs w:val="20"/>
              </w:rPr>
              <w:t xml:space="preserve">`BACKUP DATABASE ...`</w:t>
            </w:r>
          </w:p>
        </w:tc>
        <w:tc>
          <w:tcPr>
            <w:tcW w:type="dxa" w:w="2600"/>
            <w:shd w:fill="F2F2F2" w:val="clear"/>
            <w:tcMar>
              <w:top w:type="dxa" w:w="80"/>
              <w:left w:type="dxa" w:w="100"/>
              <w:bottom w:type="dxa" w:w="80"/>
              <w:right w:type="dxa" w:w="100"/>
            </w:tcMar>
          </w:tcPr>
          <w:p>
            <w:r>
              <w:rPr>
                <w:sz w:val="20"/>
                <w:szCs w:val="20"/>
              </w:rPr>
              <w:t xml:space="preserve">Completes successfully</w:t>
            </w:r>
          </w:p>
        </w:tc>
        <w:tc>
          <w:tcPr>
            <w:tcW w:type="dxa" w:w="1800"/>
            <w:shd w:fill="F2F2F2" w:val="clear"/>
            <w:tcMar>
              <w:top w:type="dxa" w:w="80"/>
              <w:left w:type="dxa" w:w="100"/>
              <w:bottom w:type="dxa" w:w="80"/>
              <w:right w:type="dxa" w:w="100"/>
            </w:tcMar>
          </w:tcPr>
          <w:p>
            <w:r>
              <w:rPr>
                <w:sz w:val="20"/>
                <w:szCs w:val="20"/>
              </w:rPr>
              <w:t xml:space="preserve">PASS/FAIL</w:t>
            </w:r>
          </w:p>
        </w:tc>
      </w:tr>
      <w:tr>
        <w:tc>
          <w:tcPr>
            <w:tcW w:type="dxa" w:w="2400"/>
            <w:tcMar>
              <w:top w:type="dxa" w:w="80"/>
              <w:left w:type="dxa" w:w="100"/>
              <w:bottom w:type="dxa" w:w="80"/>
              <w:right w:type="dxa" w:w="100"/>
            </w:tcMar>
          </w:tcPr>
          <w:p>
            <w:r>
              <w:rPr>
                <w:sz w:val="20"/>
                <w:szCs w:val="20"/>
              </w:rPr>
              <w:t xml:space="preserve">Performance within baseline</w:t>
            </w:r>
          </w:p>
        </w:tc>
        <w:tc>
          <w:tcPr>
            <w:tcW w:type="dxa" w:w="3000"/>
            <w:tcMar>
              <w:top w:type="dxa" w:w="80"/>
              <w:left w:type="dxa" w:w="100"/>
              <w:bottom w:type="dxa" w:w="80"/>
              <w:right w:type="dxa" w:w="100"/>
            </w:tcMar>
          </w:tcPr>
          <w:p>
            <w:r>
              <w:rPr>
                <w:sz w:val="20"/>
                <w:szCs w:val="20"/>
              </w:rPr>
              <w:t xml:space="preserve">Compare wait stats / query duration to Section baseline</w:t>
            </w:r>
          </w:p>
        </w:tc>
        <w:tc>
          <w:tcPr>
            <w:tcW w:type="dxa" w:w="2600"/>
            <w:tcMar>
              <w:top w:type="dxa" w:w="80"/>
              <w:left w:type="dxa" w:w="100"/>
              <w:bottom w:type="dxa" w:w="80"/>
              <w:right w:type="dxa" w:w="100"/>
            </w:tcMar>
          </w:tcPr>
          <w:p>
            <w:r>
              <w:rPr>
                <w:sz w:val="20"/>
                <w:szCs w:val="20"/>
              </w:rPr>
              <w:t xml:space="preserve">No material regression</w:t>
            </w:r>
          </w:p>
        </w:tc>
        <w:tc>
          <w:tcPr>
            <w:tcW w:type="dxa" w:w="1800"/>
            <w:tcMar>
              <w:top w:type="dxa" w:w="80"/>
              <w:left w:type="dxa" w:w="100"/>
              <w:bottom w:type="dxa" w:w="80"/>
              <w:right w:type="dxa" w:w="100"/>
            </w:tcMar>
          </w:tcPr>
          <w:p>
            <w:r>
              <w:rPr>
                <w:sz w:val="20"/>
                <w:szCs w:val="20"/>
              </w:rPr>
              <w:t xml:space="preserve">PASS/FAIL</w:t>
            </w:r>
          </w:p>
        </w:tc>
      </w:tr>
    </w:tbl>
    <w:p>
      <w:r>
        <w:br w:type="page"/>
      </w:r>
    </w:p>
    <w:p>
      <w:pPr>
        <w:pStyle w:val="Heading1"/>
        <w:spacing w:after="200" w:before="400"/>
      </w:pPr>
      <w:r>
        <w:t xml:space="preserve">Rollback Procedure</w:t>
      </w:r>
    </w:p>
    <w:p>
      <w:pPr>
        <w:pStyle w:val="Heading2"/>
        <w:spacing w:after="150" w:before="300"/>
      </w:pPr>
      <w:r>
        <w:t xml:space="preserve">Rollback Decision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600"/>
        <w:gridCol w:w="18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Scenario</w:t>
            </w:r>
          </w:p>
        </w:tc>
        <w:tc>
          <w:tcPr>
            <w:tcW w:type="dxa" w:w="3400"/>
            <w:shd w:fill="1F3864" w:val="clear"/>
            <w:tcMar>
              <w:top w:type="dxa" w:w="80"/>
              <w:left w:type="dxa" w:w="100"/>
              <w:bottom w:type="dxa" w:w="80"/>
              <w:right w:type="dxa" w:w="100"/>
            </w:tcMar>
            <w:vAlign w:val="center"/>
          </w:tcPr>
          <w:p>
            <w:r>
              <w:rPr>
                <w:b/>
                <w:bCs/>
                <w:color w:val="FFFFFF"/>
                <w:sz w:val="20"/>
                <w:szCs w:val="20"/>
              </w:rPr>
              <w:t xml:space="preserve">Rollback Action</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Decision Owner</w:t>
            </w:r>
          </w:p>
        </w:tc>
        <w:tc>
          <w:tcPr>
            <w:tcW w:type="dxa" w:w="1800"/>
            <w:shd w:fill="1F3864" w:val="clear"/>
            <w:tcMar>
              <w:top w:type="dxa" w:w="80"/>
              <w:left w:type="dxa" w:w="100"/>
              <w:bottom w:type="dxa" w:w="80"/>
              <w:right w:type="dxa" w:w="100"/>
            </w:tcMar>
            <w:vAlign w:val="center"/>
          </w:tcPr>
          <w:p>
            <w:r>
              <w:rPr>
                <w:b/>
                <w:bCs/>
                <w:color w:val="FFFFFF"/>
                <w:sz w:val="20"/>
                <w:szCs w:val="20"/>
              </w:rPr>
              <w:t xml:space="preserve">Est. Downtime</w:t>
            </w:r>
          </w:p>
        </w:tc>
      </w:tr>
      <w:tr>
        <w:tc>
          <w:tcPr>
            <w:tcW w:type="dxa" w:w="3000"/>
            <w:tcMar>
              <w:top w:type="dxa" w:w="80"/>
              <w:left w:type="dxa" w:w="100"/>
              <w:bottom w:type="dxa" w:w="80"/>
              <w:right w:type="dxa" w:w="100"/>
            </w:tcMar>
          </w:tcPr>
          <w:p>
            <w:r>
              <w:rPr>
                <w:sz w:val="20"/>
                <w:szCs w:val="20"/>
              </w:rPr>
              <w:t xml:space="preserve">OS setup fails / does not complete</w:t>
            </w:r>
          </w:p>
        </w:tc>
        <w:tc>
          <w:tcPr>
            <w:tcW w:type="dxa" w:w="3400"/>
            <w:tcMar>
              <w:top w:type="dxa" w:w="80"/>
              <w:left w:type="dxa" w:w="100"/>
              <w:bottom w:type="dxa" w:w="80"/>
              <w:right w:type="dxa" w:w="100"/>
            </w:tcMar>
          </w:tcPr>
          <w:p>
            <w:r>
              <w:rPr>
                <w:sz w:val="20"/>
                <w:szCs w:val="20"/>
              </w:rPr>
              <w:t xml:space="preserve">Windows built-in rollback (Settings → Recovery, 10-day window) OR VM snapshot revert</w:t>
            </w:r>
          </w:p>
        </w:tc>
        <w:tc>
          <w:tcPr>
            <w:tcW w:type="dxa" w:w="1600"/>
            <w:tcMar>
              <w:top w:type="dxa" w:w="80"/>
              <w:left w:type="dxa" w:w="100"/>
              <w:bottom w:type="dxa" w:w="80"/>
              <w:right w:type="dxa" w:w="100"/>
            </w:tcMar>
          </w:tcPr>
          <w:p>
            <w:r>
              <w:rPr>
                <w:sz w:val="20"/>
                <w:szCs w:val="20"/>
              </w:rPr>
              <w:t xml:space="preserve">Infra Lead</w:t>
            </w:r>
          </w:p>
        </w:tc>
        <w:tc>
          <w:tcPr>
            <w:tcW w:type="dxa" w:w="1800"/>
            <w:tcMar>
              <w:top w:type="dxa" w:w="80"/>
              <w:left w:type="dxa" w:w="100"/>
              <w:bottom w:type="dxa" w:w="80"/>
              <w:right w:type="dxa" w:w="100"/>
            </w:tcMar>
          </w:tcPr>
          <w:p>
            <w:r>
              <w:rPr>
                <w:sz w:val="20"/>
                <w:szCs w:val="20"/>
              </w:rPr>
              <w:t xml:space="preserve">30–90 min</w:t>
            </w:r>
          </w:p>
        </w:tc>
      </w:tr>
      <w:tr>
        <w:tc>
          <w:tcPr>
            <w:tcW w:type="dxa" w:w="3000"/>
            <w:shd w:fill="F2F2F2" w:val="clear"/>
            <w:tcMar>
              <w:top w:type="dxa" w:w="80"/>
              <w:left w:type="dxa" w:w="100"/>
              <w:bottom w:type="dxa" w:w="80"/>
              <w:right w:type="dxa" w:w="100"/>
            </w:tcMar>
          </w:tcPr>
          <w:p>
            <w:r>
              <w:rPr>
                <w:sz w:val="20"/>
                <w:szCs w:val="20"/>
              </w:rPr>
              <w:t xml:space="preserve">OS upgrade completes but critical service fails post-validation</w:t>
            </w:r>
          </w:p>
        </w:tc>
        <w:tc>
          <w:tcPr>
            <w:tcW w:type="dxa" w:w="3400"/>
            <w:shd w:fill="F2F2F2" w:val="clear"/>
            <w:tcMar>
              <w:top w:type="dxa" w:w="80"/>
              <w:left w:type="dxa" w:w="100"/>
              <w:bottom w:type="dxa" w:w="80"/>
              <w:right w:type="dxa" w:w="100"/>
            </w:tcMar>
          </w:tcPr>
          <w:p>
            <w:r>
              <w:rPr>
                <w:sz w:val="20"/>
                <w:szCs w:val="20"/>
              </w:rPr>
              <w:t xml:space="preserve">VM snapshot revert to pre-upgrade state</w:t>
            </w:r>
          </w:p>
        </w:tc>
        <w:tc>
          <w:tcPr>
            <w:tcW w:type="dxa" w:w="1600"/>
            <w:shd w:fill="F2F2F2" w:val="clear"/>
            <w:tcMar>
              <w:top w:type="dxa" w:w="80"/>
              <w:left w:type="dxa" w:w="100"/>
              <w:bottom w:type="dxa" w:w="80"/>
              <w:right w:type="dxa" w:w="100"/>
            </w:tcMar>
          </w:tcPr>
          <w:p>
            <w:r>
              <w:rPr>
                <w:sz w:val="20"/>
                <w:szCs w:val="20"/>
              </w:rPr>
              <w:t xml:space="preserve">Infra Lead + App Owner</w:t>
            </w:r>
          </w:p>
        </w:tc>
        <w:tc>
          <w:tcPr>
            <w:tcW w:type="dxa" w:w="1800"/>
            <w:shd w:fill="F2F2F2" w:val="clear"/>
            <w:tcMar>
              <w:top w:type="dxa" w:w="80"/>
              <w:left w:type="dxa" w:w="100"/>
              <w:bottom w:type="dxa" w:w="80"/>
              <w:right w:type="dxa" w:w="100"/>
            </w:tcMar>
          </w:tcPr>
          <w:p>
            <w:r>
              <w:rPr>
                <w:sz w:val="20"/>
                <w:szCs w:val="20"/>
              </w:rPr>
              <w:t xml:space="preserve">30–60 min</w:t>
            </w:r>
          </w:p>
        </w:tc>
      </w:tr>
      <w:tr>
        <w:tc>
          <w:tcPr>
            <w:tcW w:type="dxa" w:w="3000"/>
            <w:tcMar>
              <w:top w:type="dxa" w:w="80"/>
              <w:left w:type="dxa" w:w="100"/>
              <w:bottom w:type="dxa" w:w="80"/>
              <w:right w:type="dxa" w:w="100"/>
            </w:tcMar>
          </w:tcPr>
          <w:p>
            <w:r>
              <w:rPr>
                <w:sz w:val="20"/>
                <w:szCs w:val="20"/>
              </w:rPr>
              <w:t xml:space="preserve">SQL setup fails mid-install</w:t>
            </w:r>
          </w:p>
        </w:tc>
        <w:tc>
          <w:tcPr>
            <w:tcW w:type="dxa" w:w="3400"/>
            <w:tcMar>
              <w:top w:type="dxa" w:w="80"/>
              <w:left w:type="dxa" w:w="100"/>
              <w:bottom w:type="dxa" w:w="80"/>
              <w:right w:type="dxa" w:w="100"/>
            </w:tcMar>
          </w:tcPr>
          <w:p>
            <w:r>
              <w:rPr>
                <w:sz w:val="20"/>
                <w:szCs w:val="20"/>
              </w:rPr>
              <w:t xml:space="preserve">VM snapshot revert (if taken pre-SQL-setup) OR reinstall matching SQL 2016 build + restore system/user DBs</w:t>
            </w:r>
          </w:p>
        </w:tc>
        <w:tc>
          <w:tcPr>
            <w:tcW w:type="dxa" w:w="1600"/>
            <w:tcMar>
              <w:top w:type="dxa" w:w="80"/>
              <w:left w:type="dxa" w:w="100"/>
              <w:bottom w:type="dxa" w:w="80"/>
              <w:right w:type="dxa" w:w="100"/>
            </w:tcMar>
          </w:tcPr>
          <w:p>
            <w:r>
              <w:rPr>
                <w:sz w:val="20"/>
                <w:szCs w:val="20"/>
              </w:rPr>
              <w:t xml:space="preserve">DBA Lead</w:t>
            </w:r>
          </w:p>
        </w:tc>
        <w:tc>
          <w:tcPr>
            <w:tcW w:type="dxa" w:w="1800"/>
            <w:tcMar>
              <w:top w:type="dxa" w:w="80"/>
              <w:left w:type="dxa" w:w="100"/>
              <w:bottom w:type="dxa" w:w="80"/>
              <w:right w:type="dxa" w:w="100"/>
            </w:tcMar>
          </w:tcPr>
          <w:p>
            <w:r>
              <w:rPr>
                <w:sz w:val="20"/>
                <w:szCs w:val="20"/>
              </w:rPr>
              <w:t xml:space="preserve">1–3 hours</w:t>
            </w:r>
          </w:p>
        </w:tc>
      </w:tr>
      <w:tr>
        <w:tc>
          <w:tcPr>
            <w:tcW w:type="dxa" w:w="3000"/>
            <w:shd w:fill="F2F2F2" w:val="clear"/>
            <w:tcMar>
              <w:top w:type="dxa" w:w="80"/>
              <w:left w:type="dxa" w:w="100"/>
              <w:bottom w:type="dxa" w:w="80"/>
              <w:right w:type="dxa" w:w="100"/>
            </w:tcMar>
          </w:tcPr>
          <w:p>
            <w:r>
              <w:rPr>
                <w:sz w:val="20"/>
                <w:szCs w:val="20"/>
              </w:rPr>
              <w:t xml:space="preserve">SQL upgrade completes but data/functional validation fails</w:t>
            </w:r>
          </w:p>
        </w:tc>
        <w:tc>
          <w:tcPr>
            <w:tcW w:type="dxa" w:w="3400"/>
            <w:shd w:fill="F2F2F2" w:val="clear"/>
            <w:tcMar>
              <w:top w:type="dxa" w:w="80"/>
              <w:left w:type="dxa" w:w="100"/>
              <w:bottom w:type="dxa" w:w="80"/>
              <w:right w:type="dxa" w:w="100"/>
            </w:tcMar>
          </w:tcPr>
          <w:p>
            <w:r>
              <w:rPr>
                <w:sz w:val="20"/>
                <w:szCs w:val="20"/>
              </w:rPr>
              <w:t xml:space="preserve">Restore user databases from pre-upgrade backup chain to a SQL Server 2016 instance (may require rebuild); or snapshot revert if window allows full VM rollback</w:t>
            </w:r>
          </w:p>
        </w:tc>
        <w:tc>
          <w:tcPr>
            <w:tcW w:type="dxa" w:w="1600"/>
            <w:shd w:fill="F2F2F2" w:val="clear"/>
            <w:tcMar>
              <w:top w:type="dxa" w:w="80"/>
              <w:left w:type="dxa" w:w="100"/>
              <w:bottom w:type="dxa" w:w="80"/>
              <w:right w:type="dxa" w:w="100"/>
            </w:tcMar>
          </w:tcPr>
          <w:p>
            <w:r>
              <w:rPr>
                <w:sz w:val="20"/>
                <w:szCs w:val="20"/>
              </w:rPr>
              <w:t xml:space="preserve">DBA Lead + App Owner</w:t>
            </w:r>
          </w:p>
        </w:tc>
        <w:tc>
          <w:tcPr>
            <w:tcW w:type="dxa" w:w="1800"/>
            <w:shd w:fill="F2F2F2" w:val="clear"/>
            <w:tcMar>
              <w:top w:type="dxa" w:w="80"/>
              <w:left w:type="dxa" w:w="100"/>
              <w:bottom w:type="dxa" w:w="80"/>
              <w:right w:type="dxa" w:w="100"/>
            </w:tcMar>
          </w:tcPr>
          <w:p>
            <w:r>
              <w:rPr>
                <w:sz w:val="20"/>
                <w:szCs w:val="20"/>
              </w:rPr>
              <w:t xml:space="preserve">1–4 hours</w:t>
            </w:r>
          </w:p>
        </w:tc>
      </w:tr>
      <w:tr>
        <w:tc>
          <w:tcPr>
            <w:tcW w:type="dxa" w:w="3000"/>
            <w:tcMar>
              <w:top w:type="dxa" w:w="80"/>
              <w:left w:type="dxa" w:w="100"/>
              <w:bottom w:type="dxa" w:w="80"/>
              <w:right w:type="dxa" w:w="100"/>
            </w:tcMar>
          </w:tcPr>
          <w:p>
            <w:r>
              <w:rPr>
                <w:sz w:val="20"/>
                <w:szCs w:val="20"/>
              </w:rPr>
              <w:t xml:space="preserve">AlwaysOn AG fails to re-synchronize post-upgrade</w:t>
            </w:r>
          </w:p>
        </w:tc>
        <w:tc>
          <w:tcPr>
            <w:tcW w:type="dxa" w:w="3400"/>
            <w:tcMar>
              <w:top w:type="dxa" w:w="80"/>
              <w:left w:type="dxa" w:w="100"/>
              <w:bottom w:type="dxa" w:w="80"/>
              <w:right w:type="dxa" w:w="100"/>
            </w:tcMar>
          </w:tcPr>
          <w:p>
            <w:r>
              <w:rPr>
                <w:sz w:val="20"/>
                <w:szCs w:val="20"/>
              </w:rPr>
              <w:t xml:space="preserve">Remove affected replica from AG, snapshot revert or reinstall, re-join and re-seed</w:t>
            </w:r>
          </w:p>
        </w:tc>
        <w:tc>
          <w:tcPr>
            <w:tcW w:type="dxa" w:w="1600"/>
            <w:tcMar>
              <w:top w:type="dxa" w:w="80"/>
              <w:left w:type="dxa" w:w="100"/>
              <w:bottom w:type="dxa" w:w="80"/>
              <w:right w:type="dxa" w:w="100"/>
            </w:tcMar>
          </w:tcPr>
          <w:p>
            <w:r>
              <w:rPr>
                <w:sz w:val="20"/>
                <w:szCs w:val="20"/>
              </w:rPr>
              <w:t xml:space="preserve">DBA Lead</w:t>
            </w:r>
          </w:p>
        </w:tc>
        <w:tc>
          <w:tcPr>
            <w:tcW w:type="dxa" w:w="1800"/>
            <w:tcMar>
              <w:top w:type="dxa" w:w="80"/>
              <w:left w:type="dxa" w:w="100"/>
              <w:bottom w:type="dxa" w:w="80"/>
              <w:right w:type="dxa" w:w="100"/>
            </w:tcMar>
          </w:tcPr>
          <w:p>
            <w:r>
              <w:rPr>
                <w:sz w:val="20"/>
                <w:szCs w:val="20"/>
              </w:rPr>
              <w:t xml:space="preserve">2–6 hours depending on DB size</w:t>
            </w:r>
          </w:p>
        </w:tc>
      </w:tr>
    </w:tbl>
    <w:p>
      <w:pPr>
        <w:spacing w:after="120"/>
      </w:pPr>
    </w:p>
    <w:p>
      <w:pPr>
        <w:pStyle w:val="Heading2"/>
        <w:spacing w:after="150" w:before="300"/>
      </w:pPr>
      <w:r>
        <w:t xml:space="preserve">VM Snapshot Restore</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Get-Snapshot -VM &lt;VMName&gt; -Name "PreOSUpgrade_&lt;CHG#&gt;" | Set-VM -VM &lt;VMName&gt; -Confirm:$false
# or via GUI: vCenter → VM → Snapshots → Revert to Snapshot</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CE8E6" w:val="clear"/>
            <w:tcMar>
              <w:top w:type="dxa" w:w="100"/>
              <w:left w:type="dxa" w:w="150"/>
              <w:bottom w:type="dxa" w:w="100"/>
              <w:right w:type="dxa" w:w="150"/>
            </w:tcMar>
          </w:tcPr>
          <w:p>
            <w:r>
              <w:rPr>
                <w:b/>
                <w:bCs/>
                <w:color w:val="C0392B"/>
              </w:rPr>
              <w:t xml:space="preserve">WARNING</w:t>
            </w:r>
          </w:p>
          <w:p>
            <w:r>
              <w:t xml:space="preserve">Reverting a snapshot discards ALL changes made after the snapshot was taken, including any legitimate transactions processed during the change window. Confirm with the application/business owner that this data-loss window is acceptable before reverting, and pull a fresh SQL transaction log backup (tail-log backup) immediately before reverting where the database is still accessible, to minimize loss.</w:t>
            </w:r>
          </w:p>
        </w:tc>
      </w:tr>
    </w:tbl>
    <w:p>
      <w:pPr>
        <w:pStyle w:val="Heading2"/>
        <w:spacing w:after="150" w:before="300"/>
      </w:pPr>
      <w:r>
        <w:t xml:space="preserve">SQL Restore</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RESTORE DATABASE [&lt;DatabaseName&gt;] FROM DISK = 'E:\Backups\&lt;DatabaseName&gt;_Full_PreUpgrade.bak'
  WITH NORECOVERY, REPLACE;
RESTORE LOG [&lt;DatabaseName&gt;] FROM DISK = 'E:\Backups\&lt;DatabaseName&gt;_Log_PreUpgrade.trn'
  WITH RECOVERY;</w:t>
      </w:r>
    </w:p>
    <w:p>
      <w:pPr>
        <w:pStyle w:val="Heading2"/>
        <w:spacing w:after="150" w:before="300"/>
      </w:pPr>
      <w:r>
        <w:t xml:space="preserve">System State / OS Restore</w:t>
      </w:r>
    </w:p>
    <w:p>
      <w:pPr>
        <w:pBdr>
          <w:top w:val="single" w:color="CCCCCC" w:sz="2"/>
          <w:bottom w:val="single" w:color="CCCCCC" w:sz="2"/>
          <w:left w:val="single" w:color="CCCCCC" w:sz="2"/>
          <w:right w:val="single" w:color="CCCCCC" w:sz="2"/>
        </w:pBdr>
        <w:shd w:fill="F4F4F4" w:val="clear"/>
        <w:spacing w:after="150" w:before="80"/>
      </w:pPr>
      <w:r>
        <w:rPr>
          <w:rFonts w:ascii="Consolas" w:cs="Consolas" w:eastAsia="Consolas" w:hAnsi="Consolas"/>
          <w:sz w:val="19"/>
          <w:szCs w:val="19"/>
        </w:rPr>
        <w:t xml:space="preserve">wbadmin start recovery -version:&lt;VersionIdentifier&gt; -itemType:App -items:SystemState -recoveryTarget:C: -quiet</w:t>
      </w:r>
    </w:p>
    <w:p>
      <w:pPr>
        <w:pStyle w:val="Heading2"/>
        <w:spacing w:after="150" w:before="300"/>
      </w:pPr>
      <w:r>
        <w:t xml:space="preserve">Rollback Validation</w:t>
      </w:r>
    </w:p>
    <w:p>
      <w:pPr>
        <w:pStyle w:val="ListParagraph"/>
        <w:numPr>
          <w:ilvl w:val="0"/>
          <w:numId w:val="2"/>
        </w:numPr>
        <w:spacing w:after="60"/>
      </w:pPr>
      <w:r>
        <w:t xml:space="preserve">Confirm OS boots and reports the expected (pre-upgrade) version via `Get-ComputerInfo`.</w:t>
      </w:r>
    </w:p>
    <w:p>
      <w:pPr>
        <w:pStyle w:val="ListParagraph"/>
        <w:numPr>
          <w:ilvl w:val="0"/>
          <w:numId w:val="2"/>
        </w:numPr>
        <w:spacing w:after="60"/>
      </w:pPr>
      <w:r>
        <w:t xml:space="preserve">Confirm SQL Server service starts and all databases report ONLINE.</w:t>
      </w:r>
    </w:p>
    <w:p>
      <w:pPr>
        <w:pStyle w:val="ListParagraph"/>
        <w:numPr>
          <w:ilvl w:val="0"/>
          <w:numId w:val="2"/>
        </w:numPr>
        <w:spacing w:after="60"/>
      </w:pPr>
      <w:r>
        <w:t xml:space="preserve">Confirm application connectivity and core business transaction smoke test pass.</w:t>
      </w:r>
    </w:p>
    <w:p>
      <w:pPr>
        <w:pStyle w:val="ListParagraph"/>
        <w:numPr>
          <w:ilvl w:val="0"/>
          <w:numId w:val="2"/>
        </w:numPr>
        <w:spacing w:after="60"/>
      </w:pPr>
      <w:r>
        <w:t xml:space="preserve">Notify CAB, application owners, and monitoring teams of rollback completion and updated change status.</w:t>
      </w:r>
    </w:p>
    <w:p>
      <w:pPr>
        <w:pStyle w:val="ListParagraph"/>
        <w:numPr>
          <w:ilvl w:val="0"/>
          <w:numId w:val="2"/>
        </w:numPr>
        <w:spacing w:after="60"/>
      </w:pPr>
      <w:r>
        <w:t xml:space="preserve">Document rollback root cause and required remediation before rescheduling the change.</w:t>
      </w:r>
    </w:p>
    <w:p>
      <w:r>
        <w:br w:type="page"/>
      </w:r>
    </w:p>
    <w:p>
      <w:pPr>
        <w:pStyle w:val="Heading1"/>
        <w:spacing w:after="200" w:before="400"/>
      </w:pPr>
      <w:r>
        <w:t xml:space="preserve">Troubleshooting Guide</w:t>
      </w:r>
    </w:p>
    <w:p>
      <w:pPr>
        <w:spacing w:after="150"/>
      </w:pPr>
      <w:r>
        <w:t xml:space="preserve">The table below documents common issues observed during Windows Server 2016→2022 and SQL Server 2016→2022 in-place upgrades, organized by symptom. Use this as a first-response reference during the change window; escalate to vendor support if a symptom is not listed or the documented resolution does not apply.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00"/>
        <w:gridCol w:w="1500"/>
        <w:gridCol w:w="1500"/>
        <w:gridCol w:w="1900"/>
      </w:tblGrid>
      <w:tr>
        <w:trPr>
          <w:tblHeader/>
        </w:trPr>
        <w:tc>
          <w:tcPr>
            <w:tcW w:type="dxa" w:w="17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1900"/>
            <w:shd w:fill="1F3864" w:val="clear"/>
            <w:tcMar>
              <w:top w:type="dxa" w:w="80"/>
              <w:left w:type="dxa" w:w="100"/>
              <w:bottom w:type="dxa" w:w="80"/>
              <w:right w:type="dxa" w:w="100"/>
            </w:tcMar>
            <w:vAlign w:val="center"/>
          </w:tcPr>
          <w:p>
            <w:r>
              <w:rPr>
                <w:b/>
                <w:bCs/>
                <w:color w:val="FFFFFF"/>
                <w:sz w:val="20"/>
                <w:szCs w:val="20"/>
              </w:rPr>
              <w:t xml:space="preserve">Likely Cause</w:t>
            </w:r>
          </w:p>
        </w:tc>
        <w:tc>
          <w:tcPr>
            <w:tcW w:type="dxa" w:w="2500"/>
            <w:shd w:fill="1F3864" w:val="clear"/>
            <w:tcMar>
              <w:top w:type="dxa" w:w="80"/>
              <w:left w:type="dxa" w:w="100"/>
              <w:bottom w:type="dxa" w:w="80"/>
              <w:right w:type="dxa" w:w="100"/>
            </w:tcMar>
            <w:vAlign w:val="center"/>
          </w:tcPr>
          <w:p>
            <w:r>
              <w:rPr>
                <w:b/>
                <w:bCs/>
                <w:color w:val="FFFFFF"/>
                <w:sz w:val="20"/>
                <w:szCs w:val="20"/>
              </w:rPr>
              <w:t xml:space="preserve">Resolution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Diagnostic Command</w:t>
            </w:r>
          </w:p>
        </w:tc>
        <w:tc>
          <w:tcPr>
            <w:tcW w:type="dxa" w:w="1500"/>
            <w:shd w:fill="1F3864" w:val="clear"/>
            <w:tcMar>
              <w:top w:type="dxa" w:w="80"/>
              <w:left w:type="dxa" w:w="100"/>
              <w:bottom w:type="dxa" w:w="80"/>
              <w:right w:type="dxa" w:w="100"/>
            </w:tcMar>
            <w:vAlign w:val="center"/>
          </w:tcPr>
          <w:p>
            <w:r>
              <w:rPr>
                <w:b/>
                <w:bCs/>
                <w:color w:val="FFFFFF"/>
                <w:sz w:val="20"/>
                <w:szCs w:val="20"/>
              </w:rPr>
              <w:t xml:space="preserve">Relevant Logs</w:t>
            </w:r>
          </w:p>
        </w:tc>
        <w:tc>
          <w:tcPr>
            <w:tcW w:type="dxa" w:w="1900"/>
            <w:shd w:fill="1F3864" w:val="clear"/>
            <w:tcMar>
              <w:top w:type="dxa" w:w="80"/>
              <w:left w:type="dxa" w:w="100"/>
              <w:bottom w:type="dxa" w:w="80"/>
              <w:right w:type="dxa" w:w="100"/>
            </w:tcMar>
            <w:vAlign w:val="center"/>
          </w:tcPr>
          <w:p>
            <w:r>
              <w:rPr>
                <w:b/>
                <w:bCs/>
                <w:color w:val="FFFFFF"/>
                <w:sz w:val="20"/>
                <w:szCs w:val="20"/>
              </w:rPr>
              <w:t xml:space="preserve">Microsoft Reference</w:t>
            </w:r>
          </w:p>
        </w:tc>
      </w:tr>
      <w:tr>
        <w:tc>
          <w:tcPr>
            <w:tcW w:type="dxa" w:w="1700"/>
            <w:tcMar>
              <w:top w:type="dxa" w:w="80"/>
              <w:left w:type="dxa" w:w="100"/>
              <w:bottom w:type="dxa" w:w="80"/>
              <w:right w:type="dxa" w:w="100"/>
            </w:tcMar>
          </w:tcPr>
          <w:p>
            <w:r>
              <w:rPr>
                <w:sz w:val="20"/>
                <w:szCs w:val="20"/>
              </w:rPr>
              <w:t xml:space="preserve">Setup blocked by 'Domain Controller detected' warning</w:t>
            </w:r>
          </w:p>
        </w:tc>
        <w:tc>
          <w:tcPr>
            <w:tcW w:type="dxa" w:w="1900"/>
            <w:tcMar>
              <w:top w:type="dxa" w:w="80"/>
              <w:left w:type="dxa" w:w="100"/>
              <w:bottom w:type="dxa" w:w="80"/>
              <w:right w:type="dxa" w:w="100"/>
            </w:tcMar>
          </w:tcPr>
          <w:p>
            <w:r>
              <w:rPr>
                <w:sz w:val="20"/>
                <w:szCs w:val="20"/>
              </w:rPr>
              <w:t xml:space="preserve">Server holds AD DS role or is a DC</w:t>
            </w:r>
          </w:p>
        </w:tc>
        <w:tc>
          <w:tcPr>
            <w:tcW w:type="dxa" w:w="2500"/>
            <w:tcMar>
              <w:top w:type="dxa" w:w="80"/>
              <w:left w:type="dxa" w:w="100"/>
              <w:bottom w:type="dxa" w:w="80"/>
              <w:right w:type="dxa" w:w="100"/>
            </w:tcMar>
          </w:tcPr>
          <w:p>
            <w:r>
              <w:rPr>
                <w:sz w:val="20"/>
                <w:szCs w:val="20"/>
              </w:rPr>
              <w:t xml:space="preserve">Domain Controllers require a separate, DC-specific upgrade procedure; do not use this general SOP unmodified</w:t>
            </w:r>
          </w:p>
        </w:tc>
        <w:tc>
          <w:tcPr>
            <w:tcW w:type="dxa" w:w="1500"/>
            <w:tcMar>
              <w:top w:type="dxa" w:w="80"/>
              <w:left w:type="dxa" w:w="100"/>
              <w:bottom w:type="dxa" w:w="80"/>
              <w:right w:type="dxa" w:w="100"/>
            </w:tcMar>
          </w:tcPr>
          <w:p>
            <w:r>
              <w:rPr>
                <w:sz w:val="20"/>
                <w:szCs w:val="20"/>
              </w:rPr>
              <w:t xml:space="preserve">`Get-WindowsFeature AD-Domain-Services`</w:t>
            </w:r>
          </w:p>
        </w:tc>
        <w:tc>
          <w:tcPr>
            <w:tcW w:type="dxa" w:w="1500"/>
            <w:tcMar>
              <w:top w:type="dxa" w:w="80"/>
              <w:left w:type="dxa" w:w="100"/>
              <w:bottom w:type="dxa" w:w="80"/>
              <w:right w:type="dxa" w:w="100"/>
            </w:tcMar>
          </w:tcPr>
          <w:p>
            <w:r>
              <w:rPr>
                <w:sz w:val="20"/>
                <w:szCs w:val="20"/>
              </w:rPr>
              <w:t xml:space="preserve">Setup log, Panther logs</w:t>
            </w:r>
          </w:p>
        </w:tc>
        <w:tc>
          <w:tcPr>
            <w:tcW w:type="dxa" w:w="1900"/>
            <w:tcMar>
              <w:top w:type="dxa" w:w="80"/>
              <w:left w:type="dxa" w:w="100"/>
              <w:bottom w:type="dxa" w:w="80"/>
              <w:right w:type="dxa" w:w="100"/>
            </w:tcMar>
          </w:tcPr>
          <w:p>
            <w:r>
              <w:rPr>
                <w:sz w:val="20"/>
                <w:szCs w:val="20"/>
              </w:rPr>
              <w:t xml:space="preserve">learn.microsoft.com/windows-server/identity</w:t>
            </w:r>
          </w:p>
        </w:tc>
      </w:tr>
      <w:tr>
        <w:tc>
          <w:tcPr>
            <w:tcW w:type="dxa" w:w="1700"/>
            <w:shd w:fill="F2F2F2" w:val="clear"/>
            <w:tcMar>
              <w:top w:type="dxa" w:w="80"/>
              <w:left w:type="dxa" w:w="100"/>
              <w:bottom w:type="dxa" w:w="80"/>
              <w:right w:type="dxa" w:w="100"/>
            </w:tcMar>
          </w:tcPr>
          <w:p>
            <w:r>
              <w:rPr>
                <w:sz w:val="20"/>
                <w:szCs w:val="20"/>
              </w:rPr>
              <w:t xml:space="preserve">Compatibility scan reports 'incompatible driver'</w:t>
            </w:r>
          </w:p>
        </w:tc>
        <w:tc>
          <w:tcPr>
            <w:tcW w:type="dxa" w:w="1900"/>
            <w:shd w:fill="F2F2F2" w:val="clear"/>
            <w:tcMar>
              <w:top w:type="dxa" w:w="80"/>
              <w:left w:type="dxa" w:w="100"/>
              <w:bottom w:type="dxa" w:w="80"/>
              <w:right w:type="dxa" w:w="100"/>
            </w:tcMar>
          </w:tcPr>
          <w:p>
            <w:r>
              <w:rPr>
                <w:sz w:val="20"/>
                <w:szCs w:val="20"/>
              </w:rPr>
              <w:t xml:space="preserve">Third-party or OEM driver lacks a Server 2022 WHQL-signed version</w:t>
            </w:r>
          </w:p>
        </w:tc>
        <w:tc>
          <w:tcPr>
            <w:tcW w:type="dxa" w:w="2500"/>
            <w:shd w:fill="F2F2F2" w:val="clear"/>
            <w:tcMar>
              <w:top w:type="dxa" w:w="80"/>
              <w:left w:type="dxa" w:w="100"/>
              <w:bottom w:type="dxa" w:w="80"/>
              <w:right w:type="dxa" w:w="100"/>
            </w:tcMar>
          </w:tcPr>
          <w:p>
            <w:r>
              <w:rPr>
                <w:sz w:val="20"/>
                <w:szCs w:val="20"/>
              </w:rPr>
              <w:t xml:space="preserve">Obtain updated driver from vendor before proceeding; do not force-install an incompatible driver</w:t>
            </w:r>
          </w:p>
        </w:tc>
        <w:tc>
          <w:tcPr>
            <w:tcW w:type="dxa" w:w="1500"/>
            <w:shd w:fill="F2F2F2" w:val="clear"/>
            <w:tcMar>
              <w:top w:type="dxa" w:w="80"/>
              <w:left w:type="dxa" w:w="100"/>
              <w:bottom w:type="dxa" w:w="80"/>
              <w:right w:type="dxa" w:w="100"/>
            </w:tcMar>
          </w:tcPr>
          <w:p>
            <w:r>
              <w:rPr>
                <w:sz w:val="20"/>
                <w:szCs w:val="20"/>
              </w:rPr>
              <w:t xml:space="preserve">`pnputil /enum-drivers`</w:t>
            </w:r>
          </w:p>
        </w:tc>
        <w:tc>
          <w:tcPr>
            <w:tcW w:type="dxa" w:w="1500"/>
            <w:shd w:fill="F2F2F2" w:val="clear"/>
            <w:tcMar>
              <w:top w:type="dxa" w:w="80"/>
              <w:left w:type="dxa" w:w="100"/>
              <w:bottom w:type="dxa" w:w="80"/>
              <w:right w:type="dxa" w:w="100"/>
            </w:tcMar>
          </w:tcPr>
          <w:p>
            <w:r>
              <w:rPr>
                <w:sz w:val="20"/>
                <w:szCs w:val="20"/>
              </w:rPr>
              <w:t xml:space="preserve">%windir%\Panther\ScanResult.xml</w:t>
            </w:r>
          </w:p>
        </w:tc>
        <w:tc>
          <w:tcPr>
            <w:tcW w:type="dxa" w:w="1900"/>
            <w:shd w:fill="F2F2F2" w:val="clear"/>
            <w:tcMar>
              <w:top w:type="dxa" w:w="80"/>
              <w:left w:type="dxa" w:w="100"/>
              <w:bottom w:type="dxa" w:w="80"/>
              <w:right w:type="dxa" w:w="100"/>
            </w:tcMar>
          </w:tcPr>
          <w:p>
            <w:r>
              <w:rPr>
                <w:sz w:val="20"/>
                <w:szCs w:val="20"/>
              </w:rPr>
              <w:t xml:space="preserve">learn.microsoft.com/windows-hardware/drivers</w:t>
            </w:r>
          </w:p>
        </w:tc>
      </w:tr>
      <w:tr>
        <w:tc>
          <w:tcPr>
            <w:tcW w:type="dxa" w:w="1700"/>
            <w:tcMar>
              <w:top w:type="dxa" w:w="80"/>
              <w:left w:type="dxa" w:w="100"/>
              <w:bottom w:type="dxa" w:w="80"/>
              <w:right w:type="dxa" w:w="100"/>
            </w:tcMar>
          </w:tcPr>
          <w:p>
            <w:r>
              <w:rPr>
                <w:sz w:val="20"/>
                <w:szCs w:val="20"/>
              </w:rPr>
              <w:t xml:space="preserve">Setup fails with 0xC1900101 (driver-related rollback)</w:t>
            </w:r>
          </w:p>
        </w:tc>
        <w:tc>
          <w:tcPr>
            <w:tcW w:type="dxa" w:w="1900"/>
            <w:tcMar>
              <w:top w:type="dxa" w:w="80"/>
              <w:left w:type="dxa" w:w="100"/>
              <w:bottom w:type="dxa" w:w="80"/>
              <w:right w:type="dxa" w:w="100"/>
            </w:tcMar>
          </w:tcPr>
          <w:p>
            <w:r>
              <w:rPr>
                <w:sz w:val="20"/>
                <w:szCs w:val="20"/>
              </w:rPr>
              <w:t xml:space="preserve">Incompatible storage or network driver caused a mid-upgrade failure</w:t>
            </w:r>
          </w:p>
        </w:tc>
        <w:tc>
          <w:tcPr>
            <w:tcW w:type="dxa" w:w="2500"/>
            <w:tcMar>
              <w:top w:type="dxa" w:w="80"/>
              <w:left w:type="dxa" w:w="100"/>
              <w:bottom w:type="dxa" w:w="80"/>
              <w:right w:type="dxa" w:w="100"/>
            </w:tcMar>
          </w:tcPr>
          <w:p>
            <w:r>
              <w:rPr>
                <w:sz w:val="20"/>
                <w:szCs w:val="20"/>
              </w:rPr>
              <w:t xml:space="preserve">Update the offending driver, clear WinSxS corruption if present, retry upgrade</w:t>
            </w:r>
          </w:p>
        </w:tc>
        <w:tc>
          <w:tcPr>
            <w:tcW w:type="dxa" w:w="1500"/>
            <w:tcMar>
              <w:top w:type="dxa" w:w="80"/>
              <w:left w:type="dxa" w:w="100"/>
              <w:bottom w:type="dxa" w:w="80"/>
              <w:right w:type="dxa" w:w="100"/>
            </w:tcMar>
          </w:tcPr>
          <w:p>
            <w:r>
              <w:rPr>
                <w:sz w:val="20"/>
                <w:szCs w:val="20"/>
              </w:rPr>
              <w:t xml:space="preserve">`DISM /Online /Cleanup-Image /RestoreHealth`</w:t>
            </w:r>
          </w:p>
        </w:tc>
        <w:tc>
          <w:tcPr>
            <w:tcW w:type="dxa" w:w="1500"/>
            <w:tcMar>
              <w:top w:type="dxa" w:w="80"/>
              <w:left w:type="dxa" w:w="100"/>
              <w:bottom w:type="dxa" w:w="80"/>
              <w:right w:type="dxa" w:w="100"/>
            </w:tcMar>
          </w:tcPr>
          <w:p>
            <w:r>
              <w:rPr>
                <w:sz w:val="20"/>
                <w:szCs w:val="20"/>
              </w:rPr>
              <w:t xml:space="preserve">setupact.log, setuperr.log in $Windows.~BT\Sources\Panther</w:t>
            </w:r>
          </w:p>
        </w:tc>
        <w:tc>
          <w:tcPr>
            <w:tcW w:type="dxa" w:w="1900"/>
            <w:tcMar>
              <w:top w:type="dxa" w:w="80"/>
              <w:left w:type="dxa" w:w="100"/>
              <w:bottom w:type="dxa" w:w="80"/>
              <w:right w:type="dxa" w:w="100"/>
            </w:tcMar>
          </w:tcPr>
          <w:p>
            <w:r>
              <w:rPr>
                <w:sz w:val="20"/>
                <w:szCs w:val="20"/>
              </w:rPr>
              <w:t xml:space="preserve">learn.microsoft.com/windows/deployment/upgrade/quick-fixes</w:t>
            </w:r>
          </w:p>
        </w:tc>
      </w:tr>
      <w:tr>
        <w:tc>
          <w:tcPr>
            <w:tcW w:type="dxa" w:w="1700"/>
            <w:shd w:fill="F2F2F2" w:val="clear"/>
            <w:tcMar>
              <w:top w:type="dxa" w:w="80"/>
              <w:left w:type="dxa" w:w="100"/>
              <w:bottom w:type="dxa" w:w="80"/>
              <w:right w:type="dxa" w:w="100"/>
            </w:tcMar>
          </w:tcPr>
          <w:p>
            <w:r>
              <w:rPr>
                <w:sz w:val="20"/>
                <w:szCs w:val="20"/>
              </w:rPr>
              <w:t xml:space="preserve">Server stuck on 'Configuring Windows Server' loop</w:t>
            </w:r>
          </w:p>
        </w:tc>
        <w:tc>
          <w:tcPr>
            <w:tcW w:type="dxa" w:w="1900"/>
            <w:shd w:fill="F2F2F2" w:val="clear"/>
            <w:tcMar>
              <w:top w:type="dxa" w:w="80"/>
              <w:left w:type="dxa" w:w="100"/>
              <w:bottom w:type="dxa" w:w="80"/>
              <w:right w:type="dxa" w:w="100"/>
            </w:tcMar>
          </w:tcPr>
          <w:p>
            <w:r>
              <w:rPr>
                <w:sz w:val="20"/>
                <w:szCs w:val="20"/>
              </w:rPr>
              <w:t xml:space="preserve">Corrupted component store or third-party AV interference during upgrade</w:t>
            </w:r>
          </w:p>
        </w:tc>
        <w:tc>
          <w:tcPr>
            <w:tcW w:type="dxa" w:w="2500"/>
            <w:shd w:fill="F2F2F2" w:val="clear"/>
            <w:tcMar>
              <w:top w:type="dxa" w:w="80"/>
              <w:left w:type="dxa" w:w="100"/>
              <w:bottom w:type="dxa" w:w="80"/>
              <w:right w:type="dxa" w:w="100"/>
            </w:tcMar>
          </w:tcPr>
          <w:p>
            <w:r>
              <w:rPr>
                <w:sz w:val="20"/>
                <w:szCs w:val="20"/>
              </w:rPr>
              <w:t xml:space="preserve">Boot to safe mode / recovery, check CBS logs, temporarily disable AV via policy before retry</w:t>
            </w:r>
          </w:p>
        </w:tc>
        <w:tc>
          <w:tcPr>
            <w:tcW w:type="dxa" w:w="1500"/>
            <w:shd w:fill="F2F2F2" w:val="clear"/>
            <w:tcMar>
              <w:top w:type="dxa" w:w="80"/>
              <w:left w:type="dxa" w:w="100"/>
              <w:bottom w:type="dxa" w:w="80"/>
              <w:right w:type="dxa" w:w="100"/>
            </w:tcMar>
          </w:tcPr>
          <w:p>
            <w:r>
              <w:rPr>
                <w:sz w:val="20"/>
                <w:szCs w:val="20"/>
              </w:rPr>
              <w:t xml:space="preserve">`DISM /Online /Cleanup-Image /ScanHealth`</w:t>
            </w:r>
          </w:p>
        </w:tc>
        <w:tc>
          <w:tcPr>
            <w:tcW w:type="dxa" w:w="1500"/>
            <w:shd w:fill="F2F2F2" w:val="clear"/>
            <w:tcMar>
              <w:top w:type="dxa" w:w="80"/>
              <w:left w:type="dxa" w:w="100"/>
              <w:bottom w:type="dxa" w:w="80"/>
              <w:right w:type="dxa" w:w="100"/>
            </w:tcMar>
          </w:tcPr>
          <w:p>
            <w:r>
              <w:rPr>
                <w:sz w:val="20"/>
                <w:szCs w:val="20"/>
              </w:rPr>
              <w:t xml:space="preserve">CBS.log</w:t>
            </w:r>
          </w:p>
        </w:tc>
        <w:tc>
          <w:tcPr>
            <w:tcW w:type="dxa" w:w="1900"/>
            <w:shd w:fill="F2F2F2" w:val="clear"/>
            <w:tcMar>
              <w:top w:type="dxa" w:w="80"/>
              <w:left w:type="dxa" w:w="100"/>
              <w:bottom w:type="dxa" w:w="80"/>
              <w:right w:type="dxa" w:w="100"/>
            </w:tcMar>
          </w:tcPr>
          <w:p>
            <w:r>
              <w:rPr>
                <w:sz w:val="20"/>
                <w:szCs w:val="20"/>
              </w:rPr>
              <w:t xml:space="preserve">learn.microsoft.com/windows-server/get-started</w:t>
            </w:r>
          </w:p>
        </w:tc>
      </w:tr>
      <w:tr>
        <w:tc>
          <w:tcPr>
            <w:tcW w:type="dxa" w:w="1700"/>
            <w:tcMar>
              <w:top w:type="dxa" w:w="80"/>
              <w:left w:type="dxa" w:w="100"/>
              <w:bottom w:type="dxa" w:w="80"/>
              <w:right w:type="dxa" w:w="100"/>
            </w:tcMar>
          </w:tcPr>
          <w:p>
            <w:r>
              <w:rPr>
                <w:sz w:val="20"/>
                <w:szCs w:val="20"/>
              </w:rPr>
              <w:t xml:space="preserve">Post-upgrade NIC missing / renamed</w:t>
            </w:r>
          </w:p>
        </w:tc>
        <w:tc>
          <w:tcPr>
            <w:tcW w:type="dxa" w:w="1900"/>
            <w:tcMar>
              <w:top w:type="dxa" w:w="80"/>
              <w:left w:type="dxa" w:w="100"/>
              <w:bottom w:type="dxa" w:w="80"/>
              <w:right w:type="dxa" w:w="100"/>
            </w:tcMar>
          </w:tcPr>
          <w:p>
            <w:r>
              <w:rPr>
                <w:sz w:val="20"/>
                <w:szCs w:val="20"/>
              </w:rPr>
              <w:t xml:space="preserve">VMware Tools version mismatch after OS upgrade caused NIC re-enumeration</w:t>
            </w:r>
          </w:p>
        </w:tc>
        <w:tc>
          <w:tcPr>
            <w:tcW w:type="dxa" w:w="2500"/>
            <w:tcMar>
              <w:top w:type="dxa" w:w="80"/>
              <w:left w:type="dxa" w:w="100"/>
              <w:bottom w:type="dxa" w:w="80"/>
              <w:right w:type="dxa" w:w="100"/>
            </w:tcMar>
          </w:tcPr>
          <w:p>
            <w:r>
              <w:rPr>
                <w:sz w:val="20"/>
                <w:szCs w:val="20"/>
              </w:rPr>
              <w:t xml:space="preserve">Reinstall/upgrade VMware Tools, reassign static IP to correct adapter</w:t>
            </w:r>
          </w:p>
        </w:tc>
        <w:tc>
          <w:tcPr>
            <w:tcW w:type="dxa" w:w="1500"/>
            <w:tcMar>
              <w:top w:type="dxa" w:w="80"/>
              <w:left w:type="dxa" w:w="100"/>
              <w:bottom w:type="dxa" w:w="80"/>
              <w:right w:type="dxa" w:w="100"/>
            </w:tcMar>
          </w:tcPr>
          <w:p>
            <w:r>
              <w:rPr>
                <w:sz w:val="20"/>
                <w:szCs w:val="20"/>
              </w:rPr>
              <w:t xml:space="preserve">`Get-NetAdapter`</w:t>
            </w:r>
          </w:p>
        </w:tc>
        <w:tc>
          <w:tcPr>
            <w:tcW w:type="dxa" w:w="1500"/>
            <w:tcMar>
              <w:top w:type="dxa" w:w="80"/>
              <w:left w:type="dxa" w:w="100"/>
              <w:bottom w:type="dxa" w:w="80"/>
              <w:right w:type="dxa" w:w="100"/>
            </w:tcMar>
          </w:tcPr>
          <w:p>
            <w:r>
              <w:rPr>
                <w:sz w:val="20"/>
                <w:szCs w:val="20"/>
              </w:rPr>
              <w:t xml:space="preserve">Device Manager, System event log</w:t>
            </w:r>
          </w:p>
        </w:tc>
        <w:tc>
          <w:tcPr>
            <w:tcW w:type="dxa" w:w="1900"/>
            <w:tcMar>
              <w:top w:type="dxa" w:w="80"/>
              <w:left w:type="dxa" w:w="100"/>
              <w:bottom w:type="dxa" w:w="80"/>
              <w:right w:type="dxa" w:w="100"/>
            </w:tcMar>
          </w:tcPr>
          <w:p>
            <w:r>
              <w:rPr>
                <w:sz w:val="20"/>
                <w:szCs w:val="20"/>
              </w:rPr>
              <w:t xml:space="preserve">kb.vmware.com</w:t>
            </w:r>
          </w:p>
        </w:tc>
      </w:tr>
      <w:tr>
        <w:tc>
          <w:tcPr>
            <w:tcW w:type="dxa" w:w="1700"/>
            <w:shd w:fill="F2F2F2" w:val="clear"/>
            <w:tcMar>
              <w:top w:type="dxa" w:w="80"/>
              <w:left w:type="dxa" w:w="100"/>
              <w:bottom w:type="dxa" w:w="80"/>
              <w:right w:type="dxa" w:w="100"/>
            </w:tcMar>
          </w:tcPr>
          <w:p>
            <w:r>
              <w:rPr>
                <w:sz w:val="20"/>
                <w:szCs w:val="20"/>
              </w:rPr>
              <w:t xml:space="preserve">Activation fails after upgrade (Error 0xC004F074)</w:t>
            </w:r>
          </w:p>
        </w:tc>
        <w:tc>
          <w:tcPr>
            <w:tcW w:type="dxa" w:w="1900"/>
            <w:shd w:fill="F2F2F2" w:val="clear"/>
            <w:tcMar>
              <w:top w:type="dxa" w:w="80"/>
              <w:left w:type="dxa" w:w="100"/>
              <w:bottom w:type="dxa" w:w="80"/>
              <w:right w:type="dxa" w:w="100"/>
            </w:tcMar>
          </w:tcPr>
          <w:p>
            <w:r>
              <w:rPr>
                <w:sz w:val="20"/>
                <w:szCs w:val="20"/>
              </w:rPr>
              <w:t xml:space="preserve">KMS host does not yet have the Server 2022 activation key, or client cannot reach KMS</w:t>
            </w:r>
          </w:p>
        </w:tc>
        <w:tc>
          <w:tcPr>
            <w:tcW w:type="dxa" w:w="2500"/>
            <w:shd w:fill="F2F2F2" w:val="clear"/>
            <w:tcMar>
              <w:top w:type="dxa" w:w="80"/>
              <w:left w:type="dxa" w:w="100"/>
              <w:bottom w:type="dxa" w:w="80"/>
              <w:right w:type="dxa" w:w="100"/>
            </w:tcMar>
          </w:tcPr>
          <w:p>
            <w:r>
              <w:rPr>
                <w:sz w:val="20"/>
                <w:szCs w:val="20"/>
              </w:rPr>
              <w:t xml:space="preserve">Update KMS host key, verify network path to KMS host on TCP 1688</w:t>
            </w:r>
          </w:p>
        </w:tc>
        <w:tc>
          <w:tcPr>
            <w:tcW w:type="dxa" w:w="1500"/>
            <w:shd w:fill="F2F2F2" w:val="clear"/>
            <w:tcMar>
              <w:top w:type="dxa" w:w="80"/>
              <w:left w:type="dxa" w:w="100"/>
              <w:bottom w:type="dxa" w:w="80"/>
              <w:right w:type="dxa" w:w="100"/>
            </w:tcMar>
          </w:tcPr>
          <w:p>
            <w:r>
              <w:rPr>
                <w:sz w:val="20"/>
                <w:szCs w:val="20"/>
              </w:rPr>
              <w:t xml:space="preserve">`slmgr /ato`</w:t>
            </w:r>
          </w:p>
        </w:tc>
        <w:tc>
          <w:tcPr>
            <w:tcW w:type="dxa" w:w="1500"/>
            <w:shd w:fill="F2F2F2" w:val="clear"/>
            <w:tcMar>
              <w:top w:type="dxa" w:w="80"/>
              <w:left w:type="dxa" w:w="100"/>
              <w:bottom w:type="dxa" w:w="80"/>
              <w:right w:type="dxa" w:w="100"/>
            </w:tcMar>
          </w:tcPr>
          <w:p>
            <w:r>
              <w:rPr>
                <w:sz w:val="20"/>
                <w:szCs w:val="20"/>
              </w:rPr>
              <w:t xml:space="preserve">Application event log (event ID 12288/12289)</w:t>
            </w:r>
          </w:p>
        </w:tc>
        <w:tc>
          <w:tcPr>
            <w:tcW w:type="dxa" w:w="1900"/>
            <w:shd w:fill="F2F2F2" w:val="clear"/>
            <w:tcMar>
              <w:top w:type="dxa" w:w="80"/>
              <w:left w:type="dxa" w:w="100"/>
              <w:bottom w:type="dxa" w:w="80"/>
              <w:right w:type="dxa" w:w="100"/>
            </w:tcMar>
          </w:tcPr>
          <w:p>
            <w:r>
              <w:rPr>
                <w:sz w:val="20"/>
                <w:szCs w:val="20"/>
              </w:rPr>
              <w:t xml:space="preserve">learn.microsoft.com/windows-server/get-started/kms-activation</w:t>
            </w:r>
          </w:p>
        </w:tc>
      </w:tr>
      <w:tr>
        <w:tc>
          <w:tcPr>
            <w:tcW w:type="dxa" w:w="1700"/>
            <w:tcMar>
              <w:top w:type="dxa" w:w="80"/>
              <w:left w:type="dxa" w:w="100"/>
              <w:bottom w:type="dxa" w:w="80"/>
              <w:right w:type="dxa" w:w="100"/>
            </w:tcMar>
          </w:tcPr>
          <w:p>
            <w:r>
              <w:rPr>
                <w:sz w:val="20"/>
                <w:szCs w:val="20"/>
              </w:rPr>
              <w:t xml:space="preserve">BitLocker recovery prompt on reboot</w:t>
            </w:r>
          </w:p>
        </w:tc>
        <w:tc>
          <w:tcPr>
            <w:tcW w:type="dxa" w:w="1900"/>
            <w:tcMar>
              <w:top w:type="dxa" w:w="80"/>
              <w:left w:type="dxa" w:w="100"/>
              <w:bottom w:type="dxa" w:w="80"/>
              <w:right w:type="dxa" w:w="100"/>
            </w:tcMar>
          </w:tcPr>
          <w:p>
            <w:r>
              <w:rPr>
                <w:sz w:val="20"/>
                <w:szCs w:val="20"/>
              </w:rPr>
              <w:t xml:space="preserve">BitLocker was not suspended before the upgrade reboot cycle</w:t>
            </w:r>
          </w:p>
        </w:tc>
        <w:tc>
          <w:tcPr>
            <w:tcW w:type="dxa" w:w="2500"/>
            <w:tcMar>
              <w:top w:type="dxa" w:w="80"/>
              <w:left w:type="dxa" w:w="100"/>
              <w:bottom w:type="dxa" w:w="80"/>
              <w:right w:type="dxa" w:w="100"/>
            </w:tcMar>
          </w:tcPr>
          <w:p>
            <w:r>
              <w:rPr>
                <w:sz w:val="20"/>
                <w:szCs w:val="20"/>
              </w:rPr>
              <w:t xml:space="preserve">Enter recovery key, then suspend BitLocker before any future maintenance</w:t>
            </w:r>
          </w:p>
        </w:tc>
        <w:tc>
          <w:tcPr>
            <w:tcW w:type="dxa" w:w="1500"/>
            <w:tcMar>
              <w:top w:type="dxa" w:w="80"/>
              <w:left w:type="dxa" w:w="100"/>
              <w:bottom w:type="dxa" w:w="80"/>
              <w:right w:type="dxa" w:w="100"/>
            </w:tcMar>
          </w:tcPr>
          <w:p>
            <w:r>
              <w:rPr>
                <w:sz w:val="20"/>
                <w:szCs w:val="20"/>
              </w:rPr>
              <w:t xml:space="preserve">`Get-BitLockerVolume`</w:t>
            </w:r>
          </w:p>
        </w:tc>
        <w:tc>
          <w:tcPr>
            <w:tcW w:type="dxa" w:w="1500"/>
            <w:tcMar>
              <w:top w:type="dxa" w:w="80"/>
              <w:left w:type="dxa" w:w="100"/>
              <w:bottom w:type="dxa" w:w="80"/>
              <w:right w:type="dxa" w:w="100"/>
            </w:tcMar>
          </w:tcPr>
          <w:p>
            <w:r>
              <w:rPr>
                <w:sz w:val="20"/>
                <w:szCs w:val="20"/>
              </w:rPr>
              <w:t xml:space="preserve">System event log</w:t>
            </w:r>
          </w:p>
        </w:tc>
        <w:tc>
          <w:tcPr>
            <w:tcW w:type="dxa" w:w="1900"/>
            <w:tcMar>
              <w:top w:type="dxa" w:w="80"/>
              <w:left w:type="dxa" w:w="100"/>
              <w:bottom w:type="dxa" w:w="80"/>
              <w:right w:type="dxa" w:w="100"/>
            </w:tcMar>
          </w:tcPr>
          <w:p>
            <w:r>
              <w:rPr>
                <w:sz w:val="20"/>
                <w:szCs w:val="20"/>
              </w:rPr>
              <w:t xml:space="preserve">learn.microsoft.com/windows/security/bitlocker</w:t>
            </w:r>
          </w:p>
        </w:tc>
      </w:tr>
      <w:tr>
        <w:tc>
          <w:tcPr>
            <w:tcW w:type="dxa" w:w="1700"/>
            <w:shd w:fill="F2F2F2" w:val="clear"/>
            <w:tcMar>
              <w:top w:type="dxa" w:w="80"/>
              <w:left w:type="dxa" w:w="100"/>
              <w:bottom w:type="dxa" w:w="80"/>
              <w:right w:type="dxa" w:w="100"/>
            </w:tcMar>
          </w:tcPr>
          <w:p>
            <w:r>
              <w:rPr>
                <w:sz w:val="20"/>
                <w:szCs w:val="20"/>
              </w:rPr>
              <w:t xml:space="preserve">Windows Update fails to install post-upgrade (0x80070002)</w:t>
            </w:r>
          </w:p>
        </w:tc>
        <w:tc>
          <w:tcPr>
            <w:tcW w:type="dxa" w:w="1900"/>
            <w:shd w:fill="F2F2F2" w:val="clear"/>
            <w:tcMar>
              <w:top w:type="dxa" w:w="80"/>
              <w:left w:type="dxa" w:w="100"/>
              <w:bottom w:type="dxa" w:w="80"/>
              <w:right w:type="dxa" w:w="100"/>
            </w:tcMar>
          </w:tcPr>
          <w:p>
            <w:r>
              <w:rPr>
                <w:sz w:val="20"/>
                <w:szCs w:val="20"/>
              </w:rPr>
              <w:t xml:space="preserve">Corrupted update cache after OS version change</w:t>
            </w:r>
          </w:p>
        </w:tc>
        <w:tc>
          <w:tcPr>
            <w:tcW w:type="dxa" w:w="2500"/>
            <w:shd w:fill="F2F2F2" w:val="clear"/>
            <w:tcMar>
              <w:top w:type="dxa" w:w="80"/>
              <w:left w:type="dxa" w:w="100"/>
              <w:bottom w:type="dxa" w:w="80"/>
              <w:right w:type="dxa" w:w="100"/>
            </w:tcMar>
          </w:tcPr>
          <w:p>
            <w:r>
              <w:rPr>
                <w:sz w:val="20"/>
                <w:szCs w:val="20"/>
              </w:rPr>
              <w:t xml:space="preserve">Reset Windows Update components (stop services, rename SoftwareDistribution, restart)</w:t>
            </w:r>
          </w:p>
        </w:tc>
        <w:tc>
          <w:tcPr>
            <w:tcW w:type="dxa" w:w="1500"/>
            <w:shd w:fill="F2F2F2" w:val="clear"/>
            <w:tcMar>
              <w:top w:type="dxa" w:w="80"/>
              <w:left w:type="dxa" w:w="100"/>
              <w:bottom w:type="dxa" w:w="80"/>
              <w:right w:type="dxa" w:w="100"/>
            </w:tcMar>
          </w:tcPr>
          <w:p>
            <w:r>
              <w:rPr>
                <w:sz w:val="20"/>
                <w:szCs w:val="20"/>
              </w:rPr>
              <w:t xml:space="preserve">`Get-WindowsUpdateLog`</w:t>
            </w:r>
          </w:p>
        </w:tc>
        <w:tc>
          <w:tcPr>
            <w:tcW w:type="dxa" w:w="1500"/>
            <w:shd w:fill="F2F2F2" w:val="clear"/>
            <w:tcMar>
              <w:top w:type="dxa" w:w="80"/>
              <w:left w:type="dxa" w:w="100"/>
              <w:bottom w:type="dxa" w:w="80"/>
              <w:right w:type="dxa" w:w="100"/>
            </w:tcMar>
          </w:tcPr>
          <w:p>
            <w:r>
              <w:rPr>
                <w:sz w:val="20"/>
                <w:szCs w:val="20"/>
              </w:rPr>
              <w:t xml:space="preserve">WindowsUpdate.log</w:t>
            </w:r>
          </w:p>
        </w:tc>
        <w:tc>
          <w:tcPr>
            <w:tcW w:type="dxa" w:w="1900"/>
            <w:shd w:fill="F2F2F2" w:val="clear"/>
            <w:tcMar>
              <w:top w:type="dxa" w:w="80"/>
              <w:left w:type="dxa" w:w="100"/>
              <w:bottom w:type="dxa" w:w="80"/>
              <w:right w:type="dxa" w:w="100"/>
            </w:tcMar>
          </w:tcPr>
          <w:p>
            <w:r>
              <w:rPr>
                <w:sz w:val="20"/>
                <w:szCs w:val="20"/>
              </w:rPr>
              <w:t xml:space="preserve">support.microsoft.com/windows-update-troubleshooting</w:t>
            </w:r>
          </w:p>
        </w:tc>
      </w:tr>
      <w:tr>
        <w:tc>
          <w:tcPr>
            <w:tcW w:type="dxa" w:w="1700"/>
            <w:tcMar>
              <w:top w:type="dxa" w:w="80"/>
              <w:left w:type="dxa" w:w="100"/>
              <w:bottom w:type="dxa" w:w="80"/>
              <w:right w:type="dxa" w:w="100"/>
            </w:tcMar>
          </w:tcPr>
          <w:p>
            <w:r>
              <w:rPr>
                <w:sz w:val="20"/>
                <w:szCs w:val="20"/>
              </w:rPr>
              <w:t xml:space="preserve">Server Manager shows 'Not Accessible' for a role after upgrade</w:t>
            </w:r>
          </w:p>
        </w:tc>
        <w:tc>
          <w:tcPr>
            <w:tcW w:type="dxa" w:w="1900"/>
            <w:tcMar>
              <w:top w:type="dxa" w:w="80"/>
              <w:left w:type="dxa" w:w="100"/>
              <w:bottom w:type="dxa" w:w="80"/>
              <w:right w:type="dxa" w:w="100"/>
            </w:tcMar>
          </w:tcPr>
          <w:p>
            <w:r>
              <w:rPr>
                <w:sz w:val="20"/>
                <w:szCs w:val="20"/>
              </w:rPr>
              <w:t xml:space="preserve">Role service reference broken during upgrade; common with older IIS or File Server role configs</w:t>
            </w:r>
          </w:p>
        </w:tc>
        <w:tc>
          <w:tcPr>
            <w:tcW w:type="dxa" w:w="2500"/>
            <w:tcMar>
              <w:top w:type="dxa" w:w="80"/>
              <w:left w:type="dxa" w:w="100"/>
              <w:bottom w:type="dxa" w:w="80"/>
              <w:right w:type="dxa" w:w="100"/>
            </w:tcMar>
          </w:tcPr>
          <w:p>
            <w:r>
              <w:rPr>
                <w:sz w:val="20"/>
                <w:szCs w:val="20"/>
              </w:rPr>
              <w:t xml:space="preserve">Re-run 'Add Roles and Features' repair, or reinstall the specific role feature</w:t>
            </w:r>
          </w:p>
        </w:tc>
        <w:tc>
          <w:tcPr>
            <w:tcW w:type="dxa" w:w="1500"/>
            <w:tcMar>
              <w:top w:type="dxa" w:w="80"/>
              <w:left w:type="dxa" w:w="100"/>
              <w:bottom w:type="dxa" w:w="80"/>
              <w:right w:type="dxa" w:w="100"/>
            </w:tcMar>
          </w:tcPr>
          <w:p>
            <w:r>
              <w:rPr>
                <w:sz w:val="20"/>
                <w:szCs w:val="20"/>
              </w:rPr>
              <w:t xml:space="preserve">`Get-WindowsFeature`</w:t>
            </w:r>
          </w:p>
        </w:tc>
        <w:tc>
          <w:tcPr>
            <w:tcW w:type="dxa" w:w="1500"/>
            <w:tcMar>
              <w:top w:type="dxa" w:w="80"/>
              <w:left w:type="dxa" w:w="100"/>
              <w:bottom w:type="dxa" w:w="80"/>
              <w:right w:type="dxa" w:w="100"/>
            </w:tcMar>
          </w:tcPr>
          <w:p>
            <w:r>
              <w:rPr>
                <w:sz w:val="20"/>
                <w:szCs w:val="20"/>
              </w:rPr>
              <w:t xml:space="preserve">Server Manager event log</w:t>
            </w:r>
          </w:p>
        </w:tc>
        <w:tc>
          <w:tcPr>
            <w:tcW w:type="dxa" w:w="1900"/>
            <w:tcMar>
              <w:top w:type="dxa" w:w="80"/>
              <w:left w:type="dxa" w:w="100"/>
              <w:bottom w:type="dxa" w:w="80"/>
              <w:right w:type="dxa" w:w="100"/>
            </w:tcMar>
          </w:tcPr>
          <w:p>
            <w:r>
              <w:rPr>
                <w:sz w:val="20"/>
                <w:szCs w:val="20"/>
              </w:rPr>
              <w:t xml:space="preserve">learn.microsoft.com/windows-server/administration</w:t>
            </w:r>
          </w:p>
        </w:tc>
      </w:tr>
      <w:tr>
        <w:tc>
          <w:tcPr>
            <w:tcW w:type="dxa" w:w="1700"/>
            <w:shd w:fill="F2F2F2" w:val="clear"/>
            <w:tcMar>
              <w:top w:type="dxa" w:w="80"/>
              <w:left w:type="dxa" w:w="100"/>
              <w:bottom w:type="dxa" w:w="80"/>
              <w:right w:type="dxa" w:w="100"/>
            </w:tcMar>
          </w:tcPr>
          <w:p>
            <w:r>
              <w:rPr>
                <w:sz w:val="20"/>
                <w:szCs w:val="20"/>
              </w:rPr>
              <w:t xml:space="preserve">Scheduled task fails to run post-upgrade with 'The user account has expired' style error</w:t>
            </w:r>
          </w:p>
        </w:tc>
        <w:tc>
          <w:tcPr>
            <w:tcW w:type="dxa" w:w="1900"/>
            <w:shd w:fill="F2F2F2" w:val="clear"/>
            <w:tcMar>
              <w:top w:type="dxa" w:w="80"/>
              <w:left w:type="dxa" w:w="100"/>
              <w:bottom w:type="dxa" w:w="80"/>
              <w:right w:type="dxa" w:w="100"/>
            </w:tcMar>
          </w:tcPr>
          <w:p>
            <w:r>
              <w:rPr>
                <w:sz w:val="20"/>
                <w:szCs w:val="20"/>
              </w:rPr>
              <w:t xml:space="preserve">Stored task credentials invalidated by profile or SID change</w:t>
            </w:r>
          </w:p>
        </w:tc>
        <w:tc>
          <w:tcPr>
            <w:tcW w:type="dxa" w:w="2500"/>
            <w:shd w:fill="F2F2F2" w:val="clear"/>
            <w:tcMar>
              <w:top w:type="dxa" w:w="80"/>
              <w:left w:type="dxa" w:w="100"/>
              <w:bottom w:type="dxa" w:w="80"/>
              <w:right w:type="dxa" w:w="100"/>
            </w:tcMar>
          </w:tcPr>
          <w:p>
            <w:r>
              <w:rPr>
                <w:sz w:val="20"/>
                <w:szCs w:val="20"/>
              </w:rPr>
              <w:t xml:space="preserve">Re-enter task 'Run As' credentials</w:t>
            </w:r>
          </w:p>
        </w:tc>
        <w:tc>
          <w:tcPr>
            <w:tcW w:type="dxa" w:w="1500"/>
            <w:shd w:fill="F2F2F2" w:val="clear"/>
            <w:tcMar>
              <w:top w:type="dxa" w:w="80"/>
              <w:left w:type="dxa" w:w="100"/>
              <w:bottom w:type="dxa" w:w="80"/>
              <w:right w:type="dxa" w:w="100"/>
            </w:tcMar>
          </w:tcPr>
          <w:p>
            <w:r>
              <w:rPr>
                <w:sz w:val="20"/>
                <w:szCs w:val="20"/>
              </w:rPr>
              <w:t xml:space="preserve">`Get-ScheduledTask | Get-ScheduledTaskInfo`</w:t>
            </w:r>
          </w:p>
        </w:tc>
        <w:tc>
          <w:tcPr>
            <w:tcW w:type="dxa" w:w="1500"/>
            <w:shd w:fill="F2F2F2" w:val="clear"/>
            <w:tcMar>
              <w:top w:type="dxa" w:w="80"/>
              <w:left w:type="dxa" w:w="100"/>
              <w:bottom w:type="dxa" w:w="80"/>
              <w:right w:type="dxa" w:w="100"/>
            </w:tcMar>
          </w:tcPr>
          <w:p>
            <w:r>
              <w:rPr>
                <w:sz w:val="20"/>
                <w:szCs w:val="20"/>
              </w:rPr>
              <w:t xml:space="preserve">Task Scheduler operational log</w:t>
            </w:r>
          </w:p>
        </w:tc>
        <w:tc>
          <w:tcPr>
            <w:tcW w:type="dxa" w:w="1900"/>
            <w:shd w:fill="F2F2F2" w:val="clear"/>
            <w:tcMar>
              <w:top w:type="dxa" w:w="80"/>
              <w:left w:type="dxa" w:w="100"/>
              <w:bottom w:type="dxa" w:w="80"/>
              <w:right w:type="dxa" w:w="100"/>
            </w:tcMar>
          </w:tcPr>
          <w:p>
            <w:r>
              <w:rPr>
                <w:sz w:val="20"/>
                <w:szCs w:val="20"/>
              </w:rPr>
              <w:t xml:space="preserve">learn.microsoft.com/windows/win32/taskschd</w:t>
            </w:r>
          </w:p>
        </w:tc>
      </w:tr>
      <w:tr>
        <w:tc>
          <w:tcPr>
            <w:tcW w:type="dxa" w:w="1700"/>
            <w:tcMar>
              <w:top w:type="dxa" w:w="80"/>
              <w:left w:type="dxa" w:w="100"/>
              <w:bottom w:type="dxa" w:w="80"/>
              <w:right w:type="dxa" w:w="100"/>
            </w:tcMar>
          </w:tcPr>
          <w:p>
            <w:r>
              <w:rPr>
                <w:sz w:val="20"/>
                <w:szCs w:val="20"/>
              </w:rPr>
              <w:t xml:space="preserve">Print/legacy role feature missing after upgrade</w:t>
            </w:r>
          </w:p>
        </w:tc>
        <w:tc>
          <w:tcPr>
            <w:tcW w:type="dxa" w:w="1900"/>
            <w:tcMar>
              <w:top w:type="dxa" w:w="80"/>
              <w:left w:type="dxa" w:w="100"/>
              <w:bottom w:type="dxa" w:w="80"/>
              <w:right w:type="dxa" w:w="100"/>
            </w:tcMar>
          </w:tcPr>
          <w:p>
            <w:r>
              <w:rPr>
                <w:sz w:val="20"/>
                <w:szCs w:val="20"/>
              </w:rPr>
              <w:t xml:space="preserve">Feature was deprecated/removed between Server 2016 and Server 2022 (e.g., certain legacy FS features)</w:t>
            </w:r>
          </w:p>
        </w:tc>
        <w:tc>
          <w:tcPr>
            <w:tcW w:type="dxa" w:w="2500"/>
            <w:tcMar>
              <w:top w:type="dxa" w:w="80"/>
              <w:left w:type="dxa" w:w="100"/>
              <w:bottom w:type="dxa" w:w="80"/>
              <w:right w:type="dxa" w:w="100"/>
            </w:tcMar>
          </w:tcPr>
          <w:p>
            <w:r>
              <w:rPr>
                <w:sz w:val="20"/>
                <w:szCs w:val="20"/>
              </w:rPr>
              <w:t xml:space="preserve">Confirm against Microsoft's removed-features list before upgrade; plan alternative</w:t>
            </w:r>
          </w:p>
        </w:tc>
        <w:tc>
          <w:tcPr>
            <w:tcW w:type="dxa" w:w="1500"/>
            <w:tcMar>
              <w:top w:type="dxa" w:w="80"/>
              <w:left w:type="dxa" w:w="100"/>
              <w:bottom w:type="dxa" w:w="80"/>
              <w:right w:type="dxa" w:w="100"/>
            </w:tcMar>
          </w:tcPr>
          <w:p>
            <w:r>
              <w:rPr>
                <w:sz w:val="20"/>
                <w:szCs w:val="20"/>
              </w:rPr>
              <w:t xml:space="preserve">`Get-WindowsFeature`</w:t>
            </w:r>
          </w:p>
        </w:tc>
        <w:tc>
          <w:tcPr>
            <w:tcW w:type="dxa" w:w="1500"/>
            <w:tcMar>
              <w:top w:type="dxa" w:w="80"/>
              <w:left w:type="dxa" w:w="100"/>
              <w:bottom w:type="dxa" w:w="80"/>
              <w:right w:type="dxa" w:w="100"/>
            </w:tcMar>
          </w:tcPr>
          <w:p>
            <w:r>
              <w:rPr>
                <w:sz w:val="20"/>
                <w:szCs w:val="20"/>
              </w:rPr>
              <w:t xml:space="preserve">Setup compatibility report</w:t>
            </w:r>
          </w:p>
        </w:tc>
        <w:tc>
          <w:tcPr>
            <w:tcW w:type="dxa" w:w="1900"/>
            <w:tcMar>
              <w:top w:type="dxa" w:w="80"/>
              <w:left w:type="dxa" w:w="100"/>
              <w:bottom w:type="dxa" w:w="80"/>
              <w:right w:type="dxa" w:w="100"/>
            </w:tcMar>
          </w:tcPr>
          <w:p>
            <w:r>
              <w:rPr>
                <w:sz w:val="20"/>
                <w:szCs w:val="20"/>
              </w:rPr>
              <w:t xml:space="preserve">learn.microsoft.com/windows-server/get-started/removed-features</w:t>
            </w:r>
          </w:p>
        </w:tc>
      </w:tr>
      <w:tr>
        <w:tc>
          <w:tcPr>
            <w:tcW w:type="dxa" w:w="1700"/>
            <w:shd w:fill="F2F2F2" w:val="clear"/>
            <w:tcMar>
              <w:top w:type="dxa" w:w="80"/>
              <w:left w:type="dxa" w:w="100"/>
              <w:bottom w:type="dxa" w:w="80"/>
              <w:right w:type="dxa" w:w="100"/>
            </w:tcMar>
          </w:tcPr>
          <w:p>
            <w:r>
              <w:rPr>
                <w:sz w:val="20"/>
                <w:szCs w:val="20"/>
              </w:rPr>
              <w:t xml:space="preserve">SQL Setup Support Rules fail: 'Restart Computer'</w:t>
            </w:r>
          </w:p>
        </w:tc>
        <w:tc>
          <w:tcPr>
            <w:tcW w:type="dxa" w:w="1900"/>
            <w:shd w:fill="F2F2F2" w:val="clear"/>
            <w:tcMar>
              <w:top w:type="dxa" w:w="80"/>
              <w:left w:type="dxa" w:w="100"/>
              <w:bottom w:type="dxa" w:w="80"/>
              <w:right w:type="dxa" w:w="100"/>
            </w:tcMar>
          </w:tcPr>
          <w:p>
            <w:r>
              <w:rPr>
                <w:sz w:val="20"/>
                <w:szCs w:val="20"/>
              </w:rPr>
              <w:t xml:space="preserve">A prior update/change left a pending reboot</w:t>
            </w:r>
          </w:p>
        </w:tc>
        <w:tc>
          <w:tcPr>
            <w:tcW w:type="dxa" w:w="2500"/>
            <w:shd w:fill="F2F2F2" w:val="clear"/>
            <w:tcMar>
              <w:top w:type="dxa" w:w="80"/>
              <w:left w:type="dxa" w:w="100"/>
              <w:bottom w:type="dxa" w:w="80"/>
              <w:right w:type="dxa" w:w="100"/>
            </w:tcMar>
          </w:tcPr>
          <w:p>
            <w:r>
              <w:rPr>
                <w:sz w:val="20"/>
                <w:szCs w:val="20"/>
              </w:rPr>
              <w:t xml:space="preserve">Reboot the server, re-run setup</w:t>
            </w:r>
          </w:p>
        </w:tc>
        <w:tc>
          <w:tcPr>
            <w:tcW w:type="dxa" w:w="1500"/>
            <w:shd w:fill="F2F2F2" w:val="clear"/>
            <w:tcMar>
              <w:top w:type="dxa" w:w="80"/>
              <w:left w:type="dxa" w:w="100"/>
              <w:bottom w:type="dxa" w:w="80"/>
              <w:right w:type="dxa" w:w="100"/>
            </w:tcMar>
          </w:tcPr>
          <w:p>
            <w:r>
              <w:rPr>
                <w:sz w:val="20"/>
                <w:szCs w:val="20"/>
              </w:rPr>
              <w:t xml:space="preserve">`Test-PendingReboot` (custom) or registry check</w:t>
            </w:r>
          </w:p>
        </w:tc>
        <w:tc>
          <w:tcPr>
            <w:tcW w:type="dxa" w:w="1500"/>
            <w:shd w:fill="F2F2F2" w:val="clear"/>
            <w:tcMar>
              <w:top w:type="dxa" w:w="80"/>
              <w:left w:type="dxa" w:w="100"/>
              <w:bottom w:type="dxa" w:w="80"/>
              <w:right w:type="dxa" w:w="100"/>
            </w:tcMar>
          </w:tcPr>
          <w:p>
            <w:r>
              <w:rPr>
                <w:sz w:val="20"/>
                <w:szCs w:val="20"/>
              </w:rPr>
              <w:t xml:space="preserve">Setup Bootstrap log (%ProgramFiles%\Microsoft SQL Server\...\Setup Bootstrap\Log)</w:t>
            </w:r>
          </w:p>
        </w:tc>
        <w:tc>
          <w:tcPr>
            <w:tcW w:type="dxa" w:w="1900"/>
            <w:shd w:fill="F2F2F2" w:val="clear"/>
            <w:tcMar>
              <w:top w:type="dxa" w:w="80"/>
              <w:left w:type="dxa" w:w="100"/>
              <w:bottom w:type="dxa" w:w="80"/>
              <w:right w:type="dxa" w:w="100"/>
            </w:tcMar>
          </w:tcPr>
          <w:p>
            <w:r>
              <w:rPr>
                <w:sz w:val="20"/>
                <w:szCs w:val="20"/>
              </w:rPr>
              <w:t xml:space="preserve">learn.microsoft.com/sql/database-engine/install-windows</w:t>
            </w:r>
          </w:p>
        </w:tc>
      </w:tr>
      <w:tr>
        <w:tc>
          <w:tcPr>
            <w:tcW w:type="dxa" w:w="1700"/>
            <w:tcMar>
              <w:top w:type="dxa" w:w="80"/>
              <w:left w:type="dxa" w:w="100"/>
              <w:bottom w:type="dxa" w:w="80"/>
              <w:right w:type="dxa" w:w="100"/>
            </w:tcMar>
          </w:tcPr>
          <w:p>
            <w:r>
              <w:rPr>
                <w:sz w:val="20"/>
                <w:szCs w:val="20"/>
              </w:rPr>
              <w:t xml:space="preserve">SQL Setup fails: 'The current SKU is invalid'</w:t>
            </w:r>
          </w:p>
        </w:tc>
        <w:tc>
          <w:tcPr>
            <w:tcW w:type="dxa" w:w="1900"/>
            <w:tcMar>
              <w:top w:type="dxa" w:w="80"/>
              <w:left w:type="dxa" w:w="100"/>
              <w:bottom w:type="dxa" w:w="80"/>
              <w:right w:type="dxa" w:w="100"/>
            </w:tcMar>
          </w:tcPr>
          <w:p>
            <w:r>
              <w:rPr>
                <w:sz w:val="20"/>
                <w:szCs w:val="20"/>
              </w:rPr>
              <w:t xml:space="preserve">Mismatched or expired product key entered, or attempting an unsupported edition upgrade path</w:t>
            </w:r>
          </w:p>
        </w:tc>
        <w:tc>
          <w:tcPr>
            <w:tcW w:type="dxa" w:w="2500"/>
            <w:tcMar>
              <w:top w:type="dxa" w:w="80"/>
              <w:left w:type="dxa" w:w="100"/>
              <w:bottom w:type="dxa" w:w="80"/>
              <w:right w:type="dxa" w:w="100"/>
            </w:tcMar>
          </w:tcPr>
          <w:p>
            <w:r>
              <w:rPr>
                <w:sz w:val="20"/>
                <w:szCs w:val="20"/>
              </w:rPr>
              <w:t xml:space="preserve">Verify product key and supported edition upgrade matrix before retry</w:t>
            </w:r>
          </w:p>
        </w:tc>
        <w:tc>
          <w:tcPr>
            <w:tcW w:type="dxa" w:w="1500"/>
            <w:tcMar>
              <w:top w:type="dxa" w:w="80"/>
              <w:left w:type="dxa" w:w="100"/>
              <w:bottom w:type="dxa" w:w="80"/>
              <w:right w:type="dxa" w:w="100"/>
            </w:tcMar>
          </w:tcPr>
          <w:p>
            <w:r>
              <w:rPr>
                <w:sz w:val="20"/>
                <w:szCs w:val="20"/>
              </w:rPr>
              <w:t xml:space="preserve">N/A — GUI validation</w:t>
            </w:r>
          </w:p>
        </w:tc>
        <w:tc>
          <w:tcPr>
            <w:tcW w:type="dxa" w:w="1500"/>
            <w:tcMar>
              <w:top w:type="dxa" w:w="80"/>
              <w:left w:type="dxa" w:w="100"/>
              <w:bottom w:type="dxa" w:w="80"/>
              <w:right w:type="dxa" w:w="100"/>
            </w:tcMar>
          </w:tcPr>
          <w:p>
            <w:r>
              <w:rPr>
                <w:sz w:val="20"/>
                <w:szCs w:val="20"/>
              </w:rPr>
              <w:t xml:space="preserve">Detail.txt in Setup Bootstrap Log folder</w:t>
            </w:r>
          </w:p>
        </w:tc>
        <w:tc>
          <w:tcPr>
            <w:tcW w:type="dxa" w:w="1900"/>
            <w:tcMar>
              <w:top w:type="dxa" w:w="80"/>
              <w:left w:type="dxa" w:w="100"/>
              <w:bottom w:type="dxa" w:w="80"/>
              <w:right w:type="dxa" w:w="100"/>
            </w:tcMar>
          </w:tcPr>
          <w:p>
            <w:r>
              <w:rPr>
                <w:sz w:val="20"/>
                <w:szCs w:val="20"/>
              </w:rPr>
              <w:t xml:space="preserve">learn.microsoft.com/sql/database-engine/install-windows/supported-version-and-edition-upgrades</w:t>
            </w:r>
          </w:p>
        </w:tc>
      </w:tr>
      <w:tr>
        <w:tc>
          <w:tcPr>
            <w:tcW w:type="dxa" w:w="1700"/>
            <w:shd w:fill="F2F2F2" w:val="clear"/>
            <w:tcMar>
              <w:top w:type="dxa" w:w="80"/>
              <w:left w:type="dxa" w:w="100"/>
              <w:bottom w:type="dxa" w:w="80"/>
              <w:right w:type="dxa" w:w="100"/>
            </w:tcMar>
          </w:tcPr>
          <w:p>
            <w:r>
              <w:rPr>
                <w:sz w:val="20"/>
                <w:szCs w:val="20"/>
              </w:rPr>
              <w:t xml:space="preserve">SQL Setup hangs at 'Upgrading system databases'</w:t>
            </w:r>
          </w:p>
        </w:tc>
        <w:tc>
          <w:tcPr>
            <w:tcW w:type="dxa" w:w="1900"/>
            <w:shd w:fill="F2F2F2" w:val="clear"/>
            <w:tcMar>
              <w:top w:type="dxa" w:w="80"/>
              <w:left w:type="dxa" w:w="100"/>
              <w:bottom w:type="dxa" w:w="80"/>
              <w:right w:type="dxa" w:w="100"/>
            </w:tcMar>
          </w:tcPr>
          <w:p>
            <w:r>
              <w:rPr>
                <w:sz w:val="20"/>
                <w:szCs w:val="20"/>
              </w:rPr>
              <w:t xml:space="preserve">Very large msdb/model or long-running blocking transaction at upgrade start</w:t>
            </w:r>
          </w:p>
        </w:tc>
        <w:tc>
          <w:tcPr>
            <w:tcW w:type="dxa" w:w="2500"/>
            <w:shd w:fill="F2F2F2" w:val="clear"/>
            <w:tcMar>
              <w:top w:type="dxa" w:w="80"/>
              <w:left w:type="dxa" w:w="100"/>
              <w:bottom w:type="dxa" w:w="80"/>
              <w:right w:type="dxa" w:w="100"/>
            </w:tcMar>
          </w:tcPr>
          <w:p>
            <w:r>
              <w:rPr>
                <w:sz w:val="20"/>
                <w:szCs w:val="20"/>
              </w:rPr>
              <w:t xml:space="preserve">Do not cancel; monitor via Summary.txt; ensure no other session is holding locks on system databases before starting</w:t>
            </w:r>
          </w:p>
        </w:tc>
        <w:tc>
          <w:tcPr>
            <w:tcW w:type="dxa" w:w="1500"/>
            <w:shd w:fill="F2F2F2" w:val="clear"/>
            <w:tcMar>
              <w:top w:type="dxa" w:w="80"/>
              <w:left w:type="dxa" w:w="100"/>
              <w:bottom w:type="dxa" w:w="80"/>
              <w:right w:type="dxa" w:w="100"/>
            </w:tcMar>
          </w:tcPr>
          <w:p>
            <w:r>
              <w:rPr>
                <w:sz w:val="20"/>
                <w:szCs w:val="20"/>
              </w:rPr>
              <w:t xml:space="preserve">`sp_who2` (pre-upgrade check)</w:t>
            </w:r>
          </w:p>
        </w:tc>
        <w:tc>
          <w:tcPr>
            <w:tcW w:type="dxa" w:w="1500"/>
            <w:shd w:fill="F2F2F2" w:val="clear"/>
            <w:tcMar>
              <w:top w:type="dxa" w:w="80"/>
              <w:left w:type="dxa" w:w="100"/>
              <w:bottom w:type="dxa" w:w="80"/>
              <w:right w:type="dxa" w:w="100"/>
            </w:tcMar>
          </w:tcPr>
          <w:p>
            <w:r>
              <w:rPr>
                <w:sz w:val="20"/>
                <w:szCs w:val="20"/>
              </w:rPr>
              <w:t xml:space="preserve">Detail.txt, Summary.txt</w:t>
            </w:r>
          </w:p>
        </w:tc>
        <w:tc>
          <w:tcPr>
            <w:tcW w:type="dxa" w:w="1900"/>
            <w:shd w:fill="F2F2F2" w:val="clear"/>
            <w:tcMar>
              <w:top w:type="dxa" w:w="80"/>
              <w:left w:type="dxa" w:w="100"/>
              <w:bottom w:type="dxa" w:w="80"/>
              <w:right w:type="dxa" w:w="100"/>
            </w:tcMar>
          </w:tcPr>
          <w:p>
            <w:r>
              <w:rPr>
                <w:sz w:val="20"/>
                <w:szCs w:val="20"/>
              </w:rPr>
              <w:t xml:space="preserve">learn.microsoft.com/sql/database-engine/install-windows/upgrade-sql-server</w:t>
            </w:r>
          </w:p>
        </w:tc>
      </w:tr>
      <w:tr>
        <w:tc>
          <w:tcPr>
            <w:tcW w:type="dxa" w:w="1700"/>
            <w:tcMar>
              <w:top w:type="dxa" w:w="80"/>
              <w:left w:type="dxa" w:w="100"/>
              <w:bottom w:type="dxa" w:w="80"/>
              <w:right w:type="dxa" w:w="100"/>
            </w:tcMar>
          </w:tcPr>
          <w:p>
            <w:r>
              <w:rPr>
                <w:sz w:val="20"/>
                <w:szCs w:val="20"/>
              </w:rPr>
              <w:t xml:space="preserve">Databases remain in 'RESTORING' after upgrade</w:t>
            </w:r>
          </w:p>
        </w:tc>
        <w:tc>
          <w:tcPr>
            <w:tcW w:type="dxa" w:w="1900"/>
            <w:tcMar>
              <w:top w:type="dxa" w:w="80"/>
              <w:left w:type="dxa" w:w="100"/>
              <w:bottom w:type="dxa" w:w="80"/>
              <w:right w:type="dxa" w:w="100"/>
            </w:tcMar>
          </w:tcPr>
          <w:p>
            <w:r>
              <w:rPr>
                <w:sz w:val="20"/>
                <w:szCs w:val="20"/>
              </w:rPr>
              <w:t xml:space="preserve">Log shipping or AG data movement was not fully drained before upgrade began</w:t>
            </w:r>
          </w:p>
        </w:tc>
        <w:tc>
          <w:tcPr>
            <w:tcW w:type="dxa" w:w="2500"/>
            <w:tcMar>
              <w:top w:type="dxa" w:w="80"/>
              <w:left w:type="dxa" w:w="100"/>
              <w:bottom w:type="dxa" w:w="80"/>
              <w:right w:type="dxa" w:w="100"/>
            </w:tcMar>
          </w:tcPr>
          <w:p>
            <w:r>
              <w:rPr>
                <w:sz w:val="20"/>
                <w:szCs w:val="20"/>
              </w:rPr>
              <w:t xml:space="preserve">Complete final log restore manually, or rejoin AG replica with a fresh seed</w:t>
            </w:r>
          </w:p>
        </w:tc>
        <w:tc>
          <w:tcPr>
            <w:tcW w:type="dxa" w:w="1500"/>
            <w:tcMar>
              <w:top w:type="dxa" w:w="80"/>
              <w:left w:type="dxa" w:w="100"/>
              <w:bottom w:type="dxa" w:w="80"/>
              <w:right w:type="dxa" w:w="100"/>
            </w:tcMar>
          </w:tcPr>
          <w:p>
            <w:r>
              <w:rPr>
                <w:sz w:val="20"/>
                <w:szCs w:val="20"/>
              </w:rPr>
              <w:t xml:space="preserve">`RESTORE DATABASE ... WITH RECOVERY`</w:t>
            </w:r>
          </w:p>
        </w:tc>
        <w:tc>
          <w:tcPr>
            <w:tcW w:type="dxa" w:w="1500"/>
            <w:tcMar>
              <w:top w:type="dxa" w:w="80"/>
              <w:left w:type="dxa" w:w="100"/>
              <w:bottom w:type="dxa" w:w="80"/>
              <w:right w:type="dxa" w:w="100"/>
            </w:tcMar>
          </w:tcPr>
          <w:p>
            <w:r>
              <w:rPr>
                <w:sz w:val="20"/>
                <w:szCs w:val="20"/>
              </w:rPr>
              <w:t xml:space="preserve">SQL Server error log</w:t>
            </w:r>
          </w:p>
        </w:tc>
        <w:tc>
          <w:tcPr>
            <w:tcW w:type="dxa" w:w="1900"/>
            <w:tcMar>
              <w:top w:type="dxa" w:w="80"/>
              <w:left w:type="dxa" w:w="100"/>
              <w:bottom w:type="dxa" w:w="80"/>
              <w:right w:type="dxa" w:w="100"/>
            </w:tcMar>
          </w:tcPr>
          <w:p>
            <w:r>
              <w:rPr>
                <w:sz w:val="20"/>
                <w:szCs w:val="20"/>
              </w:rPr>
              <w:t xml:space="preserve">learn.microsoft.com/sql/database-engine/log-shipping</w:t>
            </w:r>
          </w:p>
        </w:tc>
      </w:tr>
      <w:tr>
        <w:tc>
          <w:tcPr>
            <w:tcW w:type="dxa" w:w="1700"/>
            <w:shd w:fill="F2F2F2" w:val="clear"/>
            <w:tcMar>
              <w:top w:type="dxa" w:w="80"/>
              <w:left w:type="dxa" w:w="100"/>
              <w:bottom w:type="dxa" w:w="80"/>
              <w:right w:type="dxa" w:w="100"/>
            </w:tcMar>
          </w:tcPr>
          <w:p>
            <w:r>
              <w:rPr>
                <w:sz w:val="20"/>
                <w:szCs w:val="20"/>
              </w:rPr>
              <w:t xml:space="preserve">AlwaysOn AG replica shows 'NOT SYNCHRONIZING' post-upgrade</w:t>
            </w:r>
          </w:p>
        </w:tc>
        <w:tc>
          <w:tcPr>
            <w:tcW w:type="dxa" w:w="1900"/>
            <w:shd w:fill="F2F2F2" w:val="clear"/>
            <w:tcMar>
              <w:top w:type="dxa" w:w="80"/>
              <w:left w:type="dxa" w:w="100"/>
              <w:bottom w:type="dxa" w:w="80"/>
              <w:right w:type="dxa" w:w="100"/>
            </w:tcMar>
          </w:tcPr>
          <w:p>
            <w:r>
              <w:rPr>
                <w:sz w:val="20"/>
                <w:szCs w:val="20"/>
              </w:rPr>
              <w:t xml:space="preserve">Endpoint or certificate mismatch after upgrade, or mismatched compatibility settings between replicas</w:t>
            </w:r>
          </w:p>
        </w:tc>
        <w:tc>
          <w:tcPr>
            <w:tcW w:type="dxa" w:w="2500"/>
            <w:shd w:fill="F2F2F2" w:val="clear"/>
            <w:tcMar>
              <w:top w:type="dxa" w:w="80"/>
              <w:left w:type="dxa" w:w="100"/>
              <w:bottom w:type="dxa" w:w="80"/>
              <w:right w:type="dxa" w:w="100"/>
            </w:tcMar>
          </w:tcPr>
          <w:p>
            <w:r>
              <w:rPr>
                <w:sz w:val="20"/>
                <w:szCs w:val="20"/>
              </w:rPr>
              <w:t xml:space="preserve">Verify AG endpoint state and certificate validity; remove/re-add replica if necessary</w:t>
            </w:r>
          </w:p>
        </w:tc>
        <w:tc>
          <w:tcPr>
            <w:tcW w:type="dxa" w:w="1500"/>
            <w:shd w:fill="F2F2F2" w:val="clear"/>
            <w:tcMar>
              <w:top w:type="dxa" w:w="80"/>
              <w:left w:type="dxa" w:w="100"/>
              <w:bottom w:type="dxa" w:w="80"/>
              <w:right w:type="dxa" w:w="100"/>
            </w:tcMar>
          </w:tcPr>
          <w:p>
            <w:r>
              <w:rPr>
                <w:sz w:val="20"/>
                <w:szCs w:val="20"/>
              </w:rPr>
              <w:t xml:space="preserve">`sys.dm_hadr_availability_replica_states`</w:t>
            </w:r>
          </w:p>
        </w:tc>
        <w:tc>
          <w:tcPr>
            <w:tcW w:type="dxa" w:w="1500"/>
            <w:shd w:fill="F2F2F2" w:val="clear"/>
            <w:tcMar>
              <w:top w:type="dxa" w:w="80"/>
              <w:left w:type="dxa" w:w="100"/>
              <w:bottom w:type="dxa" w:w="80"/>
              <w:right w:type="dxa" w:w="100"/>
            </w:tcMar>
          </w:tcPr>
          <w:p>
            <w:r>
              <w:rPr>
                <w:sz w:val="20"/>
                <w:szCs w:val="20"/>
              </w:rPr>
              <w:t xml:space="preserve">AlwaysOn_health XEvent session, Cluster log</w:t>
            </w:r>
          </w:p>
        </w:tc>
        <w:tc>
          <w:tcPr>
            <w:tcW w:type="dxa" w:w="1900"/>
            <w:shd w:fill="F2F2F2" w:val="clear"/>
            <w:tcMar>
              <w:top w:type="dxa" w:w="80"/>
              <w:left w:type="dxa" w:w="100"/>
              <w:bottom w:type="dxa" w:w="80"/>
              <w:right w:type="dxa" w:w="100"/>
            </w:tcMar>
          </w:tcPr>
          <w:p>
            <w:r>
              <w:rPr>
                <w:sz w:val="20"/>
                <w:szCs w:val="20"/>
              </w:rPr>
              <w:t xml:space="preserve">learn.microsoft.com/sql/database-engine/availability-groups</w:t>
            </w:r>
          </w:p>
        </w:tc>
      </w:tr>
      <w:tr>
        <w:tc>
          <w:tcPr>
            <w:tcW w:type="dxa" w:w="1700"/>
            <w:tcMar>
              <w:top w:type="dxa" w:w="80"/>
              <w:left w:type="dxa" w:w="100"/>
              <w:bottom w:type="dxa" w:w="80"/>
              <w:right w:type="dxa" w:w="100"/>
            </w:tcMar>
          </w:tcPr>
          <w:p>
            <w:r>
              <w:rPr>
                <w:sz w:val="20"/>
                <w:szCs w:val="20"/>
              </w:rPr>
              <w:t xml:space="preserve">Application receives login failures post-upgrade (Error 18456)</w:t>
            </w:r>
          </w:p>
        </w:tc>
        <w:tc>
          <w:tcPr>
            <w:tcW w:type="dxa" w:w="1900"/>
            <w:tcMar>
              <w:top w:type="dxa" w:w="80"/>
              <w:left w:type="dxa" w:w="100"/>
              <w:bottom w:type="dxa" w:w="80"/>
              <w:right w:type="dxa" w:w="100"/>
            </w:tcMar>
          </w:tcPr>
          <w:p>
            <w:r>
              <w:rPr>
                <w:sz w:val="20"/>
                <w:szCs w:val="20"/>
              </w:rPr>
              <w:t xml:space="preserve">Orphaned SQL logins after restore, or changed authentication mode</w:t>
            </w:r>
          </w:p>
        </w:tc>
        <w:tc>
          <w:tcPr>
            <w:tcW w:type="dxa" w:w="2500"/>
            <w:tcMar>
              <w:top w:type="dxa" w:w="80"/>
              <w:left w:type="dxa" w:w="100"/>
              <w:bottom w:type="dxa" w:w="80"/>
              <w:right w:type="dxa" w:w="100"/>
            </w:tcMar>
          </w:tcPr>
          <w:p>
            <w:r>
              <w:rPr>
                <w:sz w:val="20"/>
                <w:szCs w:val="20"/>
              </w:rPr>
              <w:t xml:space="preserve">Re-map orphaned users; verify SQL/Windows auth mode unchanged</w:t>
            </w:r>
          </w:p>
        </w:tc>
        <w:tc>
          <w:tcPr>
            <w:tcW w:type="dxa" w:w="1500"/>
            <w:tcMar>
              <w:top w:type="dxa" w:w="80"/>
              <w:left w:type="dxa" w:w="100"/>
              <w:bottom w:type="dxa" w:w="80"/>
              <w:right w:type="dxa" w:w="100"/>
            </w:tcMar>
          </w:tcPr>
          <w:p>
            <w:r>
              <w:rPr>
                <w:sz w:val="20"/>
                <w:szCs w:val="20"/>
              </w:rPr>
              <w:t xml:space="preserve">`EXEC sp_change_users_login 'Report';`</w:t>
            </w:r>
          </w:p>
        </w:tc>
        <w:tc>
          <w:tcPr>
            <w:tcW w:type="dxa" w:w="1500"/>
            <w:tcMar>
              <w:top w:type="dxa" w:w="80"/>
              <w:left w:type="dxa" w:w="100"/>
              <w:bottom w:type="dxa" w:w="80"/>
              <w:right w:type="dxa" w:w="100"/>
            </w:tcMar>
          </w:tcPr>
          <w:p>
            <w:r>
              <w:rPr>
                <w:sz w:val="20"/>
                <w:szCs w:val="20"/>
              </w:rPr>
              <w:t xml:space="preserve">SQL Server error log</w:t>
            </w:r>
          </w:p>
        </w:tc>
        <w:tc>
          <w:tcPr>
            <w:tcW w:type="dxa" w:w="1900"/>
            <w:tcMar>
              <w:top w:type="dxa" w:w="80"/>
              <w:left w:type="dxa" w:w="100"/>
              <w:bottom w:type="dxa" w:w="80"/>
              <w:right w:type="dxa" w:w="100"/>
            </w:tcMar>
          </w:tcPr>
          <w:p>
            <w:r>
              <w:rPr>
                <w:sz w:val="20"/>
                <w:szCs w:val="20"/>
              </w:rPr>
              <w:t xml:space="preserve">learn.microsoft.com/sql/relational-databases/security/orphaned-users</w:t>
            </w:r>
          </w:p>
        </w:tc>
      </w:tr>
      <w:tr>
        <w:tc>
          <w:tcPr>
            <w:tcW w:type="dxa" w:w="1700"/>
            <w:shd w:fill="F2F2F2" w:val="clear"/>
            <w:tcMar>
              <w:top w:type="dxa" w:w="80"/>
              <w:left w:type="dxa" w:w="100"/>
              <w:bottom w:type="dxa" w:w="80"/>
              <w:right w:type="dxa" w:w="100"/>
            </w:tcMar>
          </w:tcPr>
          <w:p>
            <w:r>
              <w:rPr>
                <w:sz w:val="20"/>
                <w:szCs w:val="20"/>
              </w:rPr>
              <w:t xml:space="preserve">Query performance regression after compatibility level change</w:t>
            </w:r>
          </w:p>
        </w:tc>
        <w:tc>
          <w:tcPr>
            <w:tcW w:type="dxa" w:w="1900"/>
            <w:shd w:fill="F2F2F2" w:val="clear"/>
            <w:tcMar>
              <w:top w:type="dxa" w:w="80"/>
              <w:left w:type="dxa" w:w="100"/>
              <w:bottom w:type="dxa" w:w="80"/>
              <w:right w:type="dxa" w:w="100"/>
            </w:tcMar>
          </w:tcPr>
          <w:p>
            <w:r>
              <w:rPr>
                <w:sz w:val="20"/>
                <w:szCs w:val="20"/>
              </w:rPr>
              <w:t xml:space="preserve">New Cardinality Estimator behavior under compatibility level 160 changes plan choices for some queries</w:t>
            </w:r>
          </w:p>
        </w:tc>
        <w:tc>
          <w:tcPr>
            <w:tcW w:type="dxa" w:w="2500"/>
            <w:shd w:fill="F2F2F2" w:val="clear"/>
            <w:tcMar>
              <w:top w:type="dxa" w:w="80"/>
              <w:left w:type="dxa" w:w="100"/>
              <w:bottom w:type="dxa" w:w="80"/>
              <w:right w:type="dxa" w:w="100"/>
            </w:tcMar>
          </w:tcPr>
          <w:p>
            <w:r>
              <w:rPr>
                <w:sz w:val="20"/>
                <w:szCs w:val="20"/>
              </w:rPr>
              <w:t xml:space="preserve">Use Query Store to identify regressed queries; consider `ALTER DATABASE SCOPED CONFIGURATION SET LEGACY_CARDINALITY_ESTIMATION = ON` as a temporary mitigation while queries are tuned</w:t>
            </w:r>
          </w:p>
        </w:tc>
        <w:tc>
          <w:tcPr>
            <w:tcW w:type="dxa" w:w="1500"/>
            <w:shd w:fill="F2F2F2" w:val="clear"/>
            <w:tcMar>
              <w:top w:type="dxa" w:w="80"/>
              <w:left w:type="dxa" w:w="100"/>
              <w:bottom w:type="dxa" w:w="80"/>
              <w:right w:type="dxa" w:w="100"/>
            </w:tcMar>
          </w:tcPr>
          <w:p>
            <w:r>
              <w:rPr>
                <w:sz w:val="20"/>
                <w:szCs w:val="20"/>
              </w:rPr>
              <w:t xml:space="preserve">Query Store reports</w:t>
            </w:r>
          </w:p>
        </w:tc>
        <w:tc>
          <w:tcPr>
            <w:tcW w:type="dxa" w:w="1500"/>
            <w:shd w:fill="F2F2F2" w:val="clear"/>
            <w:tcMar>
              <w:top w:type="dxa" w:w="80"/>
              <w:left w:type="dxa" w:w="100"/>
              <w:bottom w:type="dxa" w:w="80"/>
              <w:right w:type="dxa" w:w="100"/>
            </w:tcMar>
          </w:tcPr>
          <w:p>
            <w:r>
              <w:rPr>
                <w:sz w:val="20"/>
                <w:szCs w:val="20"/>
              </w:rPr>
              <w:t xml:space="preserve">Query Store, `sys.dm_exec_query_stats`</w:t>
            </w:r>
          </w:p>
        </w:tc>
        <w:tc>
          <w:tcPr>
            <w:tcW w:type="dxa" w:w="1900"/>
            <w:shd w:fill="F2F2F2" w:val="clear"/>
            <w:tcMar>
              <w:top w:type="dxa" w:w="80"/>
              <w:left w:type="dxa" w:w="100"/>
              <w:bottom w:type="dxa" w:w="80"/>
              <w:right w:type="dxa" w:w="100"/>
            </w:tcMar>
          </w:tcPr>
          <w:p>
            <w:r>
              <w:rPr>
                <w:sz w:val="20"/>
                <w:szCs w:val="20"/>
              </w:rPr>
              <w:t xml:space="preserve">learn.microsoft.com/sql/relational-databases/performance/monitoring-performance-by-using-the-query-store</w:t>
            </w:r>
          </w:p>
        </w:tc>
      </w:tr>
      <w:tr>
        <w:tc>
          <w:tcPr>
            <w:tcW w:type="dxa" w:w="1700"/>
            <w:tcMar>
              <w:top w:type="dxa" w:w="80"/>
              <w:left w:type="dxa" w:w="100"/>
              <w:bottom w:type="dxa" w:w="80"/>
              <w:right w:type="dxa" w:w="100"/>
            </w:tcMar>
          </w:tcPr>
          <w:p>
            <w:r>
              <w:rPr>
                <w:sz w:val="20"/>
                <w:szCs w:val="20"/>
              </w:rPr>
              <w:t xml:space="preserve">Linked server queries fail post-upgrade</w:t>
            </w:r>
          </w:p>
        </w:tc>
        <w:tc>
          <w:tcPr>
            <w:tcW w:type="dxa" w:w="1900"/>
            <w:tcMar>
              <w:top w:type="dxa" w:w="80"/>
              <w:left w:type="dxa" w:w="100"/>
              <w:bottom w:type="dxa" w:w="80"/>
              <w:right w:type="dxa" w:w="100"/>
            </w:tcMar>
          </w:tcPr>
          <w:p>
            <w:r>
              <w:rPr>
                <w:sz w:val="20"/>
                <w:szCs w:val="20"/>
              </w:rPr>
              <w:t xml:space="preserve">Deprecated OLE DB provider removed/changed in newer engine, or 'Ad Hoc Distributed Queries' disabled</w:t>
            </w:r>
          </w:p>
        </w:tc>
        <w:tc>
          <w:tcPr>
            <w:tcW w:type="dxa" w:w="2500"/>
            <w:tcMar>
              <w:top w:type="dxa" w:w="80"/>
              <w:left w:type="dxa" w:w="100"/>
              <w:bottom w:type="dxa" w:w="80"/>
              <w:right w:type="dxa" w:w="100"/>
            </w:tcMar>
          </w:tcPr>
          <w:p>
            <w:r>
              <w:rPr>
                <w:sz w:val="20"/>
                <w:szCs w:val="20"/>
              </w:rPr>
              <w:t xml:space="preserve">Update linked server provider, re-enable required sp_configure option if appropriate for your security policy</w:t>
            </w:r>
          </w:p>
        </w:tc>
        <w:tc>
          <w:tcPr>
            <w:tcW w:type="dxa" w:w="1500"/>
            <w:tcMar>
              <w:top w:type="dxa" w:w="80"/>
              <w:left w:type="dxa" w:w="100"/>
              <w:bottom w:type="dxa" w:w="80"/>
              <w:right w:type="dxa" w:w="100"/>
            </w:tcMar>
          </w:tcPr>
          <w:p>
            <w:r>
              <w:rPr>
                <w:sz w:val="20"/>
                <w:szCs w:val="20"/>
              </w:rPr>
              <w:t xml:space="preserve">`EXEC sp_testlinkedserver;`</w:t>
            </w:r>
          </w:p>
        </w:tc>
        <w:tc>
          <w:tcPr>
            <w:tcW w:type="dxa" w:w="1500"/>
            <w:tcMar>
              <w:top w:type="dxa" w:w="80"/>
              <w:left w:type="dxa" w:w="100"/>
              <w:bottom w:type="dxa" w:w="80"/>
              <w:right w:type="dxa" w:w="100"/>
            </w:tcMar>
          </w:tcPr>
          <w:p>
            <w:r>
              <w:rPr>
                <w:sz w:val="20"/>
                <w:szCs w:val="20"/>
              </w:rPr>
              <w:t xml:space="preserve">SQL Server error log</w:t>
            </w:r>
          </w:p>
        </w:tc>
        <w:tc>
          <w:tcPr>
            <w:tcW w:type="dxa" w:w="1900"/>
            <w:tcMar>
              <w:top w:type="dxa" w:w="80"/>
              <w:left w:type="dxa" w:w="100"/>
              <w:bottom w:type="dxa" w:w="80"/>
              <w:right w:type="dxa" w:w="100"/>
            </w:tcMar>
          </w:tcPr>
          <w:p>
            <w:r>
              <w:rPr>
                <w:sz w:val="20"/>
                <w:szCs w:val="20"/>
              </w:rPr>
              <w:t xml:space="preserve">learn.microsoft.com/sql/relational-databases/linked-servers</w:t>
            </w:r>
          </w:p>
        </w:tc>
      </w:tr>
      <w:tr>
        <w:tc>
          <w:tcPr>
            <w:tcW w:type="dxa" w:w="1700"/>
            <w:shd w:fill="F2F2F2" w:val="clear"/>
            <w:tcMar>
              <w:top w:type="dxa" w:w="80"/>
              <w:left w:type="dxa" w:w="100"/>
              <w:bottom w:type="dxa" w:w="80"/>
              <w:right w:type="dxa" w:w="100"/>
            </w:tcMar>
          </w:tcPr>
          <w:p>
            <w:r>
              <w:rPr>
                <w:sz w:val="20"/>
                <w:szCs w:val="20"/>
              </w:rPr>
              <w:t xml:space="preserve">SQL Agent jobs fail with proxy/credential errors</w:t>
            </w:r>
          </w:p>
        </w:tc>
        <w:tc>
          <w:tcPr>
            <w:tcW w:type="dxa" w:w="1900"/>
            <w:shd w:fill="F2F2F2" w:val="clear"/>
            <w:tcMar>
              <w:top w:type="dxa" w:w="80"/>
              <w:left w:type="dxa" w:w="100"/>
              <w:bottom w:type="dxa" w:w="80"/>
              <w:right w:type="dxa" w:w="100"/>
            </w:tcMar>
          </w:tcPr>
          <w:p>
            <w:r>
              <w:rPr>
                <w:sz w:val="20"/>
                <w:szCs w:val="20"/>
              </w:rPr>
              <w:t xml:space="preserve">Credential store not carried forward correctly, or service account changed</w:t>
            </w:r>
          </w:p>
        </w:tc>
        <w:tc>
          <w:tcPr>
            <w:tcW w:type="dxa" w:w="2500"/>
            <w:shd w:fill="F2F2F2" w:val="clear"/>
            <w:tcMar>
              <w:top w:type="dxa" w:w="80"/>
              <w:left w:type="dxa" w:w="100"/>
              <w:bottom w:type="dxa" w:w="80"/>
              <w:right w:type="dxa" w:w="100"/>
            </w:tcMar>
          </w:tcPr>
          <w:p>
            <w:r>
              <w:rPr>
                <w:sz w:val="20"/>
                <w:szCs w:val="20"/>
              </w:rPr>
              <w:t xml:space="preserve">Re-validate SQL Agent proxy accounts and credentials</w:t>
            </w:r>
          </w:p>
        </w:tc>
        <w:tc>
          <w:tcPr>
            <w:tcW w:type="dxa" w:w="1500"/>
            <w:shd w:fill="F2F2F2" w:val="clear"/>
            <w:tcMar>
              <w:top w:type="dxa" w:w="80"/>
              <w:left w:type="dxa" w:w="100"/>
              <w:bottom w:type="dxa" w:w="80"/>
              <w:right w:type="dxa" w:w="100"/>
            </w:tcMar>
          </w:tcPr>
          <w:p>
            <w:r>
              <w:rPr>
                <w:sz w:val="20"/>
                <w:szCs w:val="20"/>
              </w:rPr>
              <w:t xml:space="preserve">`EXEC msdb.dbo.sp_help_proxy;`</w:t>
            </w:r>
          </w:p>
        </w:tc>
        <w:tc>
          <w:tcPr>
            <w:tcW w:type="dxa" w:w="1500"/>
            <w:shd w:fill="F2F2F2" w:val="clear"/>
            <w:tcMar>
              <w:top w:type="dxa" w:w="80"/>
              <w:left w:type="dxa" w:w="100"/>
              <w:bottom w:type="dxa" w:w="80"/>
              <w:right w:type="dxa" w:w="100"/>
            </w:tcMar>
          </w:tcPr>
          <w:p>
            <w:r>
              <w:rPr>
                <w:sz w:val="20"/>
                <w:szCs w:val="20"/>
              </w:rPr>
              <w:t xml:space="preserve">SQL Agent job history</w:t>
            </w:r>
          </w:p>
        </w:tc>
        <w:tc>
          <w:tcPr>
            <w:tcW w:type="dxa" w:w="1900"/>
            <w:shd w:fill="F2F2F2" w:val="clear"/>
            <w:tcMar>
              <w:top w:type="dxa" w:w="80"/>
              <w:left w:type="dxa" w:w="100"/>
              <w:bottom w:type="dxa" w:w="80"/>
              <w:right w:type="dxa" w:w="100"/>
            </w:tcMar>
          </w:tcPr>
          <w:p>
            <w:r>
              <w:rPr>
                <w:sz w:val="20"/>
                <w:szCs w:val="20"/>
              </w:rPr>
              <w:t xml:space="preserve">learn.microsoft.com/sql/ssms/agent/sql-server-agent-proxies</w:t>
            </w:r>
          </w:p>
        </w:tc>
      </w:tr>
      <w:tr>
        <w:tc>
          <w:tcPr>
            <w:tcW w:type="dxa" w:w="1700"/>
            <w:tcMar>
              <w:top w:type="dxa" w:w="80"/>
              <w:left w:type="dxa" w:w="100"/>
              <w:bottom w:type="dxa" w:w="80"/>
              <w:right w:type="dxa" w:w="100"/>
            </w:tcMar>
          </w:tcPr>
          <w:p>
            <w:r>
              <w:rPr>
                <w:sz w:val="20"/>
                <w:szCs w:val="20"/>
              </w:rPr>
              <w:t xml:space="preserve">Replication agents fail to start post-upgrade</w:t>
            </w:r>
          </w:p>
        </w:tc>
        <w:tc>
          <w:tcPr>
            <w:tcW w:type="dxa" w:w="1900"/>
            <w:tcMar>
              <w:top w:type="dxa" w:w="80"/>
              <w:left w:type="dxa" w:w="100"/>
              <w:bottom w:type="dxa" w:w="80"/>
              <w:right w:type="dxa" w:w="100"/>
            </w:tcMar>
          </w:tcPr>
          <w:p>
            <w:r>
              <w:rPr>
                <w:sz w:val="20"/>
                <w:szCs w:val="20"/>
              </w:rPr>
              <w:t xml:space="preserve">Distributor not upgraded first, or agent job step references old path/version</w:t>
            </w:r>
          </w:p>
        </w:tc>
        <w:tc>
          <w:tcPr>
            <w:tcW w:type="dxa" w:w="2500"/>
            <w:tcMar>
              <w:top w:type="dxa" w:w="80"/>
              <w:left w:type="dxa" w:w="100"/>
              <w:bottom w:type="dxa" w:w="80"/>
              <w:right w:type="dxa" w:w="100"/>
            </w:tcMar>
          </w:tcPr>
          <w:p>
            <w:r>
              <w:rPr>
                <w:sz w:val="20"/>
                <w:szCs w:val="20"/>
              </w:rPr>
              <w:t xml:space="preserve">Upgrade distributor before publishers/subscribers; re-generate agent job steps if needed</w:t>
            </w:r>
          </w:p>
        </w:tc>
        <w:tc>
          <w:tcPr>
            <w:tcW w:type="dxa" w:w="1500"/>
            <w:tcMar>
              <w:top w:type="dxa" w:w="80"/>
              <w:left w:type="dxa" w:w="100"/>
              <w:bottom w:type="dxa" w:w="80"/>
              <w:right w:type="dxa" w:w="100"/>
            </w:tcMar>
          </w:tcPr>
          <w:p>
            <w:r>
              <w:rPr>
                <w:sz w:val="20"/>
                <w:szCs w:val="20"/>
              </w:rPr>
              <w:t xml:space="preserve">Replication Monitor</w:t>
            </w:r>
          </w:p>
        </w:tc>
        <w:tc>
          <w:tcPr>
            <w:tcW w:type="dxa" w:w="1500"/>
            <w:tcMar>
              <w:top w:type="dxa" w:w="80"/>
              <w:left w:type="dxa" w:w="100"/>
              <w:bottom w:type="dxa" w:w="80"/>
              <w:right w:type="dxa" w:w="100"/>
            </w:tcMar>
          </w:tcPr>
          <w:p>
            <w:r>
              <w:rPr>
                <w:sz w:val="20"/>
                <w:szCs w:val="20"/>
              </w:rPr>
              <w:t xml:space="preserve">Replication agent job history</w:t>
            </w:r>
          </w:p>
        </w:tc>
        <w:tc>
          <w:tcPr>
            <w:tcW w:type="dxa" w:w="1900"/>
            <w:tcMar>
              <w:top w:type="dxa" w:w="80"/>
              <w:left w:type="dxa" w:w="100"/>
              <w:bottom w:type="dxa" w:w="80"/>
              <w:right w:type="dxa" w:w="100"/>
            </w:tcMar>
          </w:tcPr>
          <w:p>
            <w:r>
              <w:rPr>
                <w:sz w:val="20"/>
                <w:szCs w:val="20"/>
              </w:rPr>
              <w:t xml:space="preserve">learn.microsoft.com/sql/relational-databases/replication</w:t>
            </w:r>
          </w:p>
        </w:tc>
      </w:tr>
      <w:tr>
        <w:tc>
          <w:tcPr>
            <w:tcW w:type="dxa" w:w="1700"/>
            <w:shd w:fill="F2F2F2" w:val="clear"/>
            <w:tcMar>
              <w:top w:type="dxa" w:w="80"/>
              <w:left w:type="dxa" w:w="100"/>
              <w:bottom w:type="dxa" w:w="80"/>
              <w:right w:type="dxa" w:w="100"/>
            </w:tcMar>
          </w:tcPr>
          <w:p>
            <w:r>
              <w:rPr>
                <w:sz w:val="20"/>
                <w:szCs w:val="20"/>
              </w:rPr>
              <w:t xml:space="preserve">TDE database will not come online post-upgrade ('cannot find server certificate')</w:t>
            </w:r>
          </w:p>
        </w:tc>
        <w:tc>
          <w:tcPr>
            <w:tcW w:type="dxa" w:w="1900"/>
            <w:shd w:fill="F2F2F2" w:val="clear"/>
            <w:tcMar>
              <w:top w:type="dxa" w:w="80"/>
              <w:left w:type="dxa" w:w="100"/>
              <w:bottom w:type="dxa" w:w="80"/>
              <w:right w:type="dxa" w:w="100"/>
            </w:tcMar>
          </w:tcPr>
          <w:p>
            <w:r>
              <w:rPr>
                <w:sz w:val="20"/>
                <w:szCs w:val="20"/>
              </w:rPr>
              <w:t xml:space="preserve">Certificate not present or not restored on new instance/host</w:t>
            </w:r>
          </w:p>
        </w:tc>
        <w:tc>
          <w:tcPr>
            <w:tcW w:type="dxa" w:w="2500"/>
            <w:shd w:fill="F2F2F2" w:val="clear"/>
            <w:tcMar>
              <w:top w:type="dxa" w:w="80"/>
              <w:left w:type="dxa" w:w="100"/>
              <w:bottom w:type="dxa" w:w="80"/>
              <w:right w:type="dxa" w:w="100"/>
            </w:tcMar>
          </w:tcPr>
          <w:p>
            <w:r>
              <w:rPr>
                <w:sz w:val="20"/>
                <w:szCs w:val="20"/>
              </w:rPr>
              <w:t xml:space="preserve">Restore TDE certificate and private key before bringing database online</w:t>
            </w:r>
          </w:p>
        </w:tc>
        <w:tc>
          <w:tcPr>
            <w:tcW w:type="dxa" w:w="1500"/>
            <w:shd w:fill="F2F2F2" w:val="clear"/>
            <w:tcMar>
              <w:top w:type="dxa" w:w="80"/>
              <w:left w:type="dxa" w:w="100"/>
              <w:bottom w:type="dxa" w:w="80"/>
              <w:right w:type="dxa" w:w="100"/>
            </w:tcMar>
          </w:tcPr>
          <w:p>
            <w:r>
              <w:rPr>
                <w:sz w:val="20"/>
                <w:szCs w:val="20"/>
              </w:rPr>
              <w:t xml:space="preserve">`SELECT * FROM sys.dm_database_encryption_keys;`</w:t>
            </w:r>
          </w:p>
        </w:tc>
        <w:tc>
          <w:tcPr>
            <w:tcW w:type="dxa" w:w="1500"/>
            <w:shd w:fill="F2F2F2" w:val="clear"/>
            <w:tcMar>
              <w:top w:type="dxa" w:w="80"/>
              <w:left w:type="dxa" w:w="100"/>
              <w:bottom w:type="dxa" w:w="80"/>
              <w:right w:type="dxa" w:w="100"/>
            </w:tcMar>
          </w:tcPr>
          <w:p>
            <w:r>
              <w:rPr>
                <w:sz w:val="20"/>
                <w:szCs w:val="20"/>
              </w:rPr>
              <w:t xml:space="preserve">SQL Server error log</w:t>
            </w:r>
          </w:p>
        </w:tc>
        <w:tc>
          <w:tcPr>
            <w:tcW w:type="dxa" w:w="1900"/>
            <w:shd w:fill="F2F2F2" w:val="clear"/>
            <w:tcMar>
              <w:top w:type="dxa" w:w="80"/>
              <w:left w:type="dxa" w:w="100"/>
              <w:bottom w:type="dxa" w:w="80"/>
              <w:right w:type="dxa" w:w="100"/>
            </w:tcMar>
          </w:tcPr>
          <w:p>
            <w:r>
              <w:rPr>
                <w:sz w:val="20"/>
                <w:szCs w:val="20"/>
              </w:rPr>
              <w:t xml:space="preserve">learn.microsoft.com/sql/relational-databases/security/encryption/transparent-data-encryption</w:t>
            </w:r>
          </w:p>
        </w:tc>
      </w:tr>
      <w:tr>
        <w:tc>
          <w:tcPr>
            <w:tcW w:type="dxa" w:w="1700"/>
            <w:tcMar>
              <w:top w:type="dxa" w:w="80"/>
              <w:left w:type="dxa" w:w="100"/>
              <w:bottom w:type="dxa" w:w="80"/>
              <w:right w:type="dxa" w:w="100"/>
            </w:tcMar>
          </w:tcPr>
          <w:p>
            <w:r>
              <w:rPr>
                <w:sz w:val="20"/>
                <w:szCs w:val="20"/>
              </w:rPr>
              <w:t xml:space="preserve">SSRS reports fail to render post-upgrade</w:t>
            </w:r>
          </w:p>
        </w:tc>
        <w:tc>
          <w:tcPr>
            <w:tcW w:type="dxa" w:w="1900"/>
            <w:tcMar>
              <w:top w:type="dxa" w:w="80"/>
              <w:left w:type="dxa" w:w="100"/>
              <w:bottom w:type="dxa" w:w="80"/>
              <w:right w:type="dxa" w:w="100"/>
            </w:tcMar>
          </w:tcPr>
          <w:p>
            <w:r>
              <w:rPr>
                <w:sz w:val="20"/>
                <w:szCs w:val="20"/>
              </w:rPr>
              <w:t xml:space="preserve">SSRS was not included in the SQL Server 2022 setup (separate installer) and remains on an older, incompatible build</w:t>
            </w:r>
          </w:p>
        </w:tc>
        <w:tc>
          <w:tcPr>
            <w:tcW w:type="dxa" w:w="2500"/>
            <w:tcMar>
              <w:top w:type="dxa" w:w="80"/>
              <w:left w:type="dxa" w:w="100"/>
              <w:bottom w:type="dxa" w:w="80"/>
              <w:right w:type="dxa" w:w="100"/>
            </w:tcMar>
          </w:tcPr>
          <w:p>
            <w:r>
              <w:rPr>
                <w:sz w:val="20"/>
                <w:szCs w:val="20"/>
              </w:rPr>
              <w:t xml:space="preserve">Install/upgrade Power BI Report Server or SSRS separately, aligned to the supported version matrix</w:t>
            </w:r>
          </w:p>
        </w:tc>
        <w:tc>
          <w:tcPr>
            <w:tcW w:type="dxa" w:w="1500"/>
            <w:tcMar>
              <w:top w:type="dxa" w:w="80"/>
              <w:left w:type="dxa" w:w="100"/>
              <w:bottom w:type="dxa" w:w="80"/>
              <w:right w:type="dxa" w:w="100"/>
            </w:tcMar>
          </w:tcPr>
          <w:p>
            <w:r>
              <w:rPr>
                <w:sz w:val="20"/>
                <w:szCs w:val="20"/>
              </w:rPr>
              <w:t xml:space="preserve">N/A</w:t>
            </w:r>
          </w:p>
        </w:tc>
        <w:tc>
          <w:tcPr>
            <w:tcW w:type="dxa" w:w="1500"/>
            <w:tcMar>
              <w:top w:type="dxa" w:w="80"/>
              <w:left w:type="dxa" w:w="100"/>
              <w:bottom w:type="dxa" w:w="80"/>
              <w:right w:type="dxa" w:w="100"/>
            </w:tcMar>
          </w:tcPr>
          <w:p>
            <w:r>
              <w:rPr>
                <w:sz w:val="20"/>
                <w:szCs w:val="20"/>
              </w:rPr>
              <w:t xml:space="preserve">ReportServerService log</w:t>
            </w:r>
          </w:p>
        </w:tc>
        <w:tc>
          <w:tcPr>
            <w:tcW w:type="dxa" w:w="1900"/>
            <w:tcMar>
              <w:top w:type="dxa" w:w="80"/>
              <w:left w:type="dxa" w:w="100"/>
              <w:bottom w:type="dxa" w:w="80"/>
              <w:right w:type="dxa" w:w="100"/>
            </w:tcMar>
          </w:tcPr>
          <w:p>
            <w:r>
              <w:rPr>
                <w:sz w:val="20"/>
                <w:szCs w:val="20"/>
              </w:rPr>
              <w:t xml:space="preserve">learn.microsoft.com/sql/reporting-services/install-windows/install-reporting-services</w:t>
            </w:r>
          </w:p>
        </w:tc>
      </w:tr>
      <w:tr>
        <w:tc>
          <w:tcPr>
            <w:tcW w:type="dxa" w:w="1700"/>
            <w:shd w:fill="F2F2F2" w:val="clear"/>
            <w:tcMar>
              <w:top w:type="dxa" w:w="80"/>
              <w:left w:type="dxa" w:w="100"/>
              <w:bottom w:type="dxa" w:w="80"/>
              <w:right w:type="dxa" w:w="100"/>
            </w:tcMar>
          </w:tcPr>
          <w:p>
            <w:r>
              <w:rPr>
                <w:sz w:val="20"/>
                <w:szCs w:val="20"/>
              </w:rPr>
              <w:t xml:space="preserve">High tempdb contention after upgrade</w:t>
            </w:r>
          </w:p>
        </w:tc>
        <w:tc>
          <w:tcPr>
            <w:tcW w:type="dxa" w:w="1900"/>
            <w:shd w:fill="F2F2F2" w:val="clear"/>
            <w:tcMar>
              <w:top w:type="dxa" w:w="80"/>
              <w:left w:type="dxa" w:w="100"/>
              <w:bottom w:type="dxa" w:w="80"/>
              <w:right w:type="dxa" w:w="100"/>
            </w:tcMar>
          </w:tcPr>
          <w:p>
            <w:r>
              <w:rPr>
                <w:sz w:val="20"/>
                <w:szCs w:val="20"/>
              </w:rPr>
              <w:t xml:space="preserve">tempdb file count not scaled to new host's logical CPU count during setup</w:t>
            </w:r>
          </w:p>
        </w:tc>
        <w:tc>
          <w:tcPr>
            <w:tcW w:type="dxa" w:w="2500"/>
            <w:shd w:fill="F2F2F2" w:val="clear"/>
            <w:tcMar>
              <w:top w:type="dxa" w:w="80"/>
              <w:left w:type="dxa" w:w="100"/>
              <w:bottom w:type="dxa" w:w="80"/>
              <w:right w:type="dxa" w:w="100"/>
            </w:tcMar>
          </w:tcPr>
          <w:p>
            <w:r>
              <w:rPr>
                <w:sz w:val="20"/>
                <w:szCs w:val="20"/>
              </w:rPr>
              <w:t xml:space="preserve">Reconfigure tempdb file count/sizing per Microsoft best-practice guidance for the actual core count</w:t>
            </w:r>
          </w:p>
        </w:tc>
        <w:tc>
          <w:tcPr>
            <w:tcW w:type="dxa" w:w="1500"/>
            <w:shd w:fill="F2F2F2" w:val="clear"/>
            <w:tcMar>
              <w:top w:type="dxa" w:w="80"/>
              <w:left w:type="dxa" w:w="100"/>
              <w:bottom w:type="dxa" w:w="80"/>
              <w:right w:type="dxa" w:w="100"/>
            </w:tcMar>
          </w:tcPr>
          <w:p>
            <w:r>
              <w:rPr>
                <w:sz w:val="20"/>
                <w:szCs w:val="20"/>
              </w:rPr>
              <w:t xml:space="preserve">`SELECT COUNT(*) FROM tempdb.sys.database_files;`</w:t>
            </w:r>
          </w:p>
        </w:tc>
        <w:tc>
          <w:tcPr>
            <w:tcW w:type="dxa" w:w="1500"/>
            <w:shd w:fill="F2F2F2" w:val="clear"/>
            <w:tcMar>
              <w:top w:type="dxa" w:w="80"/>
              <w:left w:type="dxa" w:w="100"/>
              <w:bottom w:type="dxa" w:w="80"/>
              <w:right w:type="dxa" w:w="100"/>
            </w:tcMar>
          </w:tcPr>
          <w:p>
            <w:r>
              <w:rPr>
                <w:sz w:val="20"/>
                <w:szCs w:val="20"/>
              </w:rPr>
              <w:t xml:space="preserve">Wait statistics (PAGELATCH contention)</w:t>
            </w:r>
          </w:p>
        </w:tc>
        <w:tc>
          <w:tcPr>
            <w:tcW w:type="dxa" w:w="1900"/>
            <w:shd w:fill="F2F2F2" w:val="clear"/>
            <w:tcMar>
              <w:top w:type="dxa" w:w="80"/>
              <w:left w:type="dxa" w:w="100"/>
              <w:bottom w:type="dxa" w:w="80"/>
              <w:right w:type="dxa" w:w="100"/>
            </w:tcMar>
          </w:tcPr>
          <w:p>
            <w:r>
              <w:rPr>
                <w:sz w:val="20"/>
                <w:szCs w:val="20"/>
              </w:rPr>
              <w:t xml:space="preserve">learn.microsoft.com/sql/relational-databases/databases/tempdb-database</w:t>
            </w:r>
          </w:p>
        </w:tc>
      </w:tr>
      <w:tr>
        <w:tc>
          <w:tcPr>
            <w:tcW w:type="dxa" w:w="1700"/>
            <w:tcMar>
              <w:top w:type="dxa" w:w="80"/>
              <w:left w:type="dxa" w:w="100"/>
              <w:bottom w:type="dxa" w:w="80"/>
              <w:right w:type="dxa" w:w="100"/>
            </w:tcMar>
          </w:tcPr>
          <w:p>
            <w:r>
              <w:rPr>
                <w:sz w:val="20"/>
                <w:szCs w:val="20"/>
              </w:rPr>
              <w:t xml:space="preserve">Backup jobs fail post-upgrade with path/permission errors</w:t>
            </w:r>
          </w:p>
        </w:tc>
        <w:tc>
          <w:tcPr>
            <w:tcW w:type="dxa" w:w="1900"/>
            <w:tcMar>
              <w:top w:type="dxa" w:w="80"/>
              <w:left w:type="dxa" w:w="100"/>
              <w:bottom w:type="dxa" w:w="80"/>
              <w:right w:type="dxa" w:w="100"/>
            </w:tcMar>
          </w:tcPr>
          <w:p>
            <w:r>
              <w:rPr>
                <w:sz w:val="20"/>
                <w:szCs w:val="20"/>
              </w:rPr>
              <w:t xml:space="preserve">Backup agent not yet updated for the new OS/SQL version, or service account permissions reset</w:t>
            </w:r>
          </w:p>
        </w:tc>
        <w:tc>
          <w:tcPr>
            <w:tcW w:type="dxa" w:w="2500"/>
            <w:tcMar>
              <w:top w:type="dxa" w:w="80"/>
              <w:left w:type="dxa" w:w="100"/>
              <w:bottom w:type="dxa" w:w="80"/>
              <w:right w:type="dxa" w:w="100"/>
            </w:tcMar>
          </w:tcPr>
          <w:p>
            <w:r>
              <w:rPr>
                <w:sz w:val="20"/>
                <w:szCs w:val="20"/>
              </w:rPr>
              <w:t xml:space="preserve">Update backup agent to a certified version; re-validate service account rights</w:t>
            </w:r>
          </w:p>
        </w:tc>
        <w:tc>
          <w:tcPr>
            <w:tcW w:type="dxa" w:w="1500"/>
            <w:tcMar>
              <w:top w:type="dxa" w:w="80"/>
              <w:left w:type="dxa" w:w="100"/>
              <w:bottom w:type="dxa" w:w="80"/>
              <w:right w:type="dxa" w:w="100"/>
            </w:tcMar>
          </w:tcPr>
          <w:p>
            <w:r>
              <w:rPr>
                <w:sz w:val="20"/>
                <w:szCs w:val="20"/>
              </w:rPr>
              <w:t xml:space="preserve">Backup console job log</w:t>
            </w:r>
          </w:p>
        </w:tc>
        <w:tc>
          <w:tcPr>
            <w:tcW w:type="dxa" w:w="1500"/>
            <w:tcMar>
              <w:top w:type="dxa" w:w="80"/>
              <w:left w:type="dxa" w:w="100"/>
              <w:bottom w:type="dxa" w:w="80"/>
              <w:right w:type="dxa" w:w="100"/>
            </w:tcMar>
          </w:tcPr>
          <w:p>
            <w:r>
              <w:rPr>
                <w:sz w:val="20"/>
                <w:szCs w:val="20"/>
              </w:rPr>
              <w:t xml:space="preserve">Backup agent log</w:t>
            </w:r>
          </w:p>
        </w:tc>
        <w:tc>
          <w:tcPr>
            <w:tcW w:type="dxa" w:w="1900"/>
            <w:tcMar>
              <w:top w:type="dxa" w:w="80"/>
              <w:left w:type="dxa" w:w="100"/>
              <w:bottom w:type="dxa" w:w="80"/>
              <w:right w:type="dxa" w:w="100"/>
            </w:tcMar>
          </w:tcPr>
          <w:p>
            <w:r>
              <w:rPr>
                <w:sz w:val="20"/>
                <w:szCs w:val="20"/>
              </w:rPr>
              <w:t xml:space="preserve">Refer to backup vendor documentation</w:t>
            </w:r>
          </w:p>
        </w:tc>
      </w:tr>
      <w:tr>
        <w:tc>
          <w:tcPr>
            <w:tcW w:type="dxa" w:w="1700"/>
            <w:shd w:fill="F2F2F2" w:val="clear"/>
            <w:tcMar>
              <w:top w:type="dxa" w:w="80"/>
              <w:left w:type="dxa" w:w="100"/>
              <w:bottom w:type="dxa" w:w="80"/>
              <w:right w:type="dxa" w:w="100"/>
            </w:tcMar>
          </w:tcPr>
          <w:p>
            <w:r>
              <w:rPr>
                <w:sz w:val="20"/>
                <w:szCs w:val="20"/>
              </w:rPr>
              <w:t xml:space="preserve">Monitoring shows the server as 'Unknown OS' or missing SQL instance</w:t>
            </w:r>
          </w:p>
        </w:tc>
        <w:tc>
          <w:tcPr>
            <w:tcW w:type="dxa" w:w="1900"/>
            <w:shd w:fill="F2F2F2" w:val="clear"/>
            <w:tcMar>
              <w:top w:type="dxa" w:w="80"/>
              <w:left w:type="dxa" w:w="100"/>
              <w:bottom w:type="dxa" w:w="80"/>
              <w:right w:type="dxa" w:w="100"/>
            </w:tcMar>
          </w:tcPr>
          <w:p>
            <w:r>
              <w:rPr>
                <w:sz w:val="20"/>
                <w:szCs w:val="20"/>
              </w:rPr>
              <w:t xml:space="preserve">Monitoring agent management pack/template not updated for Server 2022 / SQL 2022</w:t>
            </w:r>
          </w:p>
        </w:tc>
        <w:tc>
          <w:tcPr>
            <w:tcW w:type="dxa" w:w="2500"/>
            <w:shd w:fill="F2F2F2" w:val="clear"/>
            <w:tcMar>
              <w:top w:type="dxa" w:w="80"/>
              <w:left w:type="dxa" w:w="100"/>
              <w:bottom w:type="dxa" w:w="80"/>
              <w:right w:type="dxa" w:w="100"/>
            </w:tcMar>
          </w:tcPr>
          <w:p>
            <w:r>
              <w:rPr>
                <w:sz w:val="20"/>
                <w:szCs w:val="20"/>
              </w:rPr>
              <w:t xml:space="preserve">Update SCOM management pack or SolarWinds/Splunk template to the version supporting the new OS/SQL build</w:t>
            </w:r>
          </w:p>
        </w:tc>
        <w:tc>
          <w:tcPr>
            <w:tcW w:type="dxa" w:w="1500"/>
            <w:shd w:fill="F2F2F2" w:val="clear"/>
            <w:tcMar>
              <w:top w:type="dxa" w:w="80"/>
              <w:left w:type="dxa" w:w="100"/>
              <w:bottom w:type="dxa" w:w="80"/>
              <w:right w:type="dxa" w:w="100"/>
            </w:tcMar>
          </w:tcPr>
          <w:p>
            <w:r>
              <w:rPr>
                <w:sz w:val="20"/>
                <w:szCs w:val="20"/>
              </w:rPr>
              <w:t xml:space="preserve">Monitoring console</w:t>
            </w:r>
          </w:p>
        </w:tc>
        <w:tc>
          <w:tcPr>
            <w:tcW w:type="dxa" w:w="1500"/>
            <w:shd w:fill="F2F2F2" w:val="clear"/>
            <w:tcMar>
              <w:top w:type="dxa" w:w="80"/>
              <w:left w:type="dxa" w:w="100"/>
              <w:bottom w:type="dxa" w:w="80"/>
              <w:right w:type="dxa" w:w="100"/>
            </w:tcMar>
          </w:tcPr>
          <w:p>
            <w:r>
              <w:rPr>
                <w:sz w:val="20"/>
                <w:szCs w:val="20"/>
              </w:rPr>
              <w:t xml:space="preserve">Agent heartbeat log</w:t>
            </w:r>
          </w:p>
        </w:tc>
        <w:tc>
          <w:tcPr>
            <w:tcW w:type="dxa" w:w="1900"/>
            <w:shd w:fill="F2F2F2" w:val="clear"/>
            <w:tcMar>
              <w:top w:type="dxa" w:w="80"/>
              <w:left w:type="dxa" w:w="100"/>
              <w:bottom w:type="dxa" w:w="80"/>
              <w:right w:type="dxa" w:w="100"/>
            </w:tcMar>
          </w:tcPr>
          <w:p>
            <w:r>
              <w:rPr>
                <w:sz w:val="20"/>
                <w:szCs w:val="20"/>
              </w:rPr>
              <w:t xml:space="preserve">Refer to monitoring vendor documentation</w:t>
            </w:r>
          </w:p>
        </w:tc>
      </w:tr>
      <w:tr>
        <w:tc>
          <w:tcPr>
            <w:tcW w:type="dxa" w:w="1700"/>
            <w:tcMar>
              <w:top w:type="dxa" w:w="80"/>
              <w:left w:type="dxa" w:w="100"/>
              <w:bottom w:type="dxa" w:w="80"/>
              <w:right w:type="dxa" w:w="100"/>
            </w:tcMar>
          </w:tcPr>
          <w:p>
            <w:r>
              <w:rPr>
                <w:sz w:val="20"/>
                <w:szCs w:val="20"/>
              </w:rPr>
              <w:t xml:space="preserve">Cluster validation warnings after OS upgrade (FCI environments)</w:t>
            </w:r>
          </w:p>
        </w:tc>
        <w:tc>
          <w:tcPr>
            <w:tcW w:type="dxa" w:w="1900"/>
            <w:tcMar>
              <w:top w:type="dxa" w:w="80"/>
              <w:left w:type="dxa" w:w="100"/>
              <w:bottom w:type="dxa" w:w="80"/>
              <w:right w:type="dxa" w:w="100"/>
            </w:tcMar>
          </w:tcPr>
          <w:p>
            <w:r>
              <w:rPr>
                <w:sz w:val="20"/>
                <w:szCs w:val="20"/>
              </w:rPr>
              <w:t xml:space="preserve">Cluster functional level not yet updated, or network profile misclassified post-upgrade</w:t>
            </w:r>
          </w:p>
        </w:tc>
        <w:tc>
          <w:tcPr>
            <w:tcW w:type="dxa" w:w="2500"/>
            <w:tcMar>
              <w:top w:type="dxa" w:w="80"/>
              <w:left w:type="dxa" w:w="100"/>
              <w:bottom w:type="dxa" w:w="80"/>
              <w:right w:type="dxa" w:w="100"/>
            </w:tcMar>
          </w:tcPr>
          <w:p>
            <w:r>
              <w:rPr>
                <w:sz w:val="20"/>
                <w:szCs w:val="20"/>
              </w:rPr>
              <w:t xml:space="preserve">Run Cluster Validation Wizard, update cluster functional level once all nodes are upgraded</w:t>
            </w:r>
          </w:p>
        </w:tc>
        <w:tc>
          <w:tcPr>
            <w:tcW w:type="dxa" w:w="1500"/>
            <w:tcMar>
              <w:top w:type="dxa" w:w="80"/>
              <w:left w:type="dxa" w:w="100"/>
              <w:bottom w:type="dxa" w:w="80"/>
              <w:right w:type="dxa" w:w="100"/>
            </w:tcMar>
          </w:tcPr>
          <w:p>
            <w:r>
              <w:rPr>
                <w:sz w:val="20"/>
                <w:szCs w:val="20"/>
              </w:rPr>
              <w:t xml:space="preserve">`Test-Cluster`</w:t>
            </w:r>
          </w:p>
        </w:tc>
        <w:tc>
          <w:tcPr>
            <w:tcW w:type="dxa" w:w="1500"/>
            <w:tcMar>
              <w:top w:type="dxa" w:w="80"/>
              <w:left w:type="dxa" w:w="100"/>
              <w:bottom w:type="dxa" w:w="80"/>
              <w:right w:type="dxa" w:w="100"/>
            </w:tcMar>
          </w:tcPr>
          <w:p>
            <w:r>
              <w:rPr>
                <w:sz w:val="20"/>
                <w:szCs w:val="20"/>
              </w:rPr>
              <w:t xml:space="preserve">Cluster validation report</w:t>
            </w:r>
          </w:p>
        </w:tc>
        <w:tc>
          <w:tcPr>
            <w:tcW w:type="dxa" w:w="1900"/>
            <w:tcMar>
              <w:top w:type="dxa" w:w="80"/>
              <w:left w:type="dxa" w:w="100"/>
              <w:bottom w:type="dxa" w:w="80"/>
              <w:right w:type="dxa" w:w="100"/>
            </w:tcMar>
          </w:tcPr>
          <w:p>
            <w:r>
              <w:rPr>
                <w:sz w:val="20"/>
                <w:szCs w:val="20"/>
              </w:rPr>
              <w:t xml:space="preserve">learn.microsoft.com/windows-server/failover-clustering</w:t>
            </w:r>
          </w:p>
        </w:tc>
      </w:tr>
      <w:tr>
        <w:tc>
          <w:tcPr>
            <w:tcW w:type="dxa" w:w="1700"/>
            <w:shd w:fill="F2F2F2" w:val="clear"/>
            <w:tcMar>
              <w:top w:type="dxa" w:w="80"/>
              <w:left w:type="dxa" w:w="100"/>
              <w:bottom w:type="dxa" w:w="80"/>
              <w:right w:type="dxa" w:w="100"/>
            </w:tcMar>
          </w:tcPr>
          <w:p>
            <w:r>
              <w:rPr>
                <w:sz w:val="20"/>
                <w:szCs w:val="20"/>
              </w:rPr>
              <w:t xml:space="preserve">GPO fails to apply post-upgrade</w:t>
            </w:r>
          </w:p>
        </w:tc>
        <w:tc>
          <w:tcPr>
            <w:tcW w:type="dxa" w:w="1900"/>
            <w:shd w:fill="F2F2F2" w:val="clear"/>
            <w:tcMar>
              <w:top w:type="dxa" w:w="80"/>
              <w:left w:type="dxa" w:w="100"/>
              <w:bottom w:type="dxa" w:w="80"/>
              <w:right w:type="dxa" w:w="100"/>
            </w:tcMar>
          </w:tcPr>
          <w:p>
            <w:r>
              <w:rPr>
                <w:sz w:val="20"/>
                <w:szCs w:val="20"/>
              </w:rPr>
              <w:t xml:space="preserve">Client-side extension version mismatch or a GPO referencing a deprecated policy setting</w:t>
            </w:r>
          </w:p>
        </w:tc>
        <w:tc>
          <w:tcPr>
            <w:tcW w:type="dxa" w:w="2500"/>
            <w:shd w:fill="F2F2F2" w:val="clear"/>
            <w:tcMar>
              <w:top w:type="dxa" w:w="80"/>
              <w:left w:type="dxa" w:w="100"/>
              <w:bottom w:type="dxa" w:w="80"/>
              <w:right w:type="dxa" w:w="100"/>
            </w:tcMar>
          </w:tcPr>
          <w:p>
            <w:r>
              <w:rPr>
                <w:sz w:val="20"/>
                <w:szCs w:val="20"/>
              </w:rPr>
              <w:t xml:space="preserve">Run `gpupdate /force` and review `gpresult /h` report for specific failing CSE</w:t>
            </w:r>
          </w:p>
        </w:tc>
        <w:tc>
          <w:tcPr>
            <w:tcW w:type="dxa" w:w="1500"/>
            <w:shd w:fill="F2F2F2" w:val="clear"/>
            <w:tcMar>
              <w:top w:type="dxa" w:w="80"/>
              <w:left w:type="dxa" w:w="100"/>
              <w:bottom w:type="dxa" w:w="80"/>
              <w:right w:type="dxa" w:w="100"/>
            </w:tcMar>
          </w:tcPr>
          <w:p>
            <w:r>
              <w:rPr>
                <w:sz w:val="20"/>
                <w:szCs w:val="20"/>
              </w:rPr>
              <w:t xml:space="preserve">`gpresult /h report.html`</w:t>
            </w:r>
          </w:p>
        </w:tc>
        <w:tc>
          <w:tcPr>
            <w:tcW w:type="dxa" w:w="1500"/>
            <w:shd w:fill="F2F2F2" w:val="clear"/>
            <w:tcMar>
              <w:top w:type="dxa" w:w="80"/>
              <w:left w:type="dxa" w:w="100"/>
              <w:bottom w:type="dxa" w:w="80"/>
              <w:right w:type="dxa" w:w="100"/>
            </w:tcMar>
          </w:tcPr>
          <w:p>
            <w:r>
              <w:rPr>
                <w:sz w:val="20"/>
                <w:szCs w:val="20"/>
              </w:rPr>
              <w:t xml:space="preserve">Group Policy operational event log</w:t>
            </w:r>
          </w:p>
        </w:tc>
        <w:tc>
          <w:tcPr>
            <w:tcW w:type="dxa" w:w="1900"/>
            <w:shd w:fill="F2F2F2" w:val="clear"/>
            <w:tcMar>
              <w:top w:type="dxa" w:w="80"/>
              <w:left w:type="dxa" w:w="100"/>
              <w:bottom w:type="dxa" w:w="80"/>
              <w:right w:type="dxa" w:w="100"/>
            </w:tcMar>
          </w:tcPr>
          <w:p>
            <w:r>
              <w:rPr>
                <w:sz w:val="20"/>
                <w:szCs w:val="20"/>
              </w:rPr>
              <w:t xml:space="preserve">learn.microsoft.com/windows-server/group-policy</w:t>
            </w:r>
          </w:p>
        </w:tc>
      </w:tr>
      <w:tr>
        <w:tc>
          <w:tcPr>
            <w:tcW w:type="dxa" w:w="1700"/>
            <w:tcMar>
              <w:top w:type="dxa" w:w="80"/>
              <w:left w:type="dxa" w:w="100"/>
              <w:bottom w:type="dxa" w:w="80"/>
              <w:right w:type="dxa" w:w="100"/>
            </w:tcMar>
          </w:tcPr>
          <w:p>
            <w:r>
              <w:rPr>
                <w:sz w:val="20"/>
                <w:szCs w:val="20"/>
              </w:rPr>
              <w:t xml:space="preserve">Time drift causing Kerberos failures post-upgrade</w:t>
            </w:r>
          </w:p>
        </w:tc>
        <w:tc>
          <w:tcPr>
            <w:tcW w:type="dxa" w:w="1900"/>
            <w:tcMar>
              <w:top w:type="dxa" w:w="80"/>
              <w:left w:type="dxa" w:w="100"/>
              <w:bottom w:type="dxa" w:w="80"/>
              <w:right w:type="dxa" w:w="100"/>
            </w:tcMar>
          </w:tcPr>
          <w:p>
            <w:r>
              <w:rPr>
                <w:sz w:val="20"/>
                <w:szCs w:val="20"/>
              </w:rPr>
              <w:t xml:space="preserve">W32Time service did not restart cleanly during upgrade reboot cycle</w:t>
            </w:r>
          </w:p>
        </w:tc>
        <w:tc>
          <w:tcPr>
            <w:tcW w:type="dxa" w:w="2500"/>
            <w:tcMar>
              <w:top w:type="dxa" w:w="80"/>
              <w:left w:type="dxa" w:w="100"/>
              <w:bottom w:type="dxa" w:w="80"/>
              <w:right w:type="dxa" w:w="100"/>
            </w:tcMar>
          </w:tcPr>
          <w:p>
            <w:r>
              <w:rPr>
                <w:sz w:val="20"/>
                <w:szCs w:val="20"/>
              </w:rPr>
              <w:t xml:space="preserve">Restart W32Time, force resync against domain hierarchy</w:t>
            </w:r>
          </w:p>
        </w:tc>
        <w:tc>
          <w:tcPr>
            <w:tcW w:type="dxa" w:w="1500"/>
            <w:tcMar>
              <w:top w:type="dxa" w:w="80"/>
              <w:left w:type="dxa" w:w="100"/>
              <w:bottom w:type="dxa" w:w="80"/>
              <w:right w:type="dxa" w:w="100"/>
            </w:tcMar>
          </w:tcPr>
          <w:p>
            <w:r>
              <w:rPr>
                <w:sz w:val="20"/>
                <w:szCs w:val="20"/>
              </w:rPr>
              <w:t xml:space="preserve">`w32tm /resync /force`</w:t>
            </w:r>
          </w:p>
        </w:tc>
        <w:tc>
          <w:tcPr>
            <w:tcW w:type="dxa" w:w="1500"/>
            <w:tcMar>
              <w:top w:type="dxa" w:w="80"/>
              <w:left w:type="dxa" w:w="100"/>
              <w:bottom w:type="dxa" w:w="80"/>
              <w:right w:type="dxa" w:w="100"/>
            </w:tcMar>
          </w:tcPr>
          <w:p>
            <w:r>
              <w:rPr>
                <w:sz w:val="20"/>
                <w:szCs w:val="20"/>
              </w:rPr>
              <w:t xml:space="preserve">System event log (event ID 29/36/50)</w:t>
            </w:r>
          </w:p>
        </w:tc>
        <w:tc>
          <w:tcPr>
            <w:tcW w:type="dxa" w:w="1900"/>
            <w:tcMar>
              <w:top w:type="dxa" w:w="80"/>
              <w:left w:type="dxa" w:w="100"/>
              <w:bottom w:type="dxa" w:w="80"/>
              <w:right w:type="dxa" w:w="100"/>
            </w:tcMar>
          </w:tcPr>
          <w:p>
            <w:r>
              <w:rPr>
                <w:sz w:val="20"/>
                <w:szCs w:val="20"/>
              </w:rPr>
              <w:t xml:space="preserve">learn.microsoft.com/windows-server/networking/windows-time-service</w:t>
            </w:r>
          </w:p>
        </w:tc>
      </w:tr>
      <w:tr>
        <w:tc>
          <w:tcPr>
            <w:tcW w:type="dxa" w:w="1700"/>
            <w:shd w:fill="F2F2F2" w:val="clear"/>
            <w:tcMar>
              <w:top w:type="dxa" w:w="80"/>
              <w:left w:type="dxa" w:w="100"/>
              <w:bottom w:type="dxa" w:w="80"/>
              <w:right w:type="dxa" w:w="100"/>
            </w:tcMar>
          </w:tcPr>
          <w:p>
            <w:r>
              <w:rPr>
                <w:sz w:val="20"/>
                <w:szCs w:val="20"/>
              </w:rPr>
              <w:t xml:space="preserve">Antivirus real-time scanning causes SQL Setup to hang or slow drastically</w:t>
            </w:r>
          </w:p>
        </w:tc>
        <w:tc>
          <w:tcPr>
            <w:tcW w:type="dxa" w:w="1900"/>
            <w:shd w:fill="F2F2F2" w:val="clear"/>
            <w:tcMar>
              <w:top w:type="dxa" w:w="80"/>
              <w:left w:type="dxa" w:w="100"/>
              <w:bottom w:type="dxa" w:w="80"/>
              <w:right w:type="dxa" w:w="100"/>
            </w:tcMar>
          </w:tcPr>
          <w:p>
            <w:r>
              <w:rPr>
                <w:sz w:val="20"/>
                <w:szCs w:val="20"/>
              </w:rPr>
              <w:t xml:space="preserve">AV real-time protection scanning SQL data/log files and setup temp directories during install</w:t>
            </w:r>
          </w:p>
        </w:tc>
        <w:tc>
          <w:tcPr>
            <w:tcW w:type="dxa" w:w="2500"/>
            <w:shd w:fill="F2F2F2" w:val="clear"/>
            <w:tcMar>
              <w:top w:type="dxa" w:w="80"/>
              <w:left w:type="dxa" w:w="100"/>
              <w:bottom w:type="dxa" w:w="80"/>
              <w:right w:type="dxa" w:w="100"/>
            </w:tcMar>
          </w:tcPr>
          <w:p>
            <w:r>
              <w:rPr>
                <w:sz w:val="20"/>
                <w:szCs w:val="20"/>
              </w:rPr>
              <w:t xml:space="preserve">Add SQL/setup exclusions per Microsoft's recommended AV exclusion list before starting setup</w:t>
            </w:r>
          </w:p>
        </w:tc>
        <w:tc>
          <w:tcPr>
            <w:tcW w:type="dxa" w:w="1500"/>
            <w:shd w:fill="F2F2F2" w:val="clear"/>
            <w:tcMar>
              <w:top w:type="dxa" w:w="80"/>
              <w:left w:type="dxa" w:w="100"/>
              <w:bottom w:type="dxa" w:w="80"/>
              <w:right w:type="dxa" w:w="100"/>
            </w:tcMar>
          </w:tcPr>
          <w:p>
            <w:r>
              <w:rPr>
                <w:sz w:val="20"/>
                <w:szCs w:val="20"/>
              </w:rPr>
              <w:t xml:space="preserve">N/A</w:t>
            </w:r>
          </w:p>
        </w:tc>
        <w:tc>
          <w:tcPr>
            <w:tcW w:type="dxa" w:w="1500"/>
            <w:shd w:fill="F2F2F2" w:val="clear"/>
            <w:tcMar>
              <w:top w:type="dxa" w:w="80"/>
              <w:left w:type="dxa" w:w="100"/>
              <w:bottom w:type="dxa" w:w="80"/>
              <w:right w:type="dxa" w:w="100"/>
            </w:tcMar>
          </w:tcPr>
          <w:p>
            <w:r>
              <w:rPr>
                <w:sz w:val="20"/>
                <w:szCs w:val="20"/>
              </w:rPr>
              <w:t xml:space="preserve">AV console scan log</w:t>
            </w:r>
          </w:p>
        </w:tc>
        <w:tc>
          <w:tcPr>
            <w:tcW w:type="dxa" w:w="1900"/>
            <w:shd w:fill="F2F2F2" w:val="clear"/>
            <w:tcMar>
              <w:top w:type="dxa" w:w="80"/>
              <w:left w:type="dxa" w:w="100"/>
              <w:bottom w:type="dxa" w:w="80"/>
              <w:right w:type="dxa" w:w="100"/>
            </w:tcMar>
          </w:tcPr>
          <w:p>
            <w:r>
              <w:rPr>
                <w:sz w:val="20"/>
                <w:szCs w:val="20"/>
              </w:rPr>
              <w:t xml:space="preserve">learn.microsoft.com/troubleshoot/sql/database-engine/install/antivirus-software-in-sql-server-environment</w:t>
            </w:r>
          </w:p>
        </w:tc>
      </w:tr>
    </w:tbl>
    <w:p>
      <w:pPr>
        <w:spacing w:after="120"/>
      </w:pPr>
    </w:p>
    <w:tbl>
      <w:tblPr>
        <w:tblW w:type="pct" w:w="100%"/>
        <w:tblBorders>
          <w:top w:val="single" w:color="1E8449" w:sz="6"/>
          <w:left w:val="single" w:color="1E8449" w:sz="6"/>
          <w:bottom w:val="single" w:color="1E8449" w:sz="6"/>
          <w:right w:val="single" w:color="1E8449" w:sz="6"/>
          <w:insideH w:val="none" w:color="FFFFFF" w:sz="0"/>
          <w:insideV w:val="none" w:color="FFFFFF" w:sz="0"/>
        </w:tblBorders>
      </w:tblPr>
      <w:tblGrid>
        <w:gridCol w:w="100"/>
      </w:tblGrid>
      <w:tr>
        <w:tc>
          <w:tcPr>
            <w:shd w:fill="E8F6EF" w:val="clear"/>
            <w:tcMar>
              <w:top w:type="dxa" w:w="100"/>
              <w:left w:type="dxa" w:w="150"/>
              <w:bottom w:type="dxa" w:w="100"/>
              <w:right w:type="dxa" w:w="150"/>
            </w:tcMar>
          </w:tcPr>
          <w:p>
            <w:r>
              <w:rPr>
                <w:b/>
                <w:bCs/>
                <w:color w:val="1E8449"/>
              </w:rPr>
              <w:t xml:space="preserve">TIP</w:t>
            </w:r>
          </w:p>
          <w:p>
            <w:r>
              <w:t xml:space="preserve">This list covers the most frequently encountered issues but is not exhaustive. Maintain it as a living document — add newly discovered issues (with symptom, cause, resolution, and reference) after every production change, and review it in post-implementation retrospectives.</w:t>
            </w:r>
          </w:p>
        </w:tc>
      </w:tr>
    </w:tbl>
    <w:p>
      <w:r>
        <w:br w:type="page"/>
      </w:r>
    </w:p>
    <w:p>
      <w:pPr>
        <w:pStyle w:val="Heading1"/>
        <w:spacing w:after="200" w:before="400"/>
      </w:pPr>
      <w:r>
        <w:t xml:space="preserve">Operational Checklists</w:t>
      </w:r>
    </w:p>
    <w:p>
      <w:pPr>
        <w:spacing w:after="150"/>
      </w:pPr>
      <w:r>
        <w:t xml:space="preserve">The checklists in this section are formatted for printing and manual sign-off during change execution. Each should be attached to the change record as evidence.</w:t>
      </w:r>
    </w:p>
    <w:p>
      <w:pPr>
        <w:pStyle w:val="Heading2"/>
        <w:spacing w:after="150" w:before="300"/>
      </w:pPr>
      <w:r>
        <w:t xml:space="preserve">Pre-Upgrade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CAB approval obtained and change record number documented</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Maintenance window communicated to application/business owners</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All Section 4 (Windows) and SQL Pre-check items completed with PASS/documented exception</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Compatibility assessment completed; no unresolved blocking issues</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VM snapshot strategy confirmed with sufficient datastore free space</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Backup and restore-test completed and validated</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7</w:t>
            </w:r>
          </w:p>
        </w:tc>
        <w:tc>
          <w:tcPr>
            <w:tcW w:type="dxa" w:w="6500"/>
            <w:tcMar>
              <w:top w:type="dxa" w:w="80"/>
              <w:left w:type="dxa" w:w="100"/>
              <w:bottom w:type="dxa" w:w="80"/>
              <w:right w:type="dxa" w:w="100"/>
            </w:tcMar>
          </w:tcPr>
          <w:p>
            <w:r>
              <w:rPr>
                <w:sz w:val="20"/>
                <w:szCs w:val="20"/>
              </w:rPr>
              <w:t xml:space="preserve">Rollback plan reviewed and understood by all executing engineers</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8</w:t>
            </w:r>
          </w:p>
        </w:tc>
        <w:tc>
          <w:tcPr>
            <w:tcW w:type="dxa" w:w="6500"/>
            <w:shd w:fill="F2F2F2" w:val="clear"/>
            <w:tcMar>
              <w:top w:type="dxa" w:w="80"/>
              <w:left w:type="dxa" w:w="100"/>
              <w:bottom w:type="dxa" w:w="80"/>
              <w:right w:type="dxa" w:w="100"/>
            </w:tcMar>
          </w:tcPr>
          <w:p>
            <w:r>
              <w:rPr>
                <w:sz w:val="20"/>
                <w:szCs w:val="20"/>
              </w:rPr>
              <w:t xml:space="preserve">Break-glass / emergency access credentials validated</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bl>
    <w:p>
      <w:pPr>
        <w:pStyle w:val="Heading2"/>
        <w:spacing w:after="150" w:before="300"/>
      </w:pPr>
      <w:r>
        <w:t xml:space="preserve">Backup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VM snapshot created and confirmed in vCenter</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System state backup completed successfully</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SQL full backup completed for all databases in scope</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SQL system databases (master, model, msdb) backed up</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Certificates and keys (TDE, Service Master Key) backed up</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RESTORE VERIFYONLY passed for all backup files</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7</w:t>
            </w:r>
          </w:p>
        </w:tc>
        <w:tc>
          <w:tcPr>
            <w:tcW w:type="dxa" w:w="6500"/>
            <w:tcMar>
              <w:top w:type="dxa" w:w="80"/>
              <w:left w:type="dxa" w:w="100"/>
              <w:bottom w:type="dxa" w:w="80"/>
              <w:right w:type="dxa" w:w="100"/>
            </w:tcMar>
          </w:tcPr>
          <w:p>
            <w:r>
              <w:rPr>
                <w:sz w:val="20"/>
                <w:szCs w:val="20"/>
              </w:rPr>
              <w:t xml:space="preserve">Restore test performed on a non-production instance</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bl>
    <w:p>
      <w:pPr>
        <w:pStyle w:val="Heading2"/>
        <w:spacing w:after="150" w:before="300"/>
      </w:pPr>
      <w:r>
        <w:t xml:space="preserve">Implementation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Server placed in monitoring maintenance mode</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BitLocker suspended (if applicable)</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Application/SQL services stopped cleanly</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Final pre-upgrade snapshot taken</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Windows Setup compatibility scan passed</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Windows in-place upgrade completed successfully</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7</w:t>
            </w:r>
          </w:p>
        </w:tc>
        <w:tc>
          <w:tcPr>
            <w:tcW w:type="dxa" w:w="6500"/>
            <w:tcMar>
              <w:top w:type="dxa" w:w="80"/>
              <w:left w:type="dxa" w:w="100"/>
              <w:bottom w:type="dxa" w:w="80"/>
              <w:right w:type="dxa" w:w="100"/>
            </w:tcMar>
          </w:tcPr>
          <w:p>
            <w:r>
              <w:rPr>
                <w:sz w:val="20"/>
                <w:szCs w:val="20"/>
              </w:rPr>
              <w:t xml:space="preserve">SQL Setup Support/Feature/Upgrade Rules passed</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8</w:t>
            </w:r>
          </w:p>
        </w:tc>
        <w:tc>
          <w:tcPr>
            <w:tcW w:type="dxa" w:w="6500"/>
            <w:shd w:fill="F2F2F2" w:val="clear"/>
            <w:tcMar>
              <w:top w:type="dxa" w:w="80"/>
              <w:left w:type="dxa" w:w="100"/>
              <w:bottom w:type="dxa" w:w="80"/>
              <w:right w:type="dxa" w:w="100"/>
            </w:tcMar>
          </w:tcPr>
          <w:p>
            <w:r>
              <w:rPr>
                <w:sz w:val="20"/>
                <w:szCs w:val="20"/>
              </w:rPr>
              <w:t xml:space="preserve">SQL in-place upgrade completed successfully</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9</w:t>
            </w:r>
          </w:p>
        </w:tc>
        <w:tc>
          <w:tcPr>
            <w:tcW w:type="dxa" w:w="6500"/>
            <w:tcMar>
              <w:top w:type="dxa" w:w="80"/>
              <w:left w:type="dxa" w:w="100"/>
              <w:bottom w:type="dxa" w:w="80"/>
              <w:right w:type="dxa" w:w="100"/>
            </w:tcMar>
          </w:tcPr>
          <w:p>
            <w:r>
              <w:rPr>
                <w:sz w:val="20"/>
                <w:szCs w:val="20"/>
              </w:rPr>
              <w:t xml:space="preserve">AlwaysOn AG / log shipping / replication resumed and healthy</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bl>
    <w:p>
      <w:pPr>
        <w:pStyle w:val="Heading2"/>
        <w:spacing w:after="150" w:before="300"/>
      </w:pPr>
      <w:r>
        <w:t xml:space="preserve">Validation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OS version/build confirmed as Windows Server 2022</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SQL engine version confirmed as SQL Server 2022</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All Section 8 (Windows) validation items PASS</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All SQL Validation items PASS</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Application smoke test passed with business/application owner sign-off</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Monitoring and backup agents reporting correctly</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7</w:t>
            </w:r>
          </w:p>
        </w:tc>
        <w:tc>
          <w:tcPr>
            <w:tcW w:type="dxa" w:w="6500"/>
            <w:tcMar>
              <w:top w:type="dxa" w:w="80"/>
              <w:left w:type="dxa" w:w="100"/>
              <w:bottom w:type="dxa" w:w="80"/>
              <w:right w:type="dxa" w:w="100"/>
            </w:tcMar>
          </w:tcPr>
          <w:p>
            <w:r>
              <w:rPr>
                <w:sz w:val="20"/>
                <w:szCs w:val="20"/>
              </w:rPr>
              <w:t xml:space="preserve">Performance baseline comparison shows no material regression</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bl>
    <w:p>
      <w:pPr>
        <w:pStyle w:val="Heading2"/>
        <w:spacing w:after="150" w:before="300"/>
      </w:pPr>
      <w:r>
        <w:t xml:space="preserve">Rollback Checklist (execute only if rollback is invoked)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Rollback decision approved by designated Decision Owner</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Tail-log backup captured where possible before rollback</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Rollback method executed (snapshot revert / SQL restore / system state restore)</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Rollback validated (OS/SQL version, application connectivity)</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CAB, application owners, and monitoring notified of rollback and new status</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Root cause documented and change rescheduled</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bl>
    <w:p>
      <w:pPr>
        <w:pStyle w:val="Heading2"/>
        <w:spacing w:after="150" w:before="300"/>
      </w:pPr>
      <w:r>
        <w:t xml:space="preserve">Sign-off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400"/>
        <w:gridCol w:w="14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1400"/>
            <w:shd w:fill="1F3864" w:val="clear"/>
            <w:tcMar>
              <w:top w:type="dxa" w:w="80"/>
              <w:left w:type="dxa" w:w="100"/>
              <w:bottom w:type="dxa" w:w="80"/>
              <w:right w:type="dxa" w:w="100"/>
            </w:tcMar>
            <w:vAlign w:val="center"/>
          </w:tcPr>
          <w:p>
            <w:r>
              <w:rPr>
                <w:b/>
                <w:bCs/>
                <w:color w:val="FFFFFF"/>
                <w:sz w:val="20"/>
                <w:szCs w:val="20"/>
              </w:rPr>
              <w:t xml:space="preserve">Complete (Y/N)</w:t>
            </w:r>
          </w:p>
        </w:tc>
        <w:tc>
          <w:tcPr>
            <w:tcW w:type="dxa" w:w="1400"/>
            <w:shd w:fill="1F3864" w:val="clear"/>
            <w:tcMar>
              <w:top w:type="dxa" w:w="80"/>
              <w:left w:type="dxa" w:w="100"/>
              <w:bottom w:type="dxa" w:w="80"/>
              <w:right w:type="dxa" w:w="100"/>
            </w:tcMar>
            <w:vAlign w:val="center"/>
          </w:tcPr>
          <w:p>
            <w:r>
              <w:rPr>
                <w:b/>
                <w:bCs/>
                <w:color w:val="FFFFFF"/>
                <w:sz w:val="20"/>
                <w:szCs w:val="20"/>
              </w:rPr>
              <w:t xml:space="preserve">Initials</w:t>
            </w:r>
          </w:p>
        </w:tc>
      </w:tr>
      <w:tr>
        <w:tc>
          <w:tcPr>
            <w:tcW w:type="dxa" w:w="700"/>
            <w:tcMar>
              <w:top w:type="dxa" w:w="80"/>
              <w:left w:type="dxa" w:w="100"/>
              <w:bottom w:type="dxa" w:w="80"/>
              <w:right w:type="dxa" w:w="100"/>
            </w:tcMar>
          </w:tcPr>
          <w:p>
            <w:r>
              <w:rPr>
                <w:sz w:val="20"/>
                <w:szCs w:val="20"/>
              </w:rPr>
              <w:t xml:space="preserve">1</w:t>
            </w:r>
          </w:p>
        </w:tc>
        <w:tc>
          <w:tcPr>
            <w:tcW w:type="dxa" w:w="6500"/>
            <w:tcMar>
              <w:top w:type="dxa" w:w="80"/>
              <w:left w:type="dxa" w:w="100"/>
              <w:bottom w:type="dxa" w:w="80"/>
              <w:right w:type="dxa" w:w="100"/>
            </w:tcMar>
          </w:tcPr>
          <w:p>
            <w:r>
              <w:rPr>
                <w:sz w:val="20"/>
                <w:szCs w:val="20"/>
              </w:rPr>
              <w:t xml:space="preserve">All validation items PASS and evidence attached to change record</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2</w:t>
            </w:r>
          </w:p>
        </w:tc>
        <w:tc>
          <w:tcPr>
            <w:tcW w:type="dxa" w:w="6500"/>
            <w:shd w:fill="F2F2F2" w:val="clear"/>
            <w:tcMar>
              <w:top w:type="dxa" w:w="80"/>
              <w:left w:type="dxa" w:w="100"/>
              <w:bottom w:type="dxa" w:w="80"/>
              <w:right w:type="dxa" w:w="100"/>
            </w:tcMar>
          </w:tcPr>
          <w:p>
            <w:r>
              <w:rPr>
                <w:sz w:val="20"/>
                <w:szCs w:val="20"/>
              </w:rPr>
              <w:t xml:space="preserve">Application/business owner sign-off obtained</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3</w:t>
            </w:r>
          </w:p>
        </w:tc>
        <w:tc>
          <w:tcPr>
            <w:tcW w:type="dxa" w:w="6500"/>
            <w:tcMar>
              <w:top w:type="dxa" w:w="80"/>
              <w:left w:type="dxa" w:w="100"/>
              <w:bottom w:type="dxa" w:w="80"/>
              <w:right w:type="dxa" w:w="100"/>
            </w:tcMar>
          </w:tcPr>
          <w:p>
            <w:r>
              <w:rPr>
                <w:sz w:val="20"/>
                <w:szCs w:val="20"/>
              </w:rPr>
              <w:t xml:space="preserve">DBA lead sign-off obtained</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4</w:t>
            </w:r>
          </w:p>
        </w:tc>
        <w:tc>
          <w:tcPr>
            <w:tcW w:type="dxa" w:w="6500"/>
            <w:shd w:fill="F2F2F2" w:val="clear"/>
            <w:tcMar>
              <w:top w:type="dxa" w:w="80"/>
              <w:left w:type="dxa" w:w="100"/>
              <w:bottom w:type="dxa" w:w="80"/>
              <w:right w:type="dxa" w:w="100"/>
            </w:tcMar>
          </w:tcPr>
          <w:p>
            <w:r>
              <w:rPr>
                <w:sz w:val="20"/>
                <w:szCs w:val="20"/>
              </w:rPr>
              <w:t xml:space="preserve">Infrastructure lead sign-off obtained</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r>
        <w:tc>
          <w:tcPr>
            <w:tcW w:type="dxa" w:w="700"/>
            <w:tcMar>
              <w:top w:type="dxa" w:w="80"/>
              <w:left w:type="dxa" w:w="100"/>
              <w:bottom w:type="dxa" w:w="80"/>
              <w:right w:type="dxa" w:w="100"/>
            </w:tcMar>
          </w:tcPr>
          <w:p>
            <w:r>
              <w:rPr>
                <w:sz w:val="20"/>
                <w:szCs w:val="20"/>
              </w:rPr>
              <w:t xml:space="preserve">5</w:t>
            </w:r>
          </w:p>
        </w:tc>
        <w:tc>
          <w:tcPr>
            <w:tcW w:type="dxa" w:w="6500"/>
            <w:tcMar>
              <w:top w:type="dxa" w:w="80"/>
              <w:left w:type="dxa" w:w="100"/>
              <w:bottom w:type="dxa" w:w="80"/>
              <w:right w:type="dxa" w:w="100"/>
            </w:tcMar>
          </w:tcPr>
          <w:p>
            <w:r>
              <w:rPr>
                <w:sz w:val="20"/>
                <w:szCs w:val="20"/>
              </w:rPr>
              <w:t xml:space="preserve">Change record closed as Successful in CAB system</w:t>
            </w:r>
          </w:p>
        </w:tc>
        <w:tc>
          <w:tcPr>
            <w:tcW w:type="dxa" w:w="1400"/>
            <w:tcMar>
              <w:top w:type="dxa" w:w="80"/>
              <w:left w:type="dxa" w:w="100"/>
              <w:bottom w:type="dxa" w:w="80"/>
              <w:right w:type="dxa" w:w="100"/>
            </w:tcMar>
          </w:tcPr>
          <w:p>
            <w:r>
              <w:rPr>
                <w:sz w:val="20"/>
                <w:szCs w:val="20"/>
              </w:rPr>
              <w:t xml:space="preserve"/>
            </w:r>
          </w:p>
        </w:tc>
        <w:tc>
          <w:tcPr>
            <w:tcW w:type="dxa" w:w="1400"/>
            <w:tcMar>
              <w:top w:type="dxa" w:w="80"/>
              <w:left w:type="dxa" w:w="100"/>
              <w:bottom w:type="dxa" w:w="80"/>
              <w:right w:type="dxa" w:w="100"/>
            </w:tcMar>
          </w:tcPr>
          <w:p>
            <w:r>
              <w:rPr>
                <w:sz w:val="20"/>
                <w:szCs w:val="20"/>
              </w:rPr>
              <w:t xml:space="preserve"/>
            </w:r>
          </w:p>
        </w:tc>
      </w:tr>
      <w:tr>
        <w:tc>
          <w:tcPr>
            <w:tcW w:type="dxa" w:w="700"/>
            <w:shd w:fill="F2F2F2" w:val="clear"/>
            <w:tcMar>
              <w:top w:type="dxa" w:w="80"/>
              <w:left w:type="dxa" w:w="100"/>
              <w:bottom w:type="dxa" w:w="80"/>
              <w:right w:type="dxa" w:w="100"/>
            </w:tcMar>
          </w:tcPr>
          <w:p>
            <w:r>
              <w:rPr>
                <w:sz w:val="20"/>
                <w:szCs w:val="20"/>
              </w:rPr>
              <w:t xml:space="preserve">6</w:t>
            </w:r>
          </w:p>
        </w:tc>
        <w:tc>
          <w:tcPr>
            <w:tcW w:type="dxa" w:w="6500"/>
            <w:shd w:fill="F2F2F2" w:val="clear"/>
            <w:tcMar>
              <w:top w:type="dxa" w:w="80"/>
              <w:left w:type="dxa" w:w="100"/>
              <w:bottom w:type="dxa" w:w="80"/>
              <w:right w:type="dxa" w:w="100"/>
            </w:tcMar>
          </w:tcPr>
          <w:p>
            <w:r>
              <w:rPr>
                <w:sz w:val="20"/>
                <w:szCs w:val="20"/>
              </w:rPr>
              <w:t xml:space="preserve">Post-implementation review scheduled (if required by change risk classification)</w:t>
            </w:r>
          </w:p>
        </w:tc>
        <w:tc>
          <w:tcPr>
            <w:tcW w:type="dxa" w:w="1400"/>
            <w:shd w:fill="F2F2F2" w:val="clear"/>
            <w:tcMar>
              <w:top w:type="dxa" w:w="80"/>
              <w:left w:type="dxa" w:w="100"/>
              <w:bottom w:type="dxa" w:w="80"/>
              <w:right w:type="dxa" w:w="100"/>
            </w:tcMar>
          </w:tcPr>
          <w:p>
            <w:r>
              <w:rPr>
                <w:sz w:val="20"/>
                <w:szCs w:val="20"/>
              </w:rPr>
              <w:t xml:space="preserve"/>
            </w:r>
          </w:p>
        </w:tc>
        <w:tc>
          <w:tcPr>
            <w:tcW w:type="dxa" w:w="1400"/>
            <w:shd w:fill="F2F2F2" w:val="clear"/>
            <w:tcMar>
              <w:top w:type="dxa" w:w="80"/>
              <w:left w:type="dxa" w:w="100"/>
              <w:bottom w:type="dxa" w:w="80"/>
              <w:right w:type="dxa" w:w="100"/>
            </w:tcMar>
          </w:tcPr>
          <w:p>
            <w:r>
              <w:rPr>
                <w:sz w:val="20"/>
                <w:szCs w:val="20"/>
              </w:rPr>
              <w:t xml:space="preserve"/>
            </w:r>
          </w:p>
        </w:tc>
      </w:tr>
    </w:tbl>
    <w:p>
      <w:r>
        <w:br w:type="page"/>
      </w:r>
    </w:p>
    <w:p>
      <w:pPr>
        <w:pStyle w:val="Heading1"/>
        <w:spacing w:after="200" w:before="400"/>
      </w:pPr>
      <w:r>
        <w:t xml:space="preserve">Change Management</w:t>
      </w:r>
    </w:p>
    <w:p>
      <w:pPr>
        <w:pStyle w:val="Heading2"/>
        <w:spacing w:after="150" w:before="300"/>
      </w:pPr>
      <w:r>
        <w:t xml:space="preserve">Implementation Plan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7200"/>
            <w:shd w:fill="1F3864" w:val="clear"/>
            <w:tcMar>
              <w:top w:type="dxa" w:w="80"/>
              <w:left w:type="dxa" w:w="100"/>
              <w:bottom w:type="dxa" w:w="80"/>
              <w:right w:type="dxa" w:w="100"/>
            </w:tcMar>
            <w:vAlign w:val="center"/>
          </w:tcPr>
          <w:p>
            <w:r>
              <w:rPr>
                <w:b/>
                <w:bCs/>
                <w:color w:val="FFFFFF"/>
                <w:sz w:val="20"/>
                <w:szCs w:val="20"/>
              </w:rPr>
              <w:t xml:space="preserve">Detail</w:t>
            </w:r>
          </w:p>
        </w:tc>
      </w:tr>
      <w:tr>
        <w:tc>
          <w:tcPr>
            <w:tcW w:type="dxa" w:w="2800"/>
            <w:tcMar>
              <w:top w:type="dxa" w:w="80"/>
              <w:left w:type="dxa" w:w="100"/>
              <w:bottom w:type="dxa" w:w="80"/>
              <w:right w:type="dxa" w:w="100"/>
            </w:tcMar>
          </w:tcPr>
          <w:p>
            <w:r>
              <w:rPr>
                <w:sz w:val="20"/>
                <w:szCs w:val="20"/>
              </w:rPr>
              <w:t xml:space="preserve">Change Type</w:t>
            </w:r>
          </w:p>
        </w:tc>
        <w:tc>
          <w:tcPr>
            <w:tcW w:type="dxa" w:w="7200"/>
            <w:tcMar>
              <w:top w:type="dxa" w:w="80"/>
              <w:left w:type="dxa" w:w="100"/>
              <w:bottom w:type="dxa" w:w="80"/>
              <w:right w:type="dxa" w:w="100"/>
            </w:tcMar>
          </w:tcPr>
          <w:p>
            <w:r>
              <w:rPr>
                <w:sz w:val="20"/>
                <w:szCs w:val="20"/>
              </w:rPr>
              <w:t xml:space="preserve">Standard/Normal in-place upgrade — Windows Server 2016→2022 and SQL Server 2016→2022</w:t>
            </w:r>
          </w:p>
        </w:tc>
      </w:tr>
      <w:tr>
        <w:tc>
          <w:tcPr>
            <w:tcW w:type="dxa" w:w="2800"/>
            <w:shd w:fill="F2F2F2" w:val="clear"/>
            <w:tcMar>
              <w:top w:type="dxa" w:w="80"/>
              <w:left w:type="dxa" w:w="100"/>
              <w:bottom w:type="dxa" w:w="80"/>
              <w:right w:type="dxa" w:w="100"/>
            </w:tcMar>
          </w:tcPr>
          <w:p>
            <w:r>
              <w:rPr>
                <w:sz w:val="20"/>
                <w:szCs w:val="20"/>
              </w:rPr>
              <w:t xml:space="preserve">Risk Classification</w:t>
            </w:r>
          </w:p>
        </w:tc>
        <w:tc>
          <w:tcPr>
            <w:tcW w:type="dxa" w:w="7200"/>
            <w:shd w:fill="F2F2F2" w:val="clear"/>
            <w:tcMar>
              <w:top w:type="dxa" w:w="80"/>
              <w:left w:type="dxa" w:w="100"/>
              <w:bottom w:type="dxa" w:w="80"/>
              <w:right w:type="dxa" w:w="100"/>
            </w:tcMar>
          </w:tcPr>
          <w:p>
            <w:r>
              <w:rPr>
                <w:sz w:val="20"/>
                <w:szCs w:val="20"/>
              </w:rPr>
              <w:t xml:space="preserve">[High/Medium/Low — per organizational CAB risk model, typically High for production DB-tier changes]</w:t>
            </w:r>
          </w:p>
        </w:tc>
      </w:tr>
      <w:tr>
        <w:tc>
          <w:tcPr>
            <w:tcW w:type="dxa" w:w="2800"/>
            <w:tcMar>
              <w:top w:type="dxa" w:w="80"/>
              <w:left w:type="dxa" w:w="100"/>
              <w:bottom w:type="dxa" w:w="80"/>
              <w:right w:type="dxa" w:w="100"/>
            </w:tcMar>
          </w:tcPr>
          <w:p>
            <w:r>
              <w:rPr>
                <w:sz w:val="20"/>
                <w:szCs w:val="20"/>
              </w:rPr>
              <w:t xml:space="preserve">Implementation Window</w:t>
            </w:r>
          </w:p>
        </w:tc>
        <w:tc>
          <w:tcPr>
            <w:tcW w:type="dxa" w:w="7200"/>
            <w:tcMar>
              <w:top w:type="dxa" w:w="80"/>
              <w:left w:type="dxa" w:w="100"/>
              <w:bottom w:type="dxa" w:w="80"/>
              <w:right w:type="dxa" w:w="100"/>
            </w:tcMar>
          </w:tcPr>
          <w:p>
            <w:r>
              <w:rPr>
                <w:sz w:val="20"/>
                <w:szCs w:val="20"/>
              </w:rPr>
              <w:t xml:space="preserve">[Date/Time, duration, time zone]</w:t>
            </w:r>
          </w:p>
        </w:tc>
      </w:tr>
      <w:tr>
        <w:tc>
          <w:tcPr>
            <w:tcW w:type="dxa" w:w="2800"/>
            <w:shd w:fill="F2F2F2" w:val="clear"/>
            <w:tcMar>
              <w:top w:type="dxa" w:w="80"/>
              <w:left w:type="dxa" w:w="100"/>
              <w:bottom w:type="dxa" w:w="80"/>
              <w:right w:type="dxa" w:w="100"/>
            </w:tcMar>
          </w:tcPr>
          <w:p>
            <w:r>
              <w:rPr>
                <w:sz w:val="20"/>
                <w:szCs w:val="20"/>
              </w:rPr>
              <w:t xml:space="preserve">Executing Teams</w:t>
            </w:r>
          </w:p>
        </w:tc>
        <w:tc>
          <w:tcPr>
            <w:tcW w:type="dxa" w:w="7200"/>
            <w:shd w:fill="F2F2F2" w:val="clear"/>
            <w:tcMar>
              <w:top w:type="dxa" w:w="80"/>
              <w:left w:type="dxa" w:w="100"/>
              <w:bottom w:type="dxa" w:w="80"/>
              <w:right w:type="dxa" w:w="100"/>
            </w:tcMar>
          </w:tcPr>
          <w:p>
            <w:r>
              <w:rPr>
                <w:sz w:val="20"/>
                <w:szCs w:val="20"/>
              </w:rPr>
              <w:t xml:space="preserve">Infrastructure Engineering, Database Administration</w:t>
            </w:r>
          </w:p>
        </w:tc>
      </w:tr>
      <w:tr>
        <w:tc>
          <w:tcPr>
            <w:tcW w:type="dxa" w:w="2800"/>
            <w:tcMar>
              <w:top w:type="dxa" w:w="80"/>
              <w:left w:type="dxa" w:w="100"/>
              <w:bottom w:type="dxa" w:w="80"/>
              <w:right w:type="dxa" w:w="100"/>
            </w:tcMar>
          </w:tcPr>
          <w:p>
            <w:r>
              <w:rPr>
                <w:sz w:val="20"/>
                <w:szCs w:val="20"/>
              </w:rPr>
              <w:t xml:space="preserve">Pre-requisite Changes</w:t>
            </w:r>
          </w:p>
        </w:tc>
        <w:tc>
          <w:tcPr>
            <w:tcW w:type="dxa" w:w="7200"/>
            <w:tcMar>
              <w:top w:type="dxa" w:w="80"/>
              <w:left w:type="dxa" w:w="100"/>
              <w:bottom w:type="dxa" w:w="80"/>
              <w:right w:type="dxa" w:w="100"/>
            </w:tcMar>
          </w:tcPr>
          <w:p>
            <w:r>
              <w:rPr>
                <w:sz w:val="20"/>
                <w:szCs w:val="20"/>
              </w:rPr>
              <w:t xml:space="preserve">[List any dependent changes, e.g., firmware update, storage maintenance]</w:t>
            </w:r>
          </w:p>
        </w:tc>
      </w:tr>
      <w:tr>
        <w:tc>
          <w:tcPr>
            <w:tcW w:type="dxa" w:w="2800"/>
            <w:shd w:fill="F2F2F2" w:val="clear"/>
            <w:tcMar>
              <w:top w:type="dxa" w:w="80"/>
              <w:left w:type="dxa" w:w="100"/>
              <w:bottom w:type="dxa" w:w="80"/>
              <w:right w:type="dxa" w:w="100"/>
            </w:tcMar>
          </w:tcPr>
          <w:p>
            <w:r>
              <w:rPr>
                <w:sz w:val="20"/>
                <w:szCs w:val="20"/>
              </w:rPr>
              <w:t xml:space="preserve">Estimated Total Duration</w:t>
            </w:r>
          </w:p>
        </w:tc>
        <w:tc>
          <w:tcPr>
            <w:tcW w:type="dxa" w:w="7200"/>
            <w:shd w:fill="F2F2F2" w:val="clear"/>
            <w:tcMar>
              <w:top w:type="dxa" w:w="80"/>
              <w:left w:type="dxa" w:w="100"/>
              <w:bottom w:type="dxa" w:w="80"/>
              <w:right w:type="dxa" w:w="100"/>
            </w:tcMar>
          </w:tcPr>
          <w:p>
            <w:r>
              <w:rPr>
                <w:sz w:val="20"/>
                <w:szCs w:val="20"/>
              </w:rPr>
              <w:t xml:space="preserve">[Sum of Section 6/SQL Upgrade Procedure durations plus validation and buffer — typically 4–8 hours per server]</w:t>
            </w:r>
          </w:p>
        </w:tc>
      </w:tr>
    </w:tbl>
    <w:p>
      <w:pPr>
        <w:spacing w:after="120"/>
      </w:pPr>
    </w:p>
    <w:p>
      <w:pPr>
        <w:pStyle w:val="Heading2"/>
        <w:spacing w:after="150" w:before="300"/>
      </w:pPr>
      <w:r>
        <w:t xml:space="preserve">Risk Assessment</w:t>
      </w:r>
    </w:p>
    <w:p>
      <w:pPr>
        <w:spacing w:after="150"/>
      </w:pPr>
      <w:r>
        <w:t xml:space="preserve">Refer to Section 5.0 (Risks) for the full risk register. Summarize the top 3 residual risks and mitigations in the CAB submission, referencing the rollback plan and validation evidence requirements.</w:t>
      </w:r>
    </w:p>
    <w:p>
      <w:pPr>
        <w:pStyle w:val="Heading2"/>
        <w:spacing w:after="150" w:before="300"/>
      </w:pPr>
      <w:r>
        <w:t xml:space="preserve">Impact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Impacted System/Service</w:t>
            </w:r>
          </w:p>
        </w:tc>
        <w:tc>
          <w:tcPr>
            <w:tcW w:type="dxa" w:w="3400"/>
            <w:shd w:fill="1F3864" w:val="clear"/>
            <w:tcMar>
              <w:top w:type="dxa" w:w="80"/>
              <w:left w:type="dxa" w:w="100"/>
              <w:bottom w:type="dxa" w:w="80"/>
              <w:right w:type="dxa" w:w="100"/>
            </w:tcMar>
            <w:vAlign w:val="center"/>
          </w:tcPr>
          <w:p>
            <w:r>
              <w:rPr>
                <w:b/>
                <w:bCs/>
                <w:color w:val="FFFFFF"/>
                <w:sz w:val="20"/>
                <w:szCs w:val="20"/>
              </w:rPr>
              <w:t xml:space="preserve">Nature of Impact</w:t>
            </w:r>
          </w:p>
        </w:tc>
        <w:tc>
          <w:tcPr>
            <w:tcW w:type="dxa" w:w="3400"/>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3200"/>
            <w:tcMar>
              <w:top w:type="dxa" w:w="80"/>
              <w:left w:type="dxa" w:w="100"/>
              <w:bottom w:type="dxa" w:w="80"/>
              <w:right w:type="dxa" w:w="100"/>
            </w:tcMar>
          </w:tcPr>
          <w:p>
            <w:r>
              <w:rPr>
                <w:sz w:val="20"/>
                <w:szCs w:val="20"/>
              </w:rPr>
              <w:t xml:space="preserve">Business application(s) hosted on this server</w:t>
            </w:r>
          </w:p>
        </w:tc>
        <w:tc>
          <w:tcPr>
            <w:tcW w:type="dxa" w:w="3400"/>
            <w:tcMar>
              <w:top w:type="dxa" w:w="80"/>
              <w:left w:type="dxa" w:w="100"/>
              <w:bottom w:type="dxa" w:w="80"/>
              <w:right w:type="dxa" w:w="100"/>
            </w:tcMar>
          </w:tcPr>
          <w:p>
            <w:r>
              <w:rPr>
                <w:sz w:val="20"/>
                <w:szCs w:val="20"/>
              </w:rPr>
              <w:t xml:space="preserve">Full unavailability during the change window</w:t>
            </w:r>
          </w:p>
        </w:tc>
        <w:tc>
          <w:tcPr>
            <w:tcW w:type="dxa" w:w="3400"/>
            <w:tcMar>
              <w:top w:type="dxa" w:w="80"/>
              <w:left w:type="dxa" w:w="100"/>
              <w:bottom w:type="dxa" w:w="80"/>
              <w:right w:type="dxa" w:w="100"/>
            </w:tcMar>
          </w:tcPr>
          <w:p>
            <w:r>
              <w:rPr>
                <w:sz w:val="20"/>
                <w:szCs w:val="20"/>
              </w:rPr>
              <w:t xml:space="preserve">Scheduled maintenance window communicated in advance; smoke-test validation before returning to service</w:t>
            </w:r>
          </w:p>
        </w:tc>
      </w:tr>
      <w:tr>
        <w:tc>
          <w:tcPr>
            <w:tcW w:type="dxa" w:w="3200"/>
            <w:shd w:fill="F2F2F2" w:val="clear"/>
            <w:tcMar>
              <w:top w:type="dxa" w:w="80"/>
              <w:left w:type="dxa" w:w="100"/>
              <w:bottom w:type="dxa" w:w="80"/>
              <w:right w:type="dxa" w:w="100"/>
            </w:tcMar>
          </w:tcPr>
          <w:p>
            <w:r>
              <w:rPr>
                <w:sz w:val="20"/>
                <w:szCs w:val="20"/>
              </w:rPr>
              <w:t xml:space="preserve">Downstream/dependent applications (linked servers, replication subscribers)</w:t>
            </w:r>
          </w:p>
        </w:tc>
        <w:tc>
          <w:tcPr>
            <w:tcW w:type="dxa" w:w="3400"/>
            <w:shd w:fill="F2F2F2" w:val="clear"/>
            <w:tcMar>
              <w:top w:type="dxa" w:w="80"/>
              <w:left w:type="dxa" w:w="100"/>
              <w:bottom w:type="dxa" w:w="80"/>
              <w:right w:type="dxa" w:w="100"/>
            </w:tcMar>
          </w:tcPr>
          <w:p>
            <w:r>
              <w:rPr>
                <w:sz w:val="20"/>
                <w:szCs w:val="20"/>
              </w:rPr>
              <w:t xml:space="preserve">Possible transient errors if not upgraded in sequence</w:t>
            </w:r>
          </w:p>
        </w:tc>
        <w:tc>
          <w:tcPr>
            <w:tcW w:type="dxa" w:w="3400"/>
            <w:shd w:fill="F2F2F2" w:val="clear"/>
            <w:tcMar>
              <w:top w:type="dxa" w:w="80"/>
              <w:left w:type="dxa" w:w="100"/>
              <w:bottom w:type="dxa" w:w="80"/>
              <w:right w:type="dxa" w:w="100"/>
            </w:tcMar>
          </w:tcPr>
          <w:p>
            <w:r>
              <w:rPr>
                <w:sz w:val="20"/>
                <w:szCs w:val="20"/>
              </w:rPr>
              <w:t xml:space="preserve">Upgrade order documented in SQL Compatibility Assessment; dependent teams notified</w:t>
            </w:r>
          </w:p>
        </w:tc>
      </w:tr>
      <w:tr>
        <w:tc>
          <w:tcPr>
            <w:tcW w:type="dxa" w:w="3200"/>
            <w:tcMar>
              <w:top w:type="dxa" w:w="80"/>
              <w:left w:type="dxa" w:w="100"/>
              <w:bottom w:type="dxa" w:w="80"/>
              <w:right w:type="dxa" w:w="100"/>
            </w:tcMar>
          </w:tcPr>
          <w:p>
            <w:r>
              <w:rPr>
                <w:sz w:val="20"/>
                <w:szCs w:val="20"/>
              </w:rPr>
              <w:t xml:space="preserve">Monitoring/alerting</w:t>
            </w:r>
          </w:p>
        </w:tc>
        <w:tc>
          <w:tcPr>
            <w:tcW w:type="dxa" w:w="3400"/>
            <w:tcMar>
              <w:top w:type="dxa" w:w="80"/>
              <w:left w:type="dxa" w:w="100"/>
              <w:bottom w:type="dxa" w:w="80"/>
              <w:right w:type="dxa" w:w="100"/>
            </w:tcMar>
          </w:tcPr>
          <w:p>
            <w:r>
              <w:rPr>
                <w:sz w:val="20"/>
                <w:szCs w:val="20"/>
              </w:rPr>
              <w:t xml:space="preserve">Suppressed during maintenance mode</w:t>
            </w:r>
          </w:p>
        </w:tc>
        <w:tc>
          <w:tcPr>
            <w:tcW w:type="dxa" w:w="3400"/>
            <w:tcMar>
              <w:top w:type="dxa" w:w="80"/>
              <w:left w:type="dxa" w:w="100"/>
              <w:bottom w:type="dxa" w:w="80"/>
              <w:right w:type="dxa" w:w="100"/>
            </w:tcMar>
          </w:tcPr>
          <w:p>
            <w:r>
              <w:rPr>
                <w:sz w:val="20"/>
                <w:szCs w:val="20"/>
              </w:rPr>
              <w:t xml:space="preserve">Maintenance mode explicitly time-boxed and removed at close of change</w:t>
            </w:r>
          </w:p>
        </w:tc>
      </w:tr>
      <w:tr>
        <w:tc>
          <w:tcPr>
            <w:tcW w:type="dxa" w:w="3200"/>
            <w:shd w:fill="F2F2F2" w:val="clear"/>
            <w:tcMar>
              <w:top w:type="dxa" w:w="80"/>
              <w:left w:type="dxa" w:w="100"/>
              <w:bottom w:type="dxa" w:w="80"/>
              <w:right w:type="dxa" w:w="100"/>
            </w:tcMar>
          </w:tcPr>
          <w:p>
            <w:r>
              <w:rPr>
                <w:sz w:val="20"/>
                <w:szCs w:val="20"/>
              </w:rPr>
              <w:t xml:space="preserve">Reporting/BI consumers (SSRS/SSAS)</w:t>
            </w:r>
          </w:p>
        </w:tc>
        <w:tc>
          <w:tcPr>
            <w:tcW w:type="dxa" w:w="3400"/>
            <w:shd w:fill="F2F2F2" w:val="clear"/>
            <w:tcMar>
              <w:top w:type="dxa" w:w="80"/>
              <w:left w:type="dxa" w:w="100"/>
              <w:bottom w:type="dxa" w:w="80"/>
              <w:right w:type="dxa" w:w="100"/>
            </w:tcMar>
          </w:tcPr>
          <w:p>
            <w:r>
              <w:rPr>
                <w:sz w:val="20"/>
                <w:szCs w:val="20"/>
              </w:rPr>
              <w:t xml:space="preserve">Possible temporary unavailability if hosted on the same server</w:t>
            </w:r>
          </w:p>
        </w:tc>
        <w:tc>
          <w:tcPr>
            <w:tcW w:type="dxa" w:w="3400"/>
            <w:shd w:fill="F2F2F2" w:val="clear"/>
            <w:tcMar>
              <w:top w:type="dxa" w:w="80"/>
              <w:left w:type="dxa" w:w="100"/>
              <w:bottom w:type="dxa" w:w="80"/>
              <w:right w:type="dxa" w:w="100"/>
            </w:tcMar>
          </w:tcPr>
          <w:p>
            <w:r>
              <w:rPr>
                <w:sz w:val="20"/>
                <w:szCs w:val="20"/>
              </w:rPr>
              <w:t xml:space="preserve">Coordinated separately per SQL Compatibility Assessment note on SSRS</w:t>
            </w:r>
          </w:p>
        </w:tc>
      </w:tr>
    </w:tbl>
    <w:p>
      <w:pPr>
        <w:pStyle w:val="Heading2"/>
        <w:spacing w:after="150" w:before="300"/>
      </w:pPr>
      <w:r>
        <w:t xml:space="preserve">Communication Plan</w:t>
      </w:r>
    </w:p>
    <w:p>
      <w:pPr>
        <w:pStyle w:val="ListParagraph"/>
        <w:numPr>
          <w:ilvl w:val="0"/>
          <w:numId w:val="2"/>
        </w:numPr>
        <w:spacing w:after="60"/>
      </w:pPr>
      <w:r>
        <w:t xml:space="preserve">T-5 business days: Change submitted to CAB with this SOP attached as supporting documentation.</w:t>
      </w:r>
    </w:p>
    <w:p>
      <w:pPr>
        <w:pStyle w:val="ListParagraph"/>
        <w:numPr>
          <w:ilvl w:val="0"/>
          <w:numId w:val="2"/>
        </w:numPr>
        <w:spacing w:after="60"/>
      </w:pPr>
      <w:r>
        <w:t xml:space="preserve">T-2 business days: Maintenance window confirmed to application/business owners and monitoring teams.</w:t>
      </w:r>
    </w:p>
    <w:p>
      <w:pPr>
        <w:pStyle w:val="ListParagraph"/>
        <w:numPr>
          <w:ilvl w:val="0"/>
          <w:numId w:val="2"/>
        </w:numPr>
        <w:spacing w:after="60"/>
      </w:pPr>
      <w:r>
        <w:t xml:space="preserve">T-0 (start of window): Change start notification sent; maintenance mode enabled.</w:t>
      </w:r>
    </w:p>
    <w:p>
      <w:pPr>
        <w:pStyle w:val="ListParagraph"/>
        <w:numPr>
          <w:ilvl w:val="0"/>
          <w:numId w:val="2"/>
        </w:numPr>
        <w:spacing w:after="60"/>
      </w:pPr>
      <w:r>
        <w:t xml:space="preserve">T-0 (during window): Status updates at each major milestone (backup complete, OS upgrade complete, SQL upgrade complete, validation complete).</w:t>
      </w:r>
    </w:p>
    <w:p>
      <w:pPr>
        <w:pStyle w:val="ListParagraph"/>
        <w:numPr>
          <w:ilvl w:val="0"/>
          <w:numId w:val="2"/>
        </w:numPr>
        <w:spacing w:after="60"/>
      </w:pPr>
      <w:r>
        <w:t xml:space="preserve">T-0 (end of window): Change closure notification — Successful or Rolled Back — sent to all stakeholders.</w:t>
      </w:r>
    </w:p>
    <w:p>
      <w:pPr>
        <w:pStyle w:val="Heading2"/>
        <w:spacing w:after="150" w:before="300"/>
      </w:pPr>
      <w:r>
        <w:t xml:space="preserve">Backout Plan</w:t>
      </w:r>
    </w:p>
    <w:p>
      <w:pPr>
        <w:spacing w:after="150"/>
      </w:pPr>
      <w:r>
        <w:t xml:space="preserve">Refer to the Rollback Procedure section for full detail. Summarized backout plan for CAB: VM snapshot revert restores the server to its pre-change state within the documented RTO; SQL restore from validated backups if a snapshot revert is not viable or not desired due to transaction loss.</w:t>
      </w:r>
    </w:p>
    <w:p>
      <w:pPr>
        <w:pStyle w:val="Heading2"/>
        <w:spacing w:after="150" w:before="300"/>
      </w:pPr>
      <w:r>
        <w:t xml:space="preserve">Business Validation</w:t>
      </w:r>
    </w:p>
    <w:p>
      <w:pPr>
        <w:pStyle w:val="ListParagraph"/>
        <w:numPr>
          <w:ilvl w:val="0"/>
          <w:numId w:val="2"/>
        </w:numPr>
        <w:spacing w:after="60"/>
      </w:pPr>
      <w:r>
        <w:t xml:space="preserve">Application owner performs functional smoke test per their own test script against the upgraded environment.</w:t>
      </w:r>
    </w:p>
    <w:p>
      <w:pPr>
        <w:pStyle w:val="ListParagraph"/>
        <w:numPr>
          <w:ilvl w:val="0"/>
          <w:numId w:val="2"/>
        </w:numPr>
        <w:spacing w:after="60"/>
      </w:pPr>
      <w:r>
        <w:t xml:space="preserve">Application owner provides explicit sign-off (email or CAB system comment) before the change is closed as Successful.</w:t>
      </w:r>
    </w:p>
    <w:p>
      <w:pPr>
        <w:pStyle w:val="Heading2"/>
        <w:spacing w:after="150" w:before="300"/>
      </w:pPr>
      <w:r>
        <w:t xml:space="preserve">Success Criteria</w:t>
      </w:r>
    </w:p>
    <w:p>
      <w:pPr>
        <w:pStyle w:val="ListParagraph"/>
        <w:numPr>
          <w:ilvl w:val="0"/>
          <w:numId w:val="2"/>
        </w:numPr>
        <w:spacing w:after="60"/>
      </w:pPr>
      <w:r>
        <w:t xml:space="preserve">All items in Section 8 (Windows Validation) and SQL Validation report PASS.</w:t>
      </w:r>
    </w:p>
    <w:p>
      <w:pPr>
        <w:pStyle w:val="ListParagraph"/>
        <w:numPr>
          <w:ilvl w:val="0"/>
          <w:numId w:val="2"/>
        </w:numPr>
        <w:spacing w:after="60"/>
      </w:pPr>
      <w:r>
        <w:t xml:space="preserve">No unresolved Severity 1/2 incidents opened as a result of the change within the post-implementation monitoring period (typically 24–48 hours).</w:t>
      </w:r>
    </w:p>
    <w:p>
      <w:pPr>
        <w:pStyle w:val="ListParagraph"/>
        <w:numPr>
          <w:ilvl w:val="0"/>
          <w:numId w:val="2"/>
        </w:numPr>
        <w:spacing w:after="60"/>
      </w:pPr>
      <w:r>
        <w:t xml:space="preserve">Application owner sign-off obtained.</w:t>
      </w:r>
    </w:p>
    <w:p>
      <w:pPr>
        <w:pStyle w:val="ListParagraph"/>
        <w:numPr>
          <w:ilvl w:val="0"/>
          <w:numId w:val="2"/>
        </w:numPr>
        <w:spacing w:after="60"/>
      </w:pPr>
      <w:r>
        <w:t xml:space="preserve">No rollback invoked, or rollback completed and validated with root cause documented.</w:t>
      </w:r>
    </w:p>
    <w:p>
      <w:pPr>
        <w:pStyle w:val="Heading2"/>
        <w:spacing w:after="150" w:before="300"/>
      </w:pPr>
      <w:r>
        <w:t xml:space="preserve">CAB Checklist</w:t>
      </w:r>
    </w:p>
    <w:p>
      <w:pPr>
        <w:pStyle w:val="ListParagraph"/>
        <w:numPr>
          <w:ilvl w:val="0"/>
          <w:numId w:val="2"/>
        </w:numPr>
        <w:spacing w:after="60"/>
      </w:pPr>
      <w:r>
        <w:t xml:space="preserve">This SOP attached to the change record</w:t>
      </w:r>
    </w:p>
    <w:p>
      <w:pPr>
        <w:pStyle w:val="ListParagraph"/>
        <w:numPr>
          <w:ilvl w:val="0"/>
          <w:numId w:val="2"/>
        </w:numPr>
        <w:spacing w:after="60"/>
      </w:pPr>
      <w:r>
        <w:t xml:space="preserve">Risk assessment and impact analysis completed</w:t>
      </w:r>
    </w:p>
    <w:p>
      <w:pPr>
        <w:pStyle w:val="ListParagraph"/>
        <w:numPr>
          <w:ilvl w:val="0"/>
          <w:numId w:val="2"/>
        </w:numPr>
        <w:spacing w:after="60"/>
      </w:pPr>
      <w:r>
        <w:t xml:space="preserve">Backout/rollback plan documented and reviewed</w:t>
      </w:r>
    </w:p>
    <w:p>
      <w:pPr>
        <w:pStyle w:val="ListParagraph"/>
        <w:numPr>
          <w:ilvl w:val="0"/>
          <w:numId w:val="2"/>
        </w:numPr>
        <w:spacing w:after="60"/>
      </w:pPr>
      <w:r>
        <w:t xml:space="preserve">Test/non-production validation evidence attached (where applicable)</w:t>
      </w:r>
    </w:p>
    <w:p>
      <w:pPr>
        <w:pStyle w:val="ListParagraph"/>
        <w:numPr>
          <w:ilvl w:val="0"/>
          <w:numId w:val="2"/>
        </w:numPr>
        <w:spacing w:after="60"/>
      </w:pPr>
      <w:r>
        <w:t xml:space="preserve">Required approvals obtained (Infrastructure, DBA, Application Owner, Security if applicable)</w:t>
      </w:r>
    </w:p>
    <w:p>
      <w:pPr>
        <w:pStyle w:val="Heading2"/>
        <w:spacing w:after="150" w:before="300"/>
      </w:pPr>
      <w:r>
        <w:t xml:space="preserve">Downtime Checklist</w:t>
      </w:r>
    </w:p>
    <w:p>
      <w:pPr>
        <w:pStyle w:val="ListParagraph"/>
        <w:numPr>
          <w:ilvl w:val="0"/>
          <w:numId w:val="2"/>
        </w:numPr>
        <w:spacing w:after="60"/>
      </w:pPr>
      <w:r>
        <w:t xml:space="preserve">Downtime start/end times logged precisely against the change record</w:t>
      </w:r>
    </w:p>
    <w:p>
      <w:pPr>
        <w:pStyle w:val="ListParagraph"/>
        <w:numPr>
          <w:ilvl w:val="0"/>
          <w:numId w:val="2"/>
        </w:numPr>
        <w:spacing w:after="60"/>
      </w:pPr>
      <w:r>
        <w:t xml:space="preserve">Actual downtime compared against estimated duration; variance explained in post-implementation notes</w:t>
      </w:r>
    </w:p>
    <w:p>
      <w:pPr>
        <w:pStyle w:val="ListParagraph"/>
        <w:numPr>
          <w:ilvl w:val="0"/>
          <w:numId w:val="2"/>
        </w:numPr>
        <w:spacing w:after="60"/>
      </w:pPr>
      <w:r>
        <w:t xml:space="preserve">Any SLA/OLA impact assessed and reported per organizational policy</w:t>
      </w:r>
    </w:p>
    <w:p>
      <w:r>
        <w:br w:type="page"/>
      </w:r>
    </w:p>
    <w:p>
      <w:pPr>
        <w:pStyle w:val="Heading1"/>
        <w:spacing w:after="200" w:before="400"/>
      </w:pPr>
      <w:r>
        <w:t xml:space="preserve">Screenshots and Figures</w:t>
      </w:r>
    </w:p>
    <w:tbl>
      <w:tblPr>
        <w:tblW w:type="pct" w:w="100%"/>
        <w:tblBorders>
          <w:top w:val="single" w:color="B7950B" w:sz="6"/>
          <w:left w:val="single" w:color="B7950B" w:sz="6"/>
          <w:bottom w:val="single" w:color="B7950B" w:sz="6"/>
          <w:right w:val="single" w:color="B7950B" w:sz="6"/>
          <w:insideH w:val="none" w:color="FFFFFF" w:sz="0"/>
          <w:insideV w:val="none" w:color="FFFFFF" w:sz="0"/>
        </w:tblBorders>
      </w:tblPr>
      <w:tblGrid>
        <w:gridCol w:w="100"/>
      </w:tblGrid>
      <w:tr>
        <w:tc>
          <w:tcPr>
            <w:shd w:fill="FFF4D6" w:val="clear"/>
            <w:tcMar>
              <w:top w:type="dxa" w:w="100"/>
              <w:left w:type="dxa" w:w="150"/>
              <w:bottom w:type="dxa" w:w="100"/>
              <w:right w:type="dxa" w:w="150"/>
            </w:tcMar>
          </w:tcPr>
          <w:p>
            <w:r>
              <w:rPr>
                <w:b/>
                <w:bCs/>
                <w:color w:val="B7950B"/>
              </w:rPr>
              <w:t xml:space="preserve">IMPORTANT</w:t>
            </w:r>
          </w:p>
          <w:p>
            <w:r>
              <w:t xml:space="preserve">This manual specifies exactly which screens to capture and what to verify on each, so that engineers produce consistent evidence during execution. Actual screenshots are captured live during each implementation (Windows Setup, SQL Setup Wizard, SSMS, Server Manager, etc.) and inserted into the change-record copy of this document — they are environment- and run-specific and are therefore represented here as figure placeholders with capture instructions rather than static images, so this master template remains reusable across every server in scope.</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800"/>
      </w:tblGrid>
      <w:tr>
        <w:trPr>
          <w:tblHeader/>
        </w:trPr>
        <w:tc>
          <w:tcPr>
            <w:tcW w:type="dxa" w:w="1000"/>
            <w:shd w:fill="1F3864" w:val="clear"/>
            <w:tcMar>
              <w:top w:type="dxa" w:w="80"/>
              <w:left w:type="dxa" w:w="100"/>
              <w:bottom w:type="dxa" w:w="80"/>
              <w:right w:type="dxa" w:w="100"/>
            </w:tcMar>
            <w:vAlign w:val="center"/>
          </w:tcPr>
          <w:p>
            <w:r>
              <w:rPr>
                <w:b/>
                <w:bCs/>
                <w:color w:val="FFFFFF"/>
                <w:sz w:val="20"/>
                <w:szCs w:val="20"/>
              </w:rPr>
              <w:t xml:space="preserve">Figure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Screen to Capture</w:t>
            </w:r>
          </w:p>
        </w:tc>
        <w:tc>
          <w:tcPr>
            <w:tcW w:type="dxa" w:w="4800"/>
            <w:shd w:fill="1F3864" w:val="clear"/>
            <w:tcMar>
              <w:top w:type="dxa" w:w="80"/>
              <w:left w:type="dxa" w:w="100"/>
              <w:bottom w:type="dxa" w:w="80"/>
              <w:right w:type="dxa" w:w="100"/>
            </w:tcMar>
            <w:vAlign w:val="center"/>
          </w:tcPr>
          <w:p>
            <w:r>
              <w:rPr>
                <w:b/>
                <w:bCs/>
                <w:color w:val="FFFFFF"/>
                <w:sz w:val="20"/>
                <w:szCs w:val="20"/>
              </w:rPr>
              <w:t xml:space="preserve">What to Verify</w:t>
            </w:r>
          </w:p>
        </w:tc>
      </w:tr>
      <w:tr>
        <w:tc>
          <w:tcPr>
            <w:tcW w:type="dxa" w:w="1000"/>
            <w:tcMar>
              <w:top w:type="dxa" w:w="80"/>
              <w:left w:type="dxa" w:w="100"/>
              <w:bottom w:type="dxa" w:w="80"/>
              <w:right w:type="dxa" w:w="100"/>
            </w:tcMar>
          </w:tcPr>
          <w:p>
            <w:r>
              <w:rPr>
                <w:sz w:val="20"/>
                <w:szCs w:val="20"/>
              </w:rPr>
              <w:t xml:space="preserve">Fig. 1</w:t>
            </w:r>
          </w:p>
        </w:tc>
        <w:tc>
          <w:tcPr>
            <w:tcW w:type="dxa" w:w="4200"/>
            <w:tcMar>
              <w:top w:type="dxa" w:w="80"/>
              <w:left w:type="dxa" w:w="100"/>
              <w:bottom w:type="dxa" w:w="80"/>
              <w:right w:type="dxa" w:w="100"/>
            </w:tcMar>
          </w:tcPr>
          <w:p>
            <w:r>
              <w:rPr>
                <w:sz w:val="20"/>
                <w:szCs w:val="20"/>
              </w:rPr>
              <w:t xml:space="preserve">Monitoring console — maintenance mode set</w:t>
            </w:r>
          </w:p>
        </w:tc>
        <w:tc>
          <w:tcPr>
            <w:tcW w:type="dxa" w:w="4800"/>
            <w:tcMar>
              <w:top w:type="dxa" w:w="80"/>
              <w:left w:type="dxa" w:w="100"/>
              <w:bottom w:type="dxa" w:w="80"/>
              <w:right w:type="dxa" w:w="100"/>
            </w:tcMar>
          </w:tcPr>
          <w:p>
            <w:r>
              <w:rPr>
                <w:sz w:val="20"/>
                <w:szCs w:val="20"/>
              </w:rPr>
              <w:t xml:space="preserve">Correct server object selected; duration covers full window</w:t>
            </w:r>
          </w:p>
        </w:tc>
      </w:tr>
      <w:tr>
        <w:tc>
          <w:tcPr>
            <w:tcW w:type="dxa" w:w="1000"/>
            <w:shd w:fill="F2F2F2" w:val="clear"/>
            <w:tcMar>
              <w:top w:type="dxa" w:w="80"/>
              <w:left w:type="dxa" w:w="100"/>
              <w:bottom w:type="dxa" w:w="80"/>
              <w:right w:type="dxa" w:w="100"/>
            </w:tcMar>
          </w:tcPr>
          <w:p>
            <w:r>
              <w:rPr>
                <w:sz w:val="20"/>
                <w:szCs w:val="20"/>
              </w:rPr>
              <w:t xml:space="preserve">Fig. 2</w:t>
            </w:r>
          </w:p>
        </w:tc>
        <w:tc>
          <w:tcPr>
            <w:tcW w:type="dxa" w:w="4200"/>
            <w:shd w:fill="F2F2F2" w:val="clear"/>
            <w:tcMar>
              <w:top w:type="dxa" w:w="80"/>
              <w:left w:type="dxa" w:w="100"/>
              <w:bottom w:type="dxa" w:w="80"/>
              <w:right w:type="dxa" w:w="100"/>
            </w:tcMar>
          </w:tcPr>
          <w:p>
            <w:r>
              <w:rPr>
                <w:sz w:val="20"/>
                <w:szCs w:val="20"/>
              </w:rPr>
              <w:t xml:space="preserve">vCenter Snapshot Manager</w:t>
            </w:r>
          </w:p>
        </w:tc>
        <w:tc>
          <w:tcPr>
            <w:tcW w:type="dxa" w:w="4800"/>
            <w:shd w:fill="F2F2F2" w:val="clear"/>
            <w:tcMar>
              <w:top w:type="dxa" w:w="80"/>
              <w:left w:type="dxa" w:w="100"/>
              <w:bottom w:type="dxa" w:w="80"/>
              <w:right w:type="dxa" w:w="100"/>
            </w:tcMar>
          </w:tcPr>
          <w:p>
            <w:r>
              <w:rPr>
                <w:sz w:val="20"/>
                <w:szCs w:val="20"/>
              </w:rPr>
              <w:t xml:space="preserve">Pre-upgrade snapshot present, no consolidation warning</w:t>
            </w:r>
          </w:p>
        </w:tc>
      </w:tr>
      <w:tr>
        <w:tc>
          <w:tcPr>
            <w:tcW w:type="dxa" w:w="1000"/>
            <w:tcMar>
              <w:top w:type="dxa" w:w="80"/>
              <w:left w:type="dxa" w:w="100"/>
              <w:bottom w:type="dxa" w:w="80"/>
              <w:right w:type="dxa" w:w="100"/>
            </w:tcMar>
          </w:tcPr>
          <w:p>
            <w:r>
              <w:rPr>
                <w:sz w:val="20"/>
                <w:szCs w:val="20"/>
              </w:rPr>
              <w:t xml:space="preserve">Fig. 3</w:t>
            </w:r>
          </w:p>
        </w:tc>
        <w:tc>
          <w:tcPr>
            <w:tcW w:type="dxa" w:w="4200"/>
            <w:tcMar>
              <w:top w:type="dxa" w:w="80"/>
              <w:left w:type="dxa" w:w="100"/>
              <w:bottom w:type="dxa" w:w="80"/>
              <w:right w:type="dxa" w:w="100"/>
            </w:tcMar>
          </w:tcPr>
          <w:p>
            <w:r>
              <w:rPr>
                <w:sz w:val="20"/>
                <w:szCs w:val="20"/>
              </w:rPr>
              <w:t xml:space="preserve">ISO mounted in File Explorer</w:t>
            </w:r>
          </w:p>
        </w:tc>
        <w:tc>
          <w:tcPr>
            <w:tcW w:type="dxa" w:w="4800"/>
            <w:tcMar>
              <w:top w:type="dxa" w:w="80"/>
              <w:left w:type="dxa" w:w="100"/>
              <w:bottom w:type="dxa" w:w="80"/>
              <w:right w:type="dxa" w:w="100"/>
            </w:tcMar>
          </w:tcPr>
          <w:p>
            <w:r>
              <w:rPr>
                <w:sz w:val="20"/>
                <w:szCs w:val="20"/>
              </w:rPr>
              <w:t xml:space="preserve">Correct WS2022 media mounted as expected drive letter</w:t>
            </w:r>
          </w:p>
        </w:tc>
      </w:tr>
      <w:tr>
        <w:tc>
          <w:tcPr>
            <w:tcW w:type="dxa" w:w="1000"/>
            <w:shd w:fill="F2F2F2" w:val="clear"/>
            <w:tcMar>
              <w:top w:type="dxa" w:w="80"/>
              <w:left w:type="dxa" w:w="100"/>
              <w:bottom w:type="dxa" w:w="80"/>
              <w:right w:type="dxa" w:w="100"/>
            </w:tcMar>
          </w:tcPr>
          <w:p>
            <w:r>
              <w:rPr>
                <w:sz w:val="20"/>
                <w:szCs w:val="20"/>
              </w:rPr>
              <w:t xml:space="preserve">Fig. 4</w:t>
            </w:r>
          </w:p>
        </w:tc>
        <w:tc>
          <w:tcPr>
            <w:tcW w:type="dxa" w:w="4200"/>
            <w:shd w:fill="F2F2F2" w:val="clear"/>
            <w:tcMar>
              <w:top w:type="dxa" w:w="80"/>
              <w:left w:type="dxa" w:w="100"/>
              <w:bottom w:type="dxa" w:w="80"/>
              <w:right w:type="dxa" w:w="100"/>
            </w:tcMar>
          </w:tcPr>
          <w:p>
            <w:r>
              <w:rPr>
                <w:sz w:val="20"/>
                <w:szCs w:val="20"/>
              </w:rPr>
              <w:t xml:space="preserve">Windows Setup compatibility report</w:t>
            </w:r>
          </w:p>
        </w:tc>
        <w:tc>
          <w:tcPr>
            <w:tcW w:type="dxa" w:w="4800"/>
            <w:shd w:fill="F2F2F2" w:val="clear"/>
            <w:tcMar>
              <w:top w:type="dxa" w:w="80"/>
              <w:left w:type="dxa" w:w="100"/>
              <w:bottom w:type="dxa" w:w="80"/>
              <w:right w:type="dxa" w:w="100"/>
            </w:tcMar>
          </w:tcPr>
          <w:p>
            <w:r>
              <w:rPr>
                <w:sz w:val="20"/>
                <w:szCs w:val="20"/>
              </w:rPr>
              <w:t xml:space="preserve">No blocking severity items under Recommended Actions</w:t>
            </w:r>
          </w:p>
        </w:tc>
      </w:tr>
      <w:tr>
        <w:tc>
          <w:tcPr>
            <w:tcW w:type="dxa" w:w="1000"/>
            <w:tcMar>
              <w:top w:type="dxa" w:w="80"/>
              <w:left w:type="dxa" w:w="100"/>
              <w:bottom w:type="dxa" w:w="80"/>
              <w:right w:type="dxa" w:w="100"/>
            </w:tcMar>
          </w:tcPr>
          <w:p>
            <w:r>
              <w:rPr>
                <w:sz w:val="20"/>
                <w:szCs w:val="20"/>
              </w:rPr>
              <w:t xml:space="preserve">Fig. 5</w:t>
            </w:r>
          </w:p>
        </w:tc>
        <w:tc>
          <w:tcPr>
            <w:tcW w:type="dxa" w:w="4200"/>
            <w:tcMar>
              <w:top w:type="dxa" w:w="80"/>
              <w:left w:type="dxa" w:w="100"/>
              <w:bottom w:type="dxa" w:w="80"/>
              <w:right w:type="dxa" w:w="100"/>
            </w:tcMar>
          </w:tcPr>
          <w:p>
            <w:r>
              <w:rPr>
                <w:sz w:val="20"/>
                <w:szCs w:val="20"/>
              </w:rPr>
              <w:t xml:space="preserve">License acceptance / edition selection</w:t>
            </w:r>
          </w:p>
        </w:tc>
        <w:tc>
          <w:tcPr>
            <w:tcW w:type="dxa" w:w="4800"/>
            <w:tcMar>
              <w:top w:type="dxa" w:w="80"/>
              <w:left w:type="dxa" w:w="100"/>
              <w:bottom w:type="dxa" w:w="80"/>
              <w:right w:type="dxa" w:w="100"/>
            </w:tcMar>
          </w:tcPr>
          <w:p>
            <w:r>
              <w:rPr>
                <w:sz w:val="20"/>
                <w:szCs w:val="20"/>
              </w:rPr>
              <w:t xml:space="preserve">'Keep personal files and apps' selected; edition matches source</w:t>
            </w:r>
          </w:p>
        </w:tc>
      </w:tr>
      <w:tr>
        <w:tc>
          <w:tcPr>
            <w:tcW w:type="dxa" w:w="1000"/>
            <w:shd w:fill="F2F2F2" w:val="clear"/>
            <w:tcMar>
              <w:top w:type="dxa" w:w="80"/>
              <w:left w:type="dxa" w:w="100"/>
              <w:bottom w:type="dxa" w:w="80"/>
              <w:right w:type="dxa" w:w="100"/>
            </w:tcMar>
          </w:tcPr>
          <w:p>
            <w:r>
              <w:rPr>
                <w:sz w:val="20"/>
                <w:szCs w:val="20"/>
              </w:rPr>
              <w:t xml:space="preserve">Fig. 6–7</w:t>
            </w:r>
          </w:p>
        </w:tc>
        <w:tc>
          <w:tcPr>
            <w:tcW w:type="dxa" w:w="4200"/>
            <w:shd w:fill="F2F2F2" w:val="clear"/>
            <w:tcMar>
              <w:top w:type="dxa" w:w="80"/>
              <w:left w:type="dxa" w:w="100"/>
              <w:bottom w:type="dxa" w:w="80"/>
              <w:right w:type="dxa" w:w="100"/>
            </w:tcMar>
          </w:tcPr>
          <w:p>
            <w:r>
              <w:rPr>
                <w:sz w:val="20"/>
                <w:szCs w:val="20"/>
              </w:rPr>
              <w:t xml:space="preserve">Upgrade progress / reboot sequence</w:t>
            </w:r>
          </w:p>
        </w:tc>
        <w:tc>
          <w:tcPr>
            <w:tcW w:type="dxa" w:w="4800"/>
            <w:shd w:fill="F2F2F2" w:val="clear"/>
            <w:tcMar>
              <w:top w:type="dxa" w:w="80"/>
              <w:left w:type="dxa" w:w="100"/>
              <w:bottom w:type="dxa" w:w="80"/>
              <w:right w:type="dxa" w:w="100"/>
            </w:tcMar>
          </w:tcPr>
          <w:p>
            <w:r>
              <w:rPr>
                <w:sz w:val="20"/>
                <w:szCs w:val="20"/>
              </w:rPr>
              <w:t xml:space="preserve">No error dialogs; progress advancing</w:t>
            </w:r>
          </w:p>
        </w:tc>
      </w:tr>
      <w:tr>
        <w:tc>
          <w:tcPr>
            <w:tcW w:type="dxa" w:w="1000"/>
            <w:tcMar>
              <w:top w:type="dxa" w:w="80"/>
              <w:left w:type="dxa" w:w="100"/>
              <w:bottom w:type="dxa" w:w="80"/>
              <w:right w:type="dxa" w:w="100"/>
            </w:tcMar>
          </w:tcPr>
          <w:p>
            <w:r>
              <w:rPr>
                <w:sz w:val="20"/>
                <w:szCs w:val="20"/>
              </w:rPr>
              <w:t xml:space="preserve">Fig. 8</w:t>
            </w:r>
          </w:p>
        </w:tc>
        <w:tc>
          <w:tcPr>
            <w:tcW w:type="dxa" w:w="4200"/>
            <w:tcMar>
              <w:top w:type="dxa" w:w="80"/>
              <w:left w:type="dxa" w:w="100"/>
              <w:bottom w:type="dxa" w:w="80"/>
              <w:right w:type="dxa" w:w="100"/>
            </w:tcMar>
          </w:tcPr>
          <w:p>
            <w:r>
              <w:rPr>
                <w:sz w:val="20"/>
                <w:szCs w:val="20"/>
              </w:rPr>
              <w:t xml:space="preserve">WS2022 sign-in screen</w:t>
            </w:r>
          </w:p>
        </w:tc>
        <w:tc>
          <w:tcPr>
            <w:tcW w:type="dxa" w:w="4800"/>
            <w:tcMar>
              <w:top w:type="dxa" w:w="80"/>
              <w:left w:type="dxa" w:w="100"/>
              <w:bottom w:type="dxa" w:w="80"/>
              <w:right w:type="dxa" w:w="100"/>
            </w:tcMar>
          </w:tcPr>
          <w:p>
            <w:r>
              <w:rPr>
                <w:sz w:val="20"/>
                <w:szCs w:val="20"/>
              </w:rPr>
              <w:t xml:space="preserve">Confirms setup completed and reached first logon</w:t>
            </w:r>
          </w:p>
        </w:tc>
      </w:tr>
      <w:tr>
        <w:tc>
          <w:tcPr>
            <w:tcW w:type="dxa" w:w="1000"/>
            <w:shd w:fill="F2F2F2" w:val="clear"/>
            <w:tcMar>
              <w:top w:type="dxa" w:w="80"/>
              <w:left w:type="dxa" w:w="100"/>
              <w:bottom w:type="dxa" w:w="80"/>
              <w:right w:type="dxa" w:w="100"/>
            </w:tcMar>
          </w:tcPr>
          <w:p>
            <w:r>
              <w:rPr>
                <w:sz w:val="20"/>
                <w:szCs w:val="20"/>
              </w:rPr>
              <w:t xml:space="preserve">Fig. 9</w:t>
            </w:r>
          </w:p>
        </w:tc>
        <w:tc>
          <w:tcPr>
            <w:tcW w:type="dxa" w:w="4200"/>
            <w:shd w:fill="F2F2F2" w:val="clear"/>
            <w:tcMar>
              <w:top w:type="dxa" w:w="80"/>
              <w:left w:type="dxa" w:w="100"/>
              <w:bottom w:type="dxa" w:w="80"/>
              <w:right w:type="dxa" w:w="100"/>
            </w:tcMar>
          </w:tcPr>
          <w:p>
            <w:r>
              <w:rPr>
                <w:sz w:val="20"/>
                <w:szCs w:val="20"/>
              </w:rPr>
              <w:t xml:space="preserve">Server Manager dashboard</w:t>
            </w:r>
          </w:p>
        </w:tc>
        <w:tc>
          <w:tcPr>
            <w:tcW w:type="dxa" w:w="4800"/>
            <w:shd w:fill="F2F2F2" w:val="clear"/>
            <w:tcMar>
              <w:top w:type="dxa" w:w="80"/>
              <w:left w:type="dxa" w:w="100"/>
              <w:bottom w:type="dxa" w:w="80"/>
              <w:right w:type="dxa" w:w="100"/>
            </w:tcMar>
          </w:tcPr>
          <w:p>
            <w:r>
              <w:rPr>
                <w:sz w:val="20"/>
                <w:szCs w:val="20"/>
              </w:rPr>
              <w:t xml:space="preserve">Roles/features listed match pre-upgrade inventory</w:t>
            </w:r>
          </w:p>
        </w:tc>
      </w:tr>
      <w:tr>
        <w:tc>
          <w:tcPr>
            <w:tcW w:type="dxa" w:w="1000"/>
            <w:tcMar>
              <w:top w:type="dxa" w:w="80"/>
              <w:left w:type="dxa" w:w="100"/>
              <w:bottom w:type="dxa" w:w="80"/>
              <w:right w:type="dxa" w:w="100"/>
            </w:tcMar>
          </w:tcPr>
          <w:p>
            <w:r>
              <w:rPr>
                <w:sz w:val="20"/>
                <w:szCs w:val="20"/>
              </w:rPr>
              <w:t xml:space="preserve">Fig. 10</w:t>
            </w:r>
          </w:p>
        </w:tc>
        <w:tc>
          <w:tcPr>
            <w:tcW w:type="dxa" w:w="4200"/>
            <w:tcMar>
              <w:top w:type="dxa" w:w="80"/>
              <w:left w:type="dxa" w:w="100"/>
              <w:bottom w:type="dxa" w:w="80"/>
              <w:right w:type="dxa" w:w="100"/>
            </w:tcMar>
          </w:tcPr>
          <w:p>
            <w:r>
              <w:rPr>
                <w:sz w:val="20"/>
                <w:szCs w:val="20"/>
              </w:rPr>
              <w:t xml:space="preserve">`winver` dialog</w:t>
            </w:r>
          </w:p>
        </w:tc>
        <w:tc>
          <w:tcPr>
            <w:tcW w:type="dxa" w:w="4800"/>
            <w:tcMar>
              <w:top w:type="dxa" w:w="80"/>
              <w:left w:type="dxa" w:w="100"/>
              <w:bottom w:type="dxa" w:w="80"/>
              <w:right w:type="dxa" w:w="100"/>
            </w:tcMar>
          </w:tcPr>
          <w:p>
            <w:r>
              <w:rPr>
                <w:sz w:val="20"/>
                <w:szCs w:val="20"/>
              </w:rPr>
              <w:t xml:space="preserve">Build number and edition correct</w:t>
            </w:r>
          </w:p>
        </w:tc>
      </w:tr>
      <w:tr>
        <w:tc>
          <w:tcPr>
            <w:tcW w:type="dxa" w:w="1000"/>
            <w:shd w:fill="F2F2F2" w:val="clear"/>
            <w:tcMar>
              <w:top w:type="dxa" w:w="80"/>
              <w:left w:type="dxa" w:w="100"/>
              <w:bottom w:type="dxa" w:w="80"/>
              <w:right w:type="dxa" w:w="100"/>
            </w:tcMar>
          </w:tcPr>
          <w:p>
            <w:r>
              <w:rPr>
                <w:sz w:val="20"/>
                <w:szCs w:val="20"/>
              </w:rPr>
              <w:t xml:space="preserve">Fig. 11</w:t>
            </w:r>
          </w:p>
        </w:tc>
        <w:tc>
          <w:tcPr>
            <w:tcW w:type="dxa" w:w="4200"/>
            <w:shd w:fill="F2F2F2" w:val="clear"/>
            <w:tcMar>
              <w:top w:type="dxa" w:w="80"/>
              <w:left w:type="dxa" w:w="100"/>
              <w:bottom w:type="dxa" w:w="80"/>
              <w:right w:type="dxa" w:w="100"/>
            </w:tcMar>
          </w:tcPr>
          <w:p>
            <w:r>
              <w:rPr>
                <w:sz w:val="20"/>
                <w:szCs w:val="20"/>
              </w:rPr>
              <w:t xml:space="preserve">SQL Server Installation Center</w:t>
            </w:r>
          </w:p>
        </w:tc>
        <w:tc>
          <w:tcPr>
            <w:tcW w:type="dxa" w:w="4800"/>
            <w:shd w:fill="F2F2F2" w:val="clear"/>
            <w:tcMar>
              <w:top w:type="dxa" w:w="80"/>
              <w:left w:type="dxa" w:w="100"/>
              <w:bottom w:type="dxa" w:w="80"/>
              <w:right w:type="dxa" w:w="100"/>
            </w:tcMar>
          </w:tcPr>
          <w:p>
            <w:r>
              <w:rPr>
                <w:sz w:val="20"/>
                <w:szCs w:val="20"/>
              </w:rPr>
              <w:t xml:space="preserve">Correct setup media version (SQL 2022)</w:t>
            </w:r>
          </w:p>
        </w:tc>
      </w:tr>
      <w:tr>
        <w:tc>
          <w:tcPr>
            <w:tcW w:type="dxa" w:w="1000"/>
            <w:tcMar>
              <w:top w:type="dxa" w:w="80"/>
              <w:left w:type="dxa" w:w="100"/>
              <w:bottom w:type="dxa" w:w="80"/>
              <w:right w:type="dxa" w:w="100"/>
            </w:tcMar>
          </w:tcPr>
          <w:p>
            <w:r>
              <w:rPr>
                <w:sz w:val="20"/>
                <w:szCs w:val="20"/>
              </w:rPr>
              <w:t xml:space="preserve">Fig. 12–13</w:t>
            </w:r>
          </w:p>
        </w:tc>
        <w:tc>
          <w:tcPr>
            <w:tcW w:type="dxa" w:w="4200"/>
            <w:tcMar>
              <w:top w:type="dxa" w:w="80"/>
              <w:left w:type="dxa" w:w="100"/>
              <w:bottom w:type="dxa" w:w="80"/>
              <w:right w:type="dxa" w:w="100"/>
            </w:tcMar>
          </w:tcPr>
          <w:p>
            <w:r>
              <w:rPr>
                <w:sz w:val="20"/>
                <w:szCs w:val="20"/>
              </w:rPr>
              <w:t xml:space="preserve">Setup Support Rules / Feature Rules</w:t>
            </w:r>
          </w:p>
        </w:tc>
        <w:tc>
          <w:tcPr>
            <w:tcW w:type="dxa" w:w="4800"/>
            <w:tcMar>
              <w:top w:type="dxa" w:w="80"/>
              <w:left w:type="dxa" w:w="100"/>
              <w:bottom w:type="dxa" w:w="80"/>
              <w:right w:type="dxa" w:w="100"/>
            </w:tcMar>
          </w:tcPr>
          <w:p>
            <w:r>
              <w:rPr>
                <w:sz w:val="20"/>
                <w:szCs w:val="20"/>
              </w:rPr>
              <w:t xml:space="preserve">All Passed, or accepted documented Warning</w:t>
            </w:r>
          </w:p>
        </w:tc>
      </w:tr>
      <w:tr>
        <w:tc>
          <w:tcPr>
            <w:tcW w:type="dxa" w:w="1000"/>
            <w:shd w:fill="F2F2F2" w:val="clear"/>
            <w:tcMar>
              <w:top w:type="dxa" w:w="80"/>
              <w:left w:type="dxa" w:w="100"/>
              <w:bottom w:type="dxa" w:w="80"/>
              <w:right w:type="dxa" w:w="100"/>
            </w:tcMar>
          </w:tcPr>
          <w:p>
            <w:r>
              <w:rPr>
                <w:sz w:val="20"/>
                <w:szCs w:val="20"/>
              </w:rPr>
              <w:t xml:space="preserve">Fig. 14</w:t>
            </w:r>
          </w:p>
        </w:tc>
        <w:tc>
          <w:tcPr>
            <w:tcW w:type="dxa" w:w="4200"/>
            <w:shd w:fill="F2F2F2" w:val="clear"/>
            <w:tcMar>
              <w:top w:type="dxa" w:w="80"/>
              <w:left w:type="dxa" w:w="100"/>
              <w:bottom w:type="dxa" w:w="80"/>
              <w:right w:type="dxa" w:w="100"/>
            </w:tcMar>
          </w:tcPr>
          <w:p>
            <w:r>
              <w:rPr>
                <w:sz w:val="20"/>
                <w:szCs w:val="20"/>
              </w:rPr>
              <w:t xml:space="preserve">Product key entry</w:t>
            </w:r>
          </w:p>
        </w:tc>
        <w:tc>
          <w:tcPr>
            <w:tcW w:type="dxa" w:w="4800"/>
            <w:shd w:fill="F2F2F2" w:val="clear"/>
            <w:tcMar>
              <w:top w:type="dxa" w:w="80"/>
              <w:left w:type="dxa" w:w="100"/>
              <w:bottom w:type="dxa" w:w="80"/>
              <w:right w:type="dxa" w:w="100"/>
            </w:tcMar>
          </w:tcPr>
          <w:p>
            <w:r>
              <w:rPr>
                <w:sz w:val="20"/>
                <w:szCs w:val="20"/>
              </w:rPr>
              <w:t xml:space="preserve">Correct edition/key entered</w:t>
            </w:r>
          </w:p>
        </w:tc>
      </w:tr>
      <w:tr>
        <w:tc>
          <w:tcPr>
            <w:tcW w:type="dxa" w:w="1000"/>
            <w:tcMar>
              <w:top w:type="dxa" w:w="80"/>
              <w:left w:type="dxa" w:w="100"/>
              <w:bottom w:type="dxa" w:w="80"/>
              <w:right w:type="dxa" w:w="100"/>
            </w:tcMar>
          </w:tcPr>
          <w:p>
            <w:r>
              <w:rPr>
                <w:sz w:val="20"/>
                <w:szCs w:val="20"/>
              </w:rPr>
              <w:t xml:space="preserve">Fig. 15</w:t>
            </w:r>
          </w:p>
        </w:tc>
        <w:tc>
          <w:tcPr>
            <w:tcW w:type="dxa" w:w="4200"/>
            <w:tcMar>
              <w:top w:type="dxa" w:w="80"/>
              <w:left w:type="dxa" w:w="100"/>
              <w:bottom w:type="dxa" w:w="80"/>
              <w:right w:type="dxa" w:w="100"/>
            </w:tcMar>
          </w:tcPr>
          <w:p>
            <w:r>
              <w:rPr>
                <w:sz w:val="20"/>
                <w:szCs w:val="20"/>
              </w:rPr>
              <w:t xml:space="preserve">Select Instance screen</w:t>
            </w:r>
          </w:p>
        </w:tc>
        <w:tc>
          <w:tcPr>
            <w:tcW w:type="dxa" w:w="4800"/>
            <w:tcMar>
              <w:top w:type="dxa" w:w="80"/>
              <w:left w:type="dxa" w:w="100"/>
              <w:bottom w:type="dxa" w:w="80"/>
              <w:right w:type="dxa" w:w="100"/>
            </w:tcMar>
          </w:tcPr>
          <w:p>
            <w:r>
              <w:rPr>
                <w:sz w:val="20"/>
                <w:szCs w:val="20"/>
              </w:rPr>
              <w:t xml:space="preserve">Correct instance name matches change record</w:t>
            </w:r>
          </w:p>
        </w:tc>
      </w:tr>
      <w:tr>
        <w:tc>
          <w:tcPr>
            <w:tcW w:type="dxa" w:w="1000"/>
            <w:shd w:fill="F2F2F2" w:val="clear"/>
            <w:tcMar>
              <w:top w:type="dxa" w:w="80"/>
              <w:left w:type="dxa" w:w="100"/>
              <w:bottom w:type="dxa" w:w="80"/>
              <w:right w:type="dxa" w:w="100"/>
            </w:tcMar>
          </w:tcPr>
          <w:p>
            <w:r>
              <w:rPr>
                <w:sz w:val="20"/>
                <w:szCs w:val="20"/>
              </w:rPr>
              <w:t xml:space="preserve">Fig. 16</w:t>
            </w:r>
          </w:p>
        </w:tc>
        <w:tc>
          <w:tcPr>
            <w:tcW w:type="dxa" w:w="4200"/>
            <w:shd w:fill="F2F2F2" w:val="clear"/>
            <w:tcMar>
              <w:top w:type="dxa" w:w="80"/>
              <w:left w:type="dxa" w:w="100"/>
              <w:bottom w:type="dxa" w:w="80"/>
              <w:right w:type="dxa" w:w="100"/>
            </w:tcMar>
          </w:tcPr>
          <w:p>
            <w:r>
              <w:rPr>
                <w:sz w:val="20"/>
                <w:szCs w:val="20"/>
              </w:rPr>
              <w:t xml:space="preserve">Select Features screen</w:t>
            </w:r>
          </w:p>
        </w:tc>
        <w:tc>
          <w:tcPr>
            <w:tcW w:type="dxa" w:w="4800"/>
            <w:shd w:fill="F2F2F2" w:val="clear"/>
            <w:tcMar>
              <w:top w:type="dxa" w:w="80"/>
              <w:left w:type="dxa" w:w="100"/>
              <w:bottom w:type="dxa" w:w="80"/>
              <w:right w:type="dxa" w:w="100"/>
            </w:tcMar>
          </w:tcPr>
          <w:p>
            <w:r>
              <w:rPr>
                <w:sz w:val="20"/>
                <w:szCs w:val="20"/>
              </w:rPr>
              <w:t xml:space="preserve">Feature set matches pre-upgrade inventory</w:t>
            </w:r>
          </w:p>
        </w:tc>
      </w:tr>
      <w:tr>
        <w:tc>
          <w:tcPr>
            <w:tcW w:type="dxa" w:w="1000"/>
            <w:tcMar>
              <w:top w:type="dxa" w:w="80"/>
              <w:left w:type="dxa" w:w="100"/>
              <w:bottom w:type="dxa" w:w="80"/>
              <w:right w:type="dxa" w:w="100"/>
            </w:tcMar>
          </w:tcPr>
          <w:p>
            <w:r>
              <w:rPr>
                <w:sz w:val="20"/>
                <w:szCs w:val="20"/>
              </w:rPr>
              <w:t xml:space="preserve">Fig. 17</w:t>
            </w:r>
          </w:p>
        </w:tc>
        <w:tc>
          <w:tcPr>
            <w:tcW w:type="dxa" w:w="4200"/>
            <w:tcMar>
              <w:top w:type="dxa" w:w="80"/>
              <w:left w:type="dxa" w:w="100"/>
              <w:bottom w:type="dxa" w:w="80"/>
              <w:right w:type="dxa" w:w="100"/>
            </w:tcMar>
          </w:tcPr>
          <w:p>
            <w:r>
              <w:rPr>
                <w:sz w:val="20"/>
                <w:szCs w:val="20"/>
              </w:rPr>
              <w:t xml:space="preserve">Upgrade Rules results</w:t>
            </w:r>
          </w:p>
        </w:tc>
        <w:tc>
          <w:tcPr>
            <w:tcW w:type="dxa" w:w="4800"/>
            <w:tcMar>
              <w:top w:type="dxa" w:w="80"/>
              <w:left w:type="dxa" w:w="100"/>
              <w:bottom w:type="dxa" w:w="80"/>
              <w:right w:type="dxa" w:w="100"/>
            </w:tcMar>
          </w:tcPr>
          <w:p>
            <w:r>
              <w:rPr>
                <w:sz w:val="20"/>
                <w:szCs w:val="20"/>
              </w:rPr>
              <w:t xml:space="preserve">All Passed, or accepted documented Warning</w:t>
            </w:r>
          </w:p>
        </w:tc>
      </w:tr>
      <w:tr>
        <w:tc>
          <w:tcPr>
            <w:tcW w:type="dxa" w:w="1000"/>
            <w:shd w:fill="F2F2F2" w:val="clear"/>
            <w:tcMar>
              <w:top w:type="dxa" w:w="80"/>
              <w:left w:type="dxa" w:w="100"/>
              <w:bottom w:type="dxa" w:w="80"/>
              <w:right w:type="dxa" w:w="100"/>
            </w:tcMar>
          </w:tcPr>
          <w:p>
            <w:r>
              <w:rPr>
                <w:sz w:val="20"/>
                <w:szCs w:val="20"/>
              </w:rPr>
              <w:t xml:space="preserve">Fig. 18</w:t>
            </w:r>
          </w:p>
        </w:tc>
        <w:tc>
          <w:tcPr>
            <w:tcW w:type="dxa" w:w="4200"/>
            <w:shd w:fill="F2F2F2" w:val="clear"/>
            <w:tcMar>
              <w:top w:type="dxa" w:w="80"/>
              <w:left w:type="dxa" w:w="100"/>
              <w:bottom w:type="dxa" w:w="80"/>
              <w:right w:type="dxa" w:w="100"/>
            </w:tcMar>
          </w:tcPr>
          <w:p>
            <w:r>
              <w:rPr>
                <w:sz w:val="20"/>
                <w:szCs w:val="20"/>
              </w:rPr>
              <w:t xml:space="preserve">Ready to Upgrade summary</w:t>
            </w:r>
          </w:p>
        </w:tc>
        <w:tc>
          <w:tcPr>
            <w:tcW w:type="dxa" w:w="4800"/>
            <w:shd w:fill="F2F2F2" w:val="clear"/>
            <w:tcMar>
              <w:top w:type="dxa" w:w="80"/>
              <w:left w:type="dxa" w:w="100"/>
              <w:bottom w:type="dxa" w:w="80"/>
              <w:right w:type="dxa" w:w="100"/>
            </w:tcMar>
          </w:tcPr>
          <w:p>
            <w:r>
              <w:rPr>
                <w:sz w:val="20"/>
                <w:szCs w:val="20"/>
              </w:rPr>
              <w:t xml:space="preserve">Final confirmation of instance/edition/features</w:t>
            </w:r>
          </w:p>
        </w:tc>
      </w:tr>
      <w:tr>
        <w:tc>
          <w:tcPr>
            <w:tcW w:type="dxa" w:w="1000"/>
            <w:tcMar>
              <w:top w:type="dxa" w:w="80"/>
              <w:left w:type="dxa" w:w="100"/>
              <w:bottom w:type="dxa" w:w="80"/>
              <w:right w:type="dxa" w:w="100"/>
            </w:tcMar>
          </w:tcPr>
          <w:p>
            <w:r>
              <w:rPr>
                <w:sz w:val="20"/>
                <w:szCs w:val="20"/>
              </w:rPr>
              <w:t xml:space="preserve">Fig. 19–20</w:t>
            </w:r>
          </w:p>
        </w:tc>
        <w:tc>
          <w:tcPr>
            <w:tcW w:type="dxa" w:w="4200"/>
            <w:tcMar>
              <w:top w:type="dxa" w:w="80"/>
              <w:left w:type="dxa" w:w="100"/>
              <w:bottom w:type="dxa" w:w="80"/>
              <w:right w:type="dxa" w:w="100"/>
            </w:tcMar>
          </w:tcPr>
          <w:p>
            <w:r>
              <w:rPr>
                <w:sz w:val="20"/>
                <w:szCs w:val="20"/>
              </w:rPr>
              <w:t xml:space="preserve">Upgrade progress / Complete screen</w:t>
            </w:r>
          </w:p>
        </w:tc>
        <w:tc>
          <w:tcPr>
            <w:tcW w:type="dxa" w:w="4800"/>
            <w:tcMar>
              <w:top w:type="dxa" w:w="80"/>
              <w:left w:type="dxa" w:w="100"/>
              <w:bottom w:type="dxa" w:w="80"/>
              <w:right w:type="dxa" w:w="100"/>
            </w:tcMar>
          </w:tcPr>
          <w:p>
            <w:r>
              <w:rPr>
                <w:sz w:val="20"/>
                <w:szCs w:val="20"/>
              </w:rPr>
              <w:t xml:space="preserve">All selected features report success</w:t>
            </w:r>
          </w:p>
        </w:tc>
      </w:tr>
      <w:tr>
        <w:tc>
          <w:tcPr>
            <w:tcW w:type="dxa" w:w="1000"/>
            <w:shd w:fill="F2F2F2" w:val="clear"/>
            <w:tcMar>
              <w:top w:type="dxa" w:w="80"/>
              <w:left w:type="dxa" w:w="100"/>
              <w:bottom w:type="dxa" w:w="80"/>
              <w:right w:type="dxa" w:w="100"/>
            </w:tcMar>
          </w:tcPr>
          <w:p>
            <w:r>
              <w:rPr>
                <w:sz w:val="20"/>
                <w:szCs w:val="20"/>
              </w:rPr>
              <w:t xml:space="preserve">Fig. 21</w:t>
            </w:r>
          </w:p>
        </w:tc>
        <w:tc>
          <w:tcPr>
            <w:tcW w:type="dxa" w:w="4200"/>
            <w:shd w:fill="F2F2F2" w:val="clear"/>
            <w:tcMar>
              <w:top w:type="dxa" w:w="80"/>
              <w:left w:type="dxa" w:w="100"/>
              <w:bottom w:type="dxa" w:w="80"/>
              <w:right w:type="dxa" w:w="100"/>
            </w:tcMar>
          </w:tcPr>
          <w:p>
            <w:r>
              <w:rPr>
                <w:sz w:val="20"/>
                <w:szCs w:val="20"/>
              </w:rPr>
              <w:t xml:space="preserve">SSMS — Object Explorer post-upgrade</w:t>
            </w:r>
          </w:p>
        </w:tc>
        <w:tc>
          <w:tcPr>
            <w:tcW w:type="dxa" w:w="4800"/>
            <w:shd w:fill="F2F2F2" w:val="clear"/>
            <w:tcMar>
              <w:top w:type="dxa" w:w="80"/>
              <w:left w:type="dxa" w:w="100"/>
              <w:bottom w:type="dxa" w:w="80"/>
              <w:right w:type="dxa" w:w="100"/>
            </w:tcMar>
          </w:tcPr>
          <w:p>
            <w:r>
              <w:rPr>
                <w:sz w:val="20"/>
                <w:szCs w:val="20"/>
              </w:rPr>
              <w:t xml:space="preserve">Instance connects; version string correct</w:t>
            </w:r>
          </w:p>
        </w:tc>
      </w:tr>
      <w:tr>
        <w:tc>
          <w:tcPr>
            <w:tcW w:type="dxa" w:w="1000"/>
            <w:tcMar>
              <w:top w:type="dxa" w:w="80"/>
              <w:left w:type="dxa" w:w="100"/>
              <w:bottom w:type="dxa" w:w="80"/>
              <w:right w:type="dxa" w:w="100"/>
            </w:tcMar>
          </w:tcPr>
          <w:p>
            <w:r>
              <w:rPr>
                <w:sz w:val="20"/>
                <w:szCs w:val="20"/>
              </w:rPr>
              <w:t xml:space="preserve">Fig. 22</w:t>
            </w:r>
          </w:p>
        </w:tc>
        <w:tc>
          <w:tcPr>
            <w:tcW w:type="dxa" w:w="4200"/>
            <w:tcMar>
              <w:top w:type="dxa" w:w="80"/>
              <w:left w:type="dxa" w:w="100"/>
              <w:bottom w:type="dxa" w:w="80"/>
              <w:right w:type="dxa" w:w="100"/>
            </w:tcMar>
          </w:tcPr>
          <w:p>
            <w:r>
              <w:rPr>
                <w:sz w:val="20"/>
                <w:szCs w:val="20"/>
              </w:rPr>
              <w:t xml:space="preserve">Server Properties — General tab</w:t>
            </w:r>
          </w:p>
        </w:tc>
        <w:tc>
          <w:tcPr>
            <w:tcW w:type="dxa" w:w="4800"/>
            <w:tcMar>
              <w:top w:type="dxa" w:w="80"/>
              <w:left w:type="dxa" w:w="100"/>
              <w:bottom w:type="dxa" w:w="80"/>
              <w:right w:type="dxa" w:w="100"/>
            </w:tcMar>
          </w:tcPr>
          <w:p>
            <w:r>
              <w:rPr>
                <w:sz w:val="20"/>
                <w:szCs w:val="20"/>
              </w:rPr>
              <w:t xml:space="preserve">Confirms SQL Server 2022 version/edition</w:t>
            </w:r>
          </w:p>
        </w:tc>
      </w:tr>
      <w:tr>
        <w:tc>
          <w:tcPr>
            <w:tcW w:type="dxa" w:w="1000"/>
            <w:shd w:fill="F2F2F2" w:val="clear"/>
            <w:tcMar>
              <w:top w:type="dxa" w:w="80"/>
              <w:left w:type="dxa" w:w="100"/>
              <w:bottom w:type="dxa" w:w="80"/>
              <w:right w:type="dxa" w:w="100"/>
            </w:tcMar>
          </w:tcPr>
          <w:p>
            <w:r>
              <w:rPr>
                <w:sz w:val="20"/>
                <w:szCs w:val="20"/>
              </w:rPr>
              <w:t xml:space="preserve">Fig. 23</w:t>
            </w:r>
          </w:p>
        </w:tc>
        <w:tc>
          <w:tcPr>
            <w:tcW w:type="dxa" w:w="4200"/>
            <w:shd w:fill="F2F2F2" w:val="clear"/>
            <w:tcMar>
              <w:top w:type="dxa" w:w="80"/>
              <w:left w:type="dxa" w:w="100"/>
              <w:bottom w:type="dxa" w:w="80"/>
              <w:right w:type="dxa" w:w="100"/>
            </w:tcMar>
          </w:tcPr>
          <w:p>
            <w:r>
              <w:rPr>
                <w:sz w:val="20"/>
                <w:szCs w:val="20"/>
              </w:rPr>
              <w:t xml:space="preserve">Database Properties — compatibility level</w:t>
            </w:r>
          </w:p>
        </w:tc>
        <w:tc>
          <w:tcPr>
            <w:tcW w:type="dxa" w:w="4800"/>
            <w:shd w:fill="F2F2F2" w:val="clear"/>
            <w:tcMar>
              <w:top w:type="dxa" w:w="80"/>
              <w:left w:type="dxa" w:w="100"/>
              <w:bottom w:type="dxa" w:w="80"/>
              <w:right w:type="dxa" w:w="100"/>
            </w:tcMar>
          </w:tcPr>
          <w:p>
            <w:r>
              <w:rPr>
                <w:sz w:val="20"/>
                <w:szCs w:val="20"/>
              </w:rPr>
              <w:t xml:space="preserve">Confirms intended compatibility level post-decision</w:t>
            </w:r>
          </w:p>
        </w:tc>
      </w:tr>
      <w:tr>
        <w:tc>
          <w:tcPr>
            <w:tcW w:type="dxa" w:w="1000"/>
            <w:tcMar>
              <w:top w:type="dxa" w:w="80"/>
              <w:left w:type="dxa" w:w="100"/>
              <w:bottom w:type="dxa" w:w="80"/>
              <w:right w:type="dxa" w:w="100"/>
            </w:tcMar>
          </w:tcPr>
          <w:p>
            <w:r>
              <w:rPr>
                <w:sz w:val="20"/>
                <w:szCs w:val="20"/>
              </w:rPr>
              <w:t xml:space="preserve">Fig. 24</w:t>
            </w:r>
          </w:p>
        </w:tc>
        <w:tc>
          <w:tcPr>
            <w:tcW w:type="dxa" w:w="4200"/>
            <w:tcMar>
              <w:top w:type="dxa" w:w="80"/>
              <w:left w:type="dxa" w:w="100"/>
              <w:bottom w:type="dxa" w:w="80"/>
              <w:right w:type="dxa" w:w="100"/>
            </w:tcMar>
          </w:tcPr>
          <w:p>
            <w:r>
              <w:rPr>
                <w:sz w:val="20"/>
                <w:szCs w:val="20"/>
              </w:rPr>
              <w:t xml:space="preserve">SQL Agent Jobs list</w:t>
            </w:r>
          </w:p>
        </w:tc>
        <w:tc>
          <w:tcPr>
            <w:tcW w:type="dxa" w:w="4800"/>
            <w:tcMar>
              <w:top w:type="dxa" w:w="80"/>
              <w:left w:type="dxa" w:w="100"/>
              <w:bottom w:type="dxa" w:w="80"/>
              <w:right w:type="dxa" w:w="100"/>
            </w:tcMar>
          </w:tcPr>
          <w:p>
            <w:r>
              <w:rPr>
                <w:sz w:val="20"/>
                <w:szCs w:val="20"/>
              </w:rPr>
              <w:t xml:space="preserve">All jobs present and enabled as expected</w:t>
            </w:r>
          </w:p>
        </w:tc>
      </w:tr>
      <w:tr>
        <w:tc>
          <w:tcPr>
            <w:tcW w:type="dxa" w:w="1000"/>
            <w:shd w:fill="F2F2F2" w:val="clear"/>
            <w:tcMar>
              <w:top w:type="dxa" w:w="80"/>
              <w:left w:type="dxa" w:w="100"/>
              <w:bottom w:type="dxa" w:w="80"/>
              <w:right w:type="dxa" w:w="100"/>
            </w:tcMar>
          </w:tcPr>
          <w:p>
            <w:r>
              <w:rPr>
                <w:sz w:val="20"/>
                <w:szCs w:val="20"/>
              </w:rPr>
              <w:t xml:space="preserve">Fig. 25</w:t>
            </w:r>
          </w:p>
        </w:tc>
        <w:tc>
          <w:tcPr>
            <w:tcW w:type="dxa" w:w="4200"/>
            <w:shd w:fill="F2F2F2" w:val="clear"/>
            <w:tcMar>
              <w:top w:type="dxa" w:w="80"/>
              <w:left w:type="dxa" w:w="100"/>
              <w:bottom w:type="dxa" w:w="80"/>
              <w:right w:type="dxa" w:w="100"/>
            </w:tcMar>
          </w:tcPr>
          <w:p>
            <w:r>
              <w:rPr>
                <w:sz w:val="20"/>
                <w:szCs w:val="20"/>
              </w:rPr>
              <w:t xml:space="preserve">Query Store dashboard</w:t>
            </w:r>
          </w:p>
        </w:tc>
        <w:tc>
          <w:tcPr>
            <w:tcW w:type="dxa" w:w="4800"/>
            <w:shd w:fill="F2F2F2" w:val="clear"/>
            <w:tcMar>
              <w:top w:type="dxa" w:w="80"/>
              <w:left w:type="dxa" w:w="100"/>
              <w:bottom w:type="dxa" w:w="80"/>
              <w:right w:type="dxa" w:w="100"/>
            </w:tcMar>
          </w:tcPr>
          <w:p>
            <w:r>
              <w:rPr>
                <w:sz w:val="20"/>
                <w:szCs w:val="20"/>
              </w:rPr>
              <w:t xml:space="preserve">Enabled and collecting data (if applicable)</w:t>
            </w:r>
          </w:p>
        </w:tc>
      </w:tr>
      <w:tr>
        <w:tc>
          <w:tcPr>
            <w:tcW w:type="dxa" w:w="1000"/>
            <w:tcMar>
              <w:top w:type="dxa" w:w="80"/>
              <w:left w:type="dxa" w:w="100"/>
              <w:bottom w:type="dxa" w:w="80"/>
              <w:right w:type="dxa" w:w="100"/>
            </w:tcMar>
          </w:tcPr>
          <w:p>
            <w:r>
              <w:rPr>
                <w:sz w:val="20"/>
                <w:szCs w:val="20"/>
              </w:rPr>
              <w:t xml:space="preserve">Fig. 26</w:t>
            </w:r>
          </w:p>
        </w:tc>
        <w:tc>
          <w:tcPr>
            <w:tcW w:type="dxa" w:w="4200"/>
            <w:tcMar>
              <w:top w:type="dxa" w:w="80"/>
              <w:left w:type="dxa" w:w="100"/>
              <w:bottom w:type="dxa" w:w="80"/>
              <w:right w:type="dxa" w:w="100"/>
            </w:tcMar>
          </w:tcPr>
          <w:p>
            <w:r>
              <w:rPr>
                <w:sz w:val="20"/>
                <w:szCs w:val="20"/>
              </w:rPr>
              <w:t xml:space="preserve">Always On Availability Groups dashboard</w:t>
            </w:r>
          </w:p>
        </w:tc>
        <w:tc>
          <w:tcPr>
            <w:tcW w:type="dxa" w:w="4800"/>
            <w:tcMar>
              <w:top w:type="dxa" w:w="80"/>
              <w:left w:type="dxa" w:w="100"/>
              <w:bottom w:type="dxa" w:w="80"/>
              <w:right w:type="dxa" w:w="100"/>
            </w:tcMar>
          </w:tcPr>
          <w:p>
            <w:r>
              <w:rPr>
                <w:sz w:val="20"/>
                <w:szCs w:val="20"/>
              </w:rPr>
              <w:t xml:space="preserve">All replicas healthy/synchronized (if applicable)</w:t>
            </w:r>
          </w:p>
        </w:tc>
      </w:tr>
      <w:tr>
        <w:tc>
          <w:tcPr>
            <w:tcW w:type="dxa" w:w="1000"/>
            <w:shd w:fill="F2F2F2" w:val="clear"/>
            <w:tcMar>
              <w:top w:type="dxa" w:w="80"/>
              <w:left w:type="dxa" w:w="100"/>
              <w:bottom w:type="dxa" w:w="80"/>
              <w:right w:type="dxa" w:w="100"/>
            </w:tcMar>
          </w:tcPr>
          <w:p>
            <w:r>
              <w:rPr>
                <w:sz w:val="20"/>
                <w:szCs w:val="20"/>
              </w:rPr>
              <w:t xml:space="preserve">Fig. 27</w:t>
            </w:r>
          </w:p>
        </w:tc>
        <w:tc>
          <w:tcPr>
            <w:tcW w:type="dxa" w:w="4200"/>
            <w:shd w:fill="F2F2F2" w:val="clear"/>
            <w:tcMar>
              <w:top w:type="dxa" w:w="80"/>
              <w:left w:type="dxa" w:w="100"/>
              <w:bottom w:type="dxa" w:w="80"/>
              <w:right w:type="dxa" w:w="100"/>
            </w:tcMar>
          </w:tcPr>
          <w:p>
            <w:r>
              <w:rPr>
                <w:sz w:val="20"/>
                <w:szCs w:val="20"/>
              </w:rPr>
              <w:t xml:space="preserve">Event Viewer — System/Application</w:t>
            </w:r>
          </w:p>
        </w:tc>
        <w:tc>
          <w:tcPr>
            <w:tcW w:type="dxa" w:w="4800"/>
            <w:shd w:fill="F2F2F2" w:val="clear"/>
            <w:tcMar>
              <w:top w:type="dxa" w:w="80"/>
              <w:left w:type="dxa" w:w="100"/>
              <w:bottom w:type="dxa" w:w="80"/>
              <w:right w:type="dxa" w:w="100"/>
            </w:tcMar>
          </w:tcPr>
          <w:p>
            <w:r>
              <w:rPr>
                <w:sz w:val="20"/>
                <w:szCs w:val="20"/>
              </w:rPr>
              <w:t xml:space="preserve">No new unresolved critical errors</w:t>
            </w:r>
          </w:p>
        </w:tc>
      </w:tr>
      <w:tr>
        <w:tc>
          <w:tcPr>
            <w:tcW w:type="dxa" w:w="1000"/>
            <w:tcMar>
              <w:top w:type="dxa" w:w="80"/>
              <w:left w:type="dxa" w:w="100"/>
              <w:bottom w:type="dxa" w:w="80"/>
              <w:right w:type="dxa" w:w="100"/>
            </w:tcMar>
          </w:tcPr>
          <w:p>
            <w:r>
              <w:rPr>
                <w:sz w:val="20"/>
                <w:szCs w:val="20"/>
              </w:rPr>
              <w:t xml:space="preserve">Fig. 28</w:t>
            </w:r>
          </w:p>
        </w:tc>
        <w:tc>
          <w:tcPr>
            <w:tcW w:type="dxa" w:w="4200"/>
            <w:tcMar>
              <w:top w:type="dxa" w:w="80"/>
              <w:left w:type="dxa" w:w="100"/>
              <w:bottom w:type="dxa" w:w="80"/>
              <w:right w:type="dxa" w:w="100"/>
            </w:tcMar>
          </w:tcPr>
          <w:p>
            <w:r>
              <w:rPr>
                <w:sz w:val="20"/>
                <w:szCs w:val="20"/>
              </w:rPr>
              <w:t xml:space="preserve">Services console</w:t>
            </w:r>
          </w:p>
        </w:tc>
        <w:tc>
          <w:tcPr>
            <w:tcW w:type="dxa" w:w="4800"/>
            <w:tcMar>
              <w:top w:type="dxa" w:w="80"/>
              <w:left w:type="dxa" w:w="100"/>
              <w:bottom w:type="dxa" w:w="80"/>
              <w:right w:type="dxa" w:w="100"/>
            </w:tcMar>
          </w:tcPr>
          <w:p>
            <w:r>
              <w:rPr>
                <w:sz w:val="20"/>
                <w:szCs w:val="20"/>
              </w:rPr>
              <w:t xml:space="preserve">All expected services Running / Automatic</w:t>
            </w:r>
          </w:p>
        </w:tc>
      </w:tr>
      <w:tr>
        <w:tc>
          <w:tcPr>
            <w:tcW w:type="dxa" w:w="1000"/>
            <w:shd w:fill="F2F2F2" w:val="clear"/>
            <w:tcMar>
              <w:top w:type="dxa" w:w="80"/>
              <w:left w:type="dxa" w:w="100"/>
              <w:bottom w:type="dxa" w:w="80"/>
              <w:right w:type="dxa" w:w="100"/>
            </w:tcMar>
          </w:tcPr>
          <w:p>
            <w:r>
              <w:rPr>
                <w:sz w:val="20"/>
                <w:szCs w:val="20"/>
              </w:rPr>
              <w:t xml:space="preserve">Fig. 29</w:t>
            </w:r>
          </w:p>
        </w:tc>
        <w:tc>
          <w:tcPr>
            <w:tcW w:type="dxa" w:w="4200"/>
            <w:shd w:fill="F2F2F2" w:val="clear"/>
            <w:tcMar>
              <w:top w:type="dxa" w:w="80"/>
              <w:left w:type="dxa" w:w="100"/>
              <w:bottom w:type="dxa" w:w="80"/>
              <w:right w:type="dxa" w:w="100"/>
            </w:tcMar>
          </w:tcPr>
          <w:p>
            <w:r>
              <w:rPr>
                <w:sz w:val="20"/>
                <w:szCs w:val="20"/>
              </w:rPr>
              <w:t xml:space="preserve">Windows Update settings</w:t>
            </w:r>
          </w:p>
        </w:tc>
        <w:tc>
          <w:tcPr>
            <w:tcW w:type="dxa" w:w="4800"/>
            <w:shd w:fill="F2F2F2" w:val="clear"/>
            <w:tcMar>
              <w:top w:type="dxa" w:w="80"/>
              <w:left w:type="dxa" w:w="100"/>
              <w:bottom w:type="dxa" w:w="80"/>
              <w:right w:type="dxa" w:w="100"/>
            </w:tcMar>
          </w:tcPr>
          <w:p>
            <w:r>
              <w:rPr>
                <w:sz w:val="20"/>
                <w:szCs w:val="20"/>
              </w:rPr>
              <w:t xml:space="preserve">Confirms patch status post-upgrade</w:t>
            </w:r>
          </w:p>
        </w:tc>
      </w:tr>
      <w:tr>
        <w:tc>
          <w:tcPr>
            <w:tcW w:type="dxa" w:w="1000"/>
            <w:tcMar>
              <w:top w:type="dxa" w:w="80"/>
              <w:left w:type="dxa" w:w="100"/>
              <w:bottom w:type="dxa" w:w="80"/>
              <w:right w:type="dxa" w:w="100"/>
            </w:tcMar>
          </w:tcPr>
          <w:p>
            <w:r>
              <w:rPr>
                <w:sz w:val="20"/>
                <w:szCs w:val="20"/>
              </w:rPr>
              <w:t xml:space="preserve">Fig. 30</w:t>
            </w:r>
          </w:p>
        </w:tc>
        <w:tc>
          <w:tcPr>
            <w:tcW w:type="dxa" w:w="4200"/>
            <w:tcMar>
              <w:top w:type="dxa" w:w="80"/>
              <w:left w:type="dxa" w:w="100"/>
              <w:bottom w:type="dxa" w:w="80"/>
              <w:right w:type="dxa" w:w="100"/>
            </w:tcMar>
          </w:tcPr>
          <w:p>
            <w:r>
              <w:rPr>
                <w:sz w:val="20"/>
                <w:szCs w:val="20"/>
              </w:rPr>
              <w:t xml:space="preserve">Failover Cluster Manager</w:t>
            </w:r>
          </w:p>
        </w:tc>
        <w:tc>
          <w:tcPr>
            <w:tcW w:type="dxa" w:w="4800"/>
            <w:tcMar>
              <w:top w:type="dxa" w:w="80"/>
              <w:left w:type="dxa" w:w="100"/>
              <w:bottom w:type="dxa" w:w="80"/>
              <w:right w:type="dxa" w:w="100"/>
            </w:tcMar>
          </w:tcPr>
          <w:p>
            <w:r>
              <w:rPr>
                <w:sz w:val="20"/>
                <w:szCs w:val="20"/>
              </w:rPr>
              <w:t xml:space="preserve">Cluster healthy (if FCI in use)</w:t>
            </w:r>
          </w:p>
        </w:tc>
      </w:tr>
    </w:tbl>
    <w:p>
      <w:r>
        <w:br w:type="page"/>
      </w:r>
    </w:p>
    <w:p>
      <w:pPr>
        <w:pStyle w:val="Heading1"/>
        <w:spacing w:after="200" w:before="400"/>
      </w:pPr>
      <w:r>
        <w:t xml:space="preserve">Architecture and Workflow Diagrams</w:t>
      </w:r>
    </w:p>
    <w:p>
      <w:pPr>
        <w:spacing w:after="150"/>
      </w:pPr>
      <w:r>
        <w:t xml:space="preserve">The following diagrams should accompany this manual as separate visio/drawio attachments referenced by the figure numbers below. Recommended content for each is summarized so the diagram author has a clear brief.</w:t>
      </w:r>
    </w:p>
    <w:p>
      <w:pPr>
        <w:pStyle w:val="ListParagraph"/>
        <w:numPr>
          <w:ilvl w:val="0"/>
          <w:numId w:val="2"/>
        </w:numPr>
        <w:spacing w:after="60"/>
      </w:pPr>
      <w:r>
        <w:t xml:space="preserve">Diagram A — Existing Environment: current Windows Server 2016 / SQL Server 2016 topology including AG/FCI/replication relationships, network zones, and dependent applications.</w:t>
      </w:r>
    </w:p>
    <w:p>
      <w:pPr>
        <w:pStyle w:val="ListParagraph"/>
        <w:numPr>
          <w:ilvl w:val="0"/>
          <w:numId w:val="2"/>
        </w:numPr>
        <w:spacing w:after="60"/>
      </w:pPr>
      <w:r>
        <w:t xml:space="preserve">Diagram B — Upgrade Workflow: end-to-end sequence from CAB approval through backup, OS upgrade, SQL upgrade, validation, and sign-off.</w:t>
      </w:r>
    </w:p>
    <w:p>
      <w:pPr>
        <w:pStyle w:val="ListParagraph"/>
        <w:numPr>
          <w:ilvl w:val="0"/>
          <w:numId w:val="2"/>
        </w:numPr>
        <w:spacing w:after="60"/>
      </w:pPr>
      <w:r>
        <w:t xml:space="preserve">Diagram C — Decision Tree: go/no-go decision points at each major step, referencing Section 6/SQL Upgrade Procedure step numbers.</w:t>
      </w:r>
    </w:p>
    <w:p>
      <w:pPr>
        <w:pStyle w:val="ListParagraph"/>
        <w:numPr>
          <w:ilvl w:val="0"/>
          <w:numId w:val="2"/>
        </w:numPr>
        <w:spacing w:after="60"/>
      </w:pPr>
      <w:r>
        <w:t xml:space="preserve">Diagram D — Rollback Workflow: trigger conditions mapped to the corresponding rollback action from the Rollback Decision Matrix.</w:t>
      </w:r>
    </w:p>
    <w:p>
      <w:pPr>
        <w:pStyle w:val="ListParagraph"/>
        <w:numPr>
          <w:ilvl w:val="0"/>
          <w:numId w:val="2"/>
        </w:numPr>
        <w:spacing w:after="60"/>
      </w:pPr>
      <w:r>
        <w:t xml:space="preserve">Diagram E — Validation Workflow: sequence of validation checks and required evidence before change closure.</w:t>
      </w:r>
    </w:p>
    <w:p>
      <w:pPr>
        <w:pStyle w:val="ListParagraph"/>
        <w:numPr>
          <w:ilvl w:val="0"/>
          <w:numId w:val="2"/>
        </w:numPr>
        <w:spacing w:after="60"/>
      </w:pPr>
      <w:r>
        <w:t xml:space="preserve">Diagram F — SQL Architecture: instance/database/AG topology post-upgrade.</w:t>
      </w:r>
    </w:p>
    <w:p>
      <w:pPr>
        <w:pStyle w:val="ListParagraph"/>
        <w:numPr>
          <w:ilvl w:val="0"/>
          <w:numId w:val="2"/>
        </w:numPr>
        <w:spacing w:after="60"/>
      </w:pPr>
      <w:r>
        <w:t xml:space="preserve">Diagram G — Windows Upgrade Process: setup.exe phases (compatibility scan → install → configure → first logon).</w:t>
      </w:r>
    </w:p>
    <w:p>
      <w:pPr>
        <w:pStyle w:val="ListParagraph"/>
        <w:numPr>
          <w:ilvl w:val="0"/>
          <w:numId w:val="2"/>
        </w:numPr>
        <w:spacing w:after="60"/>
      </w:pPr>
      <w:r>
        <w:t xml:space="preserve">Diagram H — Backup and Recovery Flow: backup types, retention, and restore paths mapped to RTO/RPO.</w:t>
      </w:r>
    </w:p>
    <w:p>
      <w:pPr>
        <w:pStyle w:val="ListParagraph"/>
        <w:numPr>
          <w:ilvl w:val="0"/>
          <w:numId w:val="2"/>
        </w:numPr>
        <w:spacing w:after="60"/>
      </w:pPr>
      <w:r>
        <w:t xml:space="preserve">Diagram I — Service Dependency Map: upstream/downstream service dependencies to sequence multi-server changes correctly.</w:t>
      </w:r>
    </w:p>
    <w:p>
      <w:r>
        <w:br w:type="page"/>
      </w:r>
    </w:p>
    <w:p>
      <w:pPr>
        <w:pStyle w:val="Heading1"/>
        <w:spacing w:after="200" w:before="400"/>
      </w:pPr>
      <w:r>
        <w:t xml:space="preserve">Appendices</w:t>
      </w:r>
    </w:p>
    <w:p>
      <w:pPr>
        <w:pStyle w:val="Heading2"/>
        <w:spacing w:after="150" w:before="300"/>
      </w:pPr>
      <w:r>
        <w:t xml:space="preserve">Appendix A — PowerShell Command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7000"/>
            <w:shd w:fill="1F3864" w:val="clear"/>
            <w:tcMar>
              <w:top w:type="dxa" w:w="80"/>
              <w:left w:type="dxa" w:w="100"/>
              <w:bottom w:type="dxa" w:w="80"/>
              <w:right w:type="dxa" w:w="100"/>
            </w:tcMar>
            <w:vAlign w:val="center"/>
          </w:tcPr>
          <w:p>
            <w:r>
              <w:rPr>
                <w:b/>
                <w:bCs/>
                <w:color w:val="FFFFFF"/>
                <w:sz w:val="20"/>
                <w:szCs w:val="20"/>
              </w:rPr>
              <w:t xml:space="preserve">Command</w:t>
            </w:r>
          </w:p>
        </w:tc>
      </w:tr>
      <w:tr>
        <w:tc>
          <w:tcPr>
            <w:tcW w:type="dxa" w:w="3000"/>
            <w:tcMar>
              <w:top w:type="dxa" w:w="80"/>
              <w:left w:type="dxa" w:w="100"/>
              <w:bottom w:type="dxa" w:w="80"/>
              <w:right w:type="dxa" w:w="100"/>
            </w:tcMar>
          </w:tcPr>
          <w:p>
            <w:r>
              <w:rPr>
                <w:sz w:val="20"/>
                <w:szCs w:val="20"/>
              </w:rPr>
              <w:t xml:space="preserve">OS version/build</w:t>
            </w:r>
          </w:p>
        </w:tc>
        <w:tc>
          <w:tcPr>
            <w:tcW w:type="dxa" w:w="7000"/>
            <w:tcMar>
              <w:top w:type="dxa" w:w="80"/>
              <w:left w:type="dxa" w:w="100"/>
              <w:bottom w:type="dxa" w:w="80"/>
              <w:right w:type="dxa" w:w="100"/>
            </w:tcMar>
          </w:tcPr>
          <w:p>
            <w:r>
              <w:rPr>
                <w:sz w:val="20"/>
                <w:szCs w:val="20"/>
              </w:rPr>
              <w:t xml:space="preserve">Get-ComputerInfo | Select WindowsProductName, WindowsVersion, OsBuildNumber</w:t>
            </w:r>
          </w:p>
        </w:tc>
      </w:tr>
      <w:tr>
        <w:tc>
          <w:tcPr>
            <w:tcW w:type="dxa" w:w="3000"/>
            <w:shd w:fill="F2F2F2" w:val="clear"/>
            <w:tcMar>
              <w:top w:type="dxa" w:w="80"/>
              <w:left w:type="dxa" w:w="100"/>
              <w:bottom w:type="dxa" w:w="80"/>
              <w:right w:type="dxa" w:w="100"/>
            </w:tcMar>
          </w:tcPr>
          <w:p>
            <w:r>
              <w:rPr>
                <w:sz w:val="20"/>
                <w:szCs w:val="20"/>
              </w:rPr>
              <w:t xml:space="preserve">Installed roles/features</w:t>
            </w:r>
          </w:p>
        </w:tc>
        <w:tc>
          <w:tcPr>
            <w:tcW w:type="dxa" w:w="7000"/>
            <w:shd w:fill="F2F2F2" w:val="clear"/>
            <w:tcMar>
              <w:top w:type="dxa" w:w="80"/>
              <w:left w:type="dxa" w:w="100"/>
              <w:bottom w:type="dxa" w:w="80"/>
              <w:right w:type="dxa" w:w="100"/>
            </w:tcMar>
          </w:tcPr>
          <w:p>
            <w:r>
              <w:rPr>
                <w:sz w:val="20"/>
                <w:szCs w:val="20"/>
              </w:rPr>
              <w:t xml:space="preserve">Get-WindowsFeature | Where-Object InstallState -eq 'Installed'</w:t>
            </w:r>
          </w:p>
        </w:tc>
      </w:tr>
      <w:tr>
        <w:tc>
          <w:tcPr>
            <w:tcW w:type="dxa" w:w="3000"/>
            <w:tcMar>
              <w:top w:type="dxa" w:w="80"/>
              <w:left w:type="dxa" w:w="100"/>
              <w:bottom w:type="dxa" w:w="80"/>
              <w:right w:type="dxa" w:w="100"/>
            </w:tcMar>
          </w:tcPr>
          <w:p>
            <w:r>
              <w:rPr>
                <w:sz w:val="20"/>
                <w:szCs w:val="20"/>
              </w:rPr>
              <w:t xml:space="preserve">Pending reboot check</w:t>
            </w:r>
          </w:p>
        </w:tc>
        <w:tc>
          <w:tcPr>
            <w:tcW w:type="dxa" w:w="7000"/>
            <w:tcMar>
              <w:top w:type="dxa" w:w="80"/>
              <w:left w:type="dxa" w:w="100"/>
              <w:bottom w:type="dxa" w:w="80"/>
              <w:right w:type="dxa" w:w="100"/>
            </w:tcMar>
          </w:tcPr>
          <w:p>
            <w:r>
              <w:rPr>
                <w:sz w:val="20"/>
                <w:szCs w:val="20"/>
              </w:rPr>
              <w:t xml:space="preserve">Get-ItemProperty 'HKLM:\SOFTWARE\Microsoft\Windows\CurrentVersion\Component Based Servicing\RebootPending' -EA SilentlyContinue</w:t>
            </w:r>
          </w:p>
        </w:tc>
      </w:tr>
      <w:tr>
        <w:tc>
          <w:tcPr>
            <w:tcW w:type="dxa" w:w="3000"/>
            <w:shd w:fill="F2F2F2" w:val="clear"/>
            <w:tcMar>
              <w:top w:type="dxa" w:w="80"/>
              <w:left w:type="dxa" w:w="100"/>
              <w:bottom w:type="dxa" w:w="80"/>
              <w:right w:type="dxa" w:w="100"/>
            </w:tcMar>
          </w:tcPr>
          <w:p>
            <w:r>
              <w:rPr>
                <w:sz w:val="20"/>
                <w:szCs w:val="20"/>
              </w:rPr>
              <w:t xml:space="preserve">Disk free space</w:t>
            </w:r>
          </w:p>
        </w:tc>
        <w:tc>
          <w:tcPr>
            <w:tcW w:type="dxa" w:w="7000"/>
            <w:shd w:fill="F2F2F2" w:val="clear"/>
            <w:tcMar>
              <w:top w:type="dxa" w:w="80"/>
              <w:left w:type="dxa" w:w="100"/>
              <w:bottom w:type="dxa" w:w="80"/>
              <w:right w:type="dxa" w:w="100"/>
            </w:tcMar>
          </w:tcPr>
          <w:p>
            <w:r>
              <w:rPr>
                <w:sz w:val="20"/>
                <w:szCs w:val="20"/>
              </w:rPr>
              <w:t xml:space="preserve">Get-PSDrive C | Select Used, Free</w:t>
            </w:r>
          </w:p>
        </w:tc>
      </w:tr>
      <w:tr>
        <w:tc>
          <w:tcPr>
            <w:tcW w:type="dxa" w:w="3000"/>
            <w:tcMar>
              <w:top w:type="dxa" w:w="80"/>
              <w:left w:type="dxa" w:w="100"/>
              <w:bottom w:type="dxa" w:w="80"/>
              <w:right w:type="dxa" w:w="100"/>
            </w:tcMar>
          </w:tcPr>
          <w:p>
            <w:r>
              <w:rPr>
                <w:sz w:val="20"/>
                <w:szCs w:val="20"/>
              </w:rPr>
              <w:t xml:space="preserve">BitLocker status/suspend</w:t>
            </w:r>
          </w:p>
        </w:tc>
        <w:tc>
          <w:tcPr>
            <w:tcW w:type="dxa" w:w="7000"/>
            <w:tcMar>
              <w:top w:type="dxa" w:w="80"/>
              <w:left w:type="dxa" w:w="100"/>
              <w:bottom w:type="dxa" w:w="80"/>
              <w:right w:type="dxa" w:w="100"/>
            </w:tcMar>
          </w:tcPr>
          <w:p>
            <w:r>
              <w:rPr>
                <w:sz w:val="20"/>
                <w:szCs w:val="20"/>
              </w:rPr>
              <w:t xml:space="preserve">Get-BitLockerVolume ; Suspend-BitLocker -MountPoint 'C:' -RebootCount 1</w:t>
            </w:r>
          </w:p>
        </w:tc>
      </w:tr>
      <w:tr>
        <w:tc>
          <w:tcPr>
            <w:tcW w:type="dxa" w:w="3000"/>
            <w:shd w:fill="F2F2F2" w:val="clear"/>
            <w:tcMar>
              <w:top w:type="dxa" w:w="80"/>
              <w:left w:type="dxa" w:w="100"/>
              <w:bottom w:type="dxa" w:w="80"/>
              <w:right w:type="dxa" w:w="100"/>
            </w:tcMar>
          </w:tcPr>
          <w:p>
            <w:r>
              <w:rPr>
                <w:sz w:val="20"/>
                <w:szCs w:val="20"/>
              </w:rPr>
              <w:t xml:space="preserve">Snapshot creation (PowerCLI)</w:t>
            </w:r>
          </w:p>
        </w:tc>
        <w:tc>
          <w:tcPr>
            <w:tcW w:type="dxa" w:w="7000"/>
            <w:shd w:fill="F2F2F2" w:val="clear"/>
            <w:tcMar>
              <w:top w:type="dxa" w:w="80"/>
              <w:left w:type="dxa" w:w="100"/>
              <w:bottom w:type="dxa" w:w="80"/>
              <w:right w:type="dxa" w:w="100"/>
            </w:tcMar>
          </w:tcPr>
          <w:p>
            <w:r>
              <w:rPr>
                <w:sz w:val="20"/>
                <w:szCs w:val="20"/>
              </w:rPr>
              <w:t xml:space="preserve">New-Snapshot -VM &lt;VMName&gt; -Name '&lt;Label&gt;' -Quiesce</w:t>
            </w:r>
          </w:p>
        </w:tc>
      </w:tr>
      <w:tr>
        <w:tc>
          <w:tcPr>
            <w:tcW w:type="dxa" w:w="3000"/>
            <w:tcMar>
              <w:top w:type="dxa" w:w="80"/>
              <w:left w:type="dxa" w:w="100"/>
              <w:bottom w:type="dxa" w:w="80"/>
              <w:right w:type="dxa" w:w="100"/>
            </w:tcMar>
          </w:tcPr>
          <w:p>
            <w:r>
              <w:rPr>
                <w:sz w:val="20"/>
                <w:szCs w:val="20"/>
              </w:rPr>
              <w:t xml:space="preserve">System state backup</w:t>
            </w:r>
          </w:p>
        </w:tc>
        <w:tc>
          <w:tcPr>
            <w:tcW w:type="dxa" w:w="7000"/>
            <w:tcMar>
              <w:top w:type="dxa" w:w="80"/>
              <w:left w:type="dxa" w:w="100"/>
              <w:bottom w:type="dxa" w:w="80"/>
              <w:right w:type="dxa" w:w="100"/>
            </w:tcMar>
          </w:tcPr>
          <w:p>
            <w:r>
              <w:rPr>
                <w:sz w:val="20"/>
                <w:szCs w:val="20"/>
              </w:rPr>
              <w:t xml:space="preserve">wbadmin start systemstatebackup -backupTarget:E: -quiet</w:t>
            </w:r>
          </w:p>
        </w:tc>
      </w:tr>
      <w:tr>
        <w:tc>
          <w:tcPr>
            <w:tcW w:type="dxa" w:w="3000"/>
            <w:shd w:fill="F2F2F2" w:val="clear"/>
            <w:tcMar>
              <w:top w:type="dxa" w:w="80"/>
              <w:left w:type="dxa" w:w="100"/>
              <w:bottom w:type="dxa" w:w="80"/>
              <w:right w:type="dxa" w:w="100"/>
            </w:tcMar>
          </w:tcPr>
          <w:p>
            <w:r>
              <w:rPr>
                <w:sz w:val="20"/>
                <w:szCs w:val="20"/>
              </w:rPr>
              <w:t xml:space="preserve">Activation status</w:t>
            </w:r>
          </w:p>
        </w:tc>
        <w:tc>
          <w:tcPr>
            <w:tcW w:type="dxa" w:w="7000"/>
            <w:shd w:fill="F2F2F2" w:val="clear"/>
            <w:tcMar>
              <w:top w:type="dxa" w:w="80"/>
              <w:left w:type="dxa" w:w="100"/>
              <w:bottom w:type="dxa" w:w="80"/>
              <w:right w:type="dxa" w:w="100"/>
            </w:tcMar>
          </w:tcPr>
          <w:p>
            <w:r>
              <w:rPr>
                <w:sz w:val="20"/>
                <w:szCs w:val="20"/>
              </w:rPr>
              <w:t xml:space="preserve">slmgr /dli</w:t>
            </w:r>
          </w:p>
        </w:tc>
      </w:tr>
      <w:tr>
        <w:tc>
          <w:tcPr>
            <w:tcW w:type="dxa" w:w="3000"/>
            <w:tcMar>
              <w:top w:type="dxa" w:w="80"/>
              <w:left w:type="dxa" w:w="100"/>
              <w:bottom w:type="dxa" w:w="80"/>
              <w:right w:type="dxa" w:w="100"/>
            </w:tcMar>
          </w:tcPr>
          <w:p>
            <w:r>
              <w:rPr>
                <w:sz w:val="20"/>
                <w:szCs w:val="20"/>
              </w:rPr>
              <w:t xml:space="preserve">Compatibility scan only</w:t>
            </w:r>
          </w:p>
        </w:tc>
        <w:tc>
          <w:tcPr>
            <w:tcW w:type="dxa" w:w="7000"/>
            <w:tcMar>
              <w:top w:type="dxa" w:w="80"/>
              <w:left w:type="dxa" w:w="100"/>
              <w:bottom w:type="dxa" w:w="80"/>
              <w:right w:type="dxa" w:w="100"/>
            </w:tcMar>
          </w:tcPr>
          <w:p>
            <w:r>
              <w:rPr>
                <w:sz w:val="20"/>
                <w:szCs w:val="20"/>
              </w:rPr>
              <w:t xml:space="preserve">setup.exe /Auto Upgrade /DynamicUpdate Disable /Compat ScanOnly</w:t>
            </w:r>
          </w:p>
        </w:tc>
      </w:tr>
    </w:tbl>
    <w:p>
      <w:pPr>
        <w:pStyle w:val="Heading2"/>
        <w:spacing w:after="150" w:before="300"/>
      </w:pPr>
      <w:r>
        <w:t xml:space="preserve">Appendix B — SQL Query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7000"/>
            <w:shd w:fill="1F3864" w:val="clear"/>
            <w:tcMar>
              <w:top w:type="dxa" w:w="80"/>
              <w:left w:type="dxa" w:w="100"/>
              <w:bottom w:type="dxa" w:w="80"/>
              <w:right w:type="dxa" w:w="100"/>
            </w:tcMar>
            <w:vAlign w:val="center"/>
          </w:tcPr>
          <w:p>
            <w:r>
              <w:rPr>
                <w:b/>
                <w:bCs/>
                <w:color w:val="FFFFFF"/>
                <w:sz w:val="20"/>
                <w:szCs w:val="20"/>
              </w:rPr>
              <w:t xml:space="preserve">Query</w:t>
            </w:r>
          </w:p>
        </w:tc>
      </w:tr>
      <w:tr>
        <w:tc>
          <w:tcPr>
            <w:tcW w:type="dxa" w:w="3000"/>
            <w:tcMar>
              <w:top w:type="dxa" w:w="80"/>
              <w:left w:type="dxa" w:w="100"/>
              <w:bottom w:type="dxa" w:w="80"/>
              <w:right w:type="dxa" w:w="100"/>
            </w:tcMar>
          </w:tcPr>
          <w:p>
            <w:r>
              <w:rPr>
                <w:sz w:val="20"/>
                <w:szCs w:val="20"/>
              </w:rPr>
              <w:t xml:space="preserve">Version check</w:t>
            </w:r>
          </w:p>
        </w:tc>
        <w:tc>
          <w:tcPr>
            <w:tcW w:type="dxa" w:w="7000"/>
            <w:tcMar>
              <w:top w:type="dxa" w:w="80"/>
              <w:left w:type="dxa" w:w="100"/>
              <w:bottom w:type="dxa" w:w="80"/>
              <w:right w:type="dxa" w:w="100"/>
            </w:tcMar>
          </w:tcPr>
          <w:p>
            <w:r>
              <w:rPr>
                <w:sz w:val="20"/>
                <w:szCs w:val="20"/>
              </w:rPr>
              <w:t xml:space="preserve">SELECT @@VERSION;</w:t>
            </w:r>
          </w:p>
        </w:tc>
      </w:tr>
      <w:tr>
        <w:tc>
          <w:tcPr>
            <w:tcW w:type="dxa" w:w="3000"/>
            <w:shd w:fill="F2F2F2" w:val="clear"/>
            <w:tcMar>
              <w:top w:type="dxa" w:w="80"/>
              <w:left w:type="dxa" w:w="100"/>
              <w:bottom w:type="dxa" w:w="80"/>
              <w:right w:type="dxa" w:w="100"/>
            </w:tcMar>
          </w:tcPr>
          <w:p>
            <w:r>
              <w:rPr>
                <w:sz w:val="20"/>
                <w:szCs w:val="20"/>
              </w:rPr>
              <w:t xml:space="preserve">Integrity check</w:t>
            </w:r>
          </w:p>
        </w:tc>
        <w:tc>
          <w:tcPr>
            <w:tcW w:type="dxa" w:w="7000"/>
            <w:shd w:fill="F2F2F2" w:val="clear"/>
            <w:tcMar>
              <w:top w:type="dxa" w:w="80"/>
              <w:left w:type="dxa" w:w="100"/>
              <w:bottom w:type="dxa" w:w="80"/>
              <w:right w:type="dxa" w:w="100"/>
            </w:tcMar>
          </w:tcPr>
          <w:p>
            <w:r>
              <w:rPr>
                <w:sz w:val="20"/>
                <w:szCs w:val="20"/>
              </w:rPr>
              <w:t xml:space="preserve">DBCC CHECKDB WITH NO_INFOMSGS, ALL_ERRORMSGS;</w:t>
            </w:r>
          </w:p>
        </w:tc>
      </w:tr>
      <w:tr>
        <w:tc>
          <w:tcPr>
            <w:tcW w:type="dxa" w:w="3000"/>
            <w:tcMar>
              <w:top w:type="dxa" w:w="80"/>
              <w:left w:type="dxa" w:w="100"/>
              <w:bottom w:type="dxa" w:w="80"/>
              <w:right w:type="dxa" w:w="100"/>
            </w:tcMar>
          </w:tcPr>
          <w:p>
            <w:r>
              <w:rPr>
                <w:sz w:val="20"/>
                <w:szCs w:val="20"/>
              </w:rPr>
              <w:t xml:space="preserve">Compatibility levels</w:t>
            </w:r>
          </w:p>
        </w:tc>
        <w:tc>
          <w:tcPr>
            <w:tcW w:type="dxa" w:w="7000"/>
            <w:tcMar>
              <w:top w:type="dxa" w:w="80"/>
              <w:left w:type="dxa" w:w="100"/>
              <w:bottom w:type="dxa" w:w="80"/>
              <w:right w:type="dxa" w:w="100"/>
            </w:tcMar>
          </w:tcPr>
          <w:p>
            <w:r>
              <w:rPr>
                <w:sz w:val="20"/>
                <w:szCs w:val="20"/>
              </w:rPr>
              <w:t xml:space="preserve">SELECT name, compatibility_level FROM sys.databases;</w:t>
            </w:r>
          </w:p>
        </w:tc>
      </w:tr>
      <w:tr>
        <w:tc>
          <w:tcPr>
            <w:tcW w:type="dxa" w:w="3000"/>
            <w:shd w:fill="F2F2F2" w:val="clear"/>
            <w:tcMar>
              <w:top w:type="dxa" w:w="80"/>
              <w:left w:type="dxa" w:w="100"/>
              <w:bottom w:type="dxa" w:w="80"/>
              <w:right w:type="dxa" w:w="100"/>
            </w:tcMar>
          </w:tcPr>
          <w:p>
            <w:r>
              <w:rPr>
                <w:sz w:val="20"/>
                <w:szCs w:val="20"/>
              </w:rPr>
              <w:t xml:space="preserve">AG replica health</w:t>
            </w:r>
          </w:p>
        </w:tc>
        <w:tc>
          <w:tcPr>
            <w:tcW w:type="dxa" w:w="7000"/>
            <w:shd w:fill="F2F2F2" w:val="clear"/>
            <w:tcMar>
              <w:top w:type="dxa" w:w="80"/>
              <w:left w:type="dxa" w:w="100"/>
              <w:bottom w:type="dxa" w:w="80"/>
              <w:right w:type="dxa" w:w="100"/>
            </w:tcMar>
          </w:tcPr>
          <w:p>
            <w:r>
              <w:rPr>
                <w:sz w:val="20"/>
                <w:szCs w:val="20"/>
              </w:rPr>
              <w:t xml:space="preserve">SELECT * FROM sys.dm_hadr_availability_replica_states;</w:t>
            </w:r>
          </w:p>
        </w:tc>
      </w:tr>
      <w:tr>
        <w:tc>
          <w:tcPr>
            <w:tcW w:type="dxa" w:w="3000"/>
            <w:tcMar>
              <w:top w:type="dxa" w:w="80"/>
              <w:left w:type="dxa" w:w="100"/>
              <w:bottom w:type="dxa" w:w="80"/>
              <w:right w:type="dxa" w:w="100"/>
            </w:tcMar>
          </w:tcPr>
          <w:p>
            <w:r>
              <w:rPr>
                <w:sz w:val="20"/>
                <w:szCs w:val="20"/>
              </w:rPr>
              <w:t xml:space="preserve">Backup (full)</w:t>
            </w:r>
          </w:p>
        </w:tc>
        <w:tc>
          <w:tcPr>
            <w:tcW w:type="dxa" w:w="7000"/>
            <w:tcMar>
              <w:top w:type="dxa" w:w="80"/>
              <w:left w:type="dxa" w:w="100"/>
              <w:bottom w:type="dxa" w:w="80"/>
              <w:right w:type="dxa" w:w="100"/>
            </w:tcMar>
          </w:tcPr>
          <w:p>
            <w:r>
              <w:rPr>
                <w:sz w:val="20"/>
                <w:szCs w:val="20"/>
              </w:rPr>
              <w:t xml:space="preserve">BACKUP DATABASE [&lt;DB&gt;] TO DISK = '&lt;path&gt;' WITH COMPRESSION, CHECKSUM;</w:t>
            </w:r>
          </w:p>
        </w:tc>
      </w:tr>
      <w:tr>
        <w:tc>
          <w:tcPr>
            <w:tcW w:type="dxa" w:w="3000"/>
            <w:shd w:fill="F2F2F2" w:val="clear"/>
            <w:tcMar>
              <w:top w:type="dxa" w:w="80"/>
              <w:left w:type="dxa" w:w="100"/>
              <w:bottom w:type="dxa" w:w="80"/>
              <w:right w:type="dxa" w:w="100"/>
            </w:tcMar>
          </w:tcPr>
          <w:p>
            <w:r>
              <w:rPr>
                <w:sz w:val="20"/>
                <w:szCs w:val="20"/>
              </w:rPr>
              <w:t xml:space="preserve">Restore verify</w:t>
            </w:r>
          </w:p>
        </w:tc>
        <w:tc>
          <w:tcPr>
            <w:tcW w:type="dxa" w:w="7000"/>
            <w:shd w:fill="F2F2F2" w:val="clear"/>
            <w:tcMar>
              <w:top w:type="dxa" w:w="80"/>
              <w:left w:type="dxa" w:w="100"/>
              <w:bottom w:type="dxa" w:w="80"/>
              <w:right w:type="dxa" w:w="100"/>
            </w:tcMar>
          </w:tcPr>
          <w:p>
            <w:r>
              <w:rPr>
                <w:sz w:val="20"/>
                <w:szCs w:val="20"/>
              </w:rPr>
              <w:t xml:space="preserve">RESTORE VERIFYONLY FROM DISK = '&lt;path&gt;';</w:t>
            </w:r>
          </w:p>
        </w:tc>
      </w:tr>
      <w:tr>
        <w:tc>
          <w:tcPr>
            <w:tcW w:type="dxa" w:w="3000"/>
            <w:tcMar>
              <w:top w:type="dxa" w:w="80"/>
              <w:left w:type="dxa" w:w="100"/>
              <w:bottom w:type="dxa" w:w="80"/>
              <w:right w:type="dxa" w:w="100"/>
            </w:tcMar>
          </w:tcPr>
          <w:p>
            <w:r>
              <w:rPr>
                <w:sz w:val="20"/>
                <w:szCs w:val="20"/>
              </w:rPr>
              <w:t xml:space="preserve">Orphaned user remap</w:t>
            </w:r>
          </w:p>
        </w:tc>
        <w:tc>
          <w:tcPr>
            <w:tcW w:type="dxa" w:w="7000"/>
            <w:tcMar>
              <w:top w:type="dxa" w:w="80"/>
              <w:left w:type="dxa" w:w="100"/>
              <w:bottom w:type="dxa" w:w="80"/>
              <w:right w:type="dxa" w:w="100"/>
            </w:tcMar>
          </w:tcPr>
          <w:p>
            <w:r>
              <w:rPr>
                <w:sz w:val="20"/>
                <w:szCs w:val="20"/>
              </w:rPr>
              <w:t xml:space="preserve">EXEC sp_change_users_login 'Report';</w:t>
            </w:r>
          </w:p>
        </w:tc>
      </w:tr>
      <w:tr>
        <w:tc>
          <w:tcPr>
            <w:tcW w:type="dxa" w:w="3000"/>
            <w:shd w:fill="F2F2F2" w:val="clear"/>
            <w:tcMar>
              <w:top w:type="dxa" w:w="80"/>
              <w:left w:type="dxa" w:w="100"/>
              <w:bottom w:type="dxa" w:w="80"/>
              <w:right w:type="dxa" w:w="100"/>
            </w:tcMar>
          </w:tcPr>
          <w:p>
            <w:r>
              <w:rPr>
                <w:sz w:val="20"/>
                <w:szCs w:val="20"/>
              </w:rPr>
              <w:t xml:space="preserve">TempDB file inventory</w:t>
            </w:r>
          </w:p>
        </w:tc>
        <w:tc>
          <w:tcPr>
            <w:tcW w:type="dxa" w:w="7000"/>
            <w:shd w:fill="F2F2F2" w:val="clear"/>
            <w:tcMar>
              <w:top w:type="dxa" w:w="80"/>
              <w:left w:type="dxa" w:w="100"/>
              <w:bottom w:type="dxa" w:w="80"/>
              <w:right w:type="dxa" w:w="100"/>
            </w:tcMar>
          </w:tcPr>
          <w:p>
            <w:r>
              <w:rPr>
                <w:sz w:val="20"/>
                <w:szCs w:val="20"/>
              </w:rPr>
              <w:t xml:space="preserve">SELECT name, size FROM tempdb.sys.database_files;</w:t>
            </w:r>
          </w:p>
        </w:tc>
      </w:tr>
    </w:tbl>
    <w:p>
      <w:pPr>
        <w:pStyle w:val="Heading2"/>
        <w:spacing w:after="150" w:before="300"/>
      </w:pPr>
      <w:r>
        <w:t xml:space="preserve">Appendix C — Registry Changes of Interest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500"/>
        <w:gridCol w:w="4500"/>
      </w:tblGrid>
      <w:tr>
        <w:trPr>
          <w:tblHeader/>
        </w:trPr>
        <w:tc>
          <w:tcPr>
            <w:tcW w:type="dxa" w:w="5500"/>
            <w:shd w:fill="1F3864" w:val="clear"/>
            <w:tcMar>
              <w:top w:type="dxa" w:w="80"/>
              <w:left w:type="dxa" w:w="100"/>
              <w:bottom w:type="dxa" w:w="80"/>
              <w:right w:type="dxa" w:w="100"/>
            </w:tcMar>
            <w:vAlign w:val="center"/>
          </w:tcPr>
          <w:p>
            <w:r>
              <w:rPr>
                <w:b/>
                <w:bCs/>
                <w:color w:val="FFFFFF"/>
                <w:sz w:val="20"/>
                <w:szCs w:val="20"/>
              </w:rPr>
              <w:t xml:space="preserve">Key</w:t>
            </w:r>
          </w:p>
        </w:tc>
        <w:tc>
          <w:tcPr>
            <w:tcW w:type="dxa" w:w="45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5500"/>
            <w:tcMar>
              <w:top w:type="dxa" w:w="80"/>
              <w:left w:type="dxa" w:w="100"/>
              <w:bottom w:type="dxa" w:w="80"/>
              <w:right w:type="dxa" w:w="100"/>
            </w:tcMar>
          </w:tcPr>
          <w:p>
            <w:r>
              <w:rPr>
                <w:sz w:val="20"/>
                <w:szCs w:val="20"/>
              </w:rPr>
              <w:t xml:space="preserve">HKLM\SOFTWARE\Microsoft\Windows NT\CurrentVersion</w:t>
            </w:r>
          </w:p>
        </w:tc>
        <w:tc>
          <w:tcPr>
            <w:tcW w:type="dxa" w:w="4500"/>
            <w:tcMar>
              <w:top w:type="dxa" w:w="80"/>
              <w:left w:type="dxa" w:w="100"/>
              <w:bottom w:type="dxa" w:w="80"/>
              <w:right w:type="dxa" w:w="100"/>
            </w:tcMar>
          </w:tcPr>
          <w:p>
            <w:r>
              <w:rPr>
                <w:sz w:val="20"/>
                <w:szCs w:val="20"/>
              </w:rPr>
              <w:t xml:space="preserve">OS version/build/edition identifiers, updated by setup</w:t>
            </w:r>
          </w:p>
        </w:tc>
      </w:tr>
      <w:tr>
        <w:tc>
          <w:tcPr>
            <w:tcW w:type="dxa" w:w="5500"/>
            <w:shd w:fill="F2F2F2" w:val="clear"/>
            <w:tcMar>
              <w:top w:type="dxa" w:w="80"/>
              <w:left w:type="dxa" w:w="100"/>
              <w:bottom w:type="dxa" w:w="80"/>
              <w:right w:type="dxa" w:w="100"/>
            </w:tcMar>
          </w:tcPr>
          <w:p>
            <w:r>
              <w:rPr>
                <w:sz w:val="20"/>
                <w:szCs w:val="20"/>
              </w:rPr>
              <w:t xml:space="preserve">HKLM\SOFTWARE\Microsoft\Windows\CurrentVersion\Component Based Servicing\RebootPending</w:t>
            </w:r>
          </w:p>
        </w:tc>
        <w:tc>
          <w:tcPr>
            <w:tcW w:type="dxa" w:w="4500"/>
            <w:shd w:fill="F2F2F2" w:val="clear"/>
            <w:tcMar>
              <w:top w:type="dxa" w:w="80"/>
              <w:left w:type="dxa" w:w="100"/>
              <w:bottom w:type="dxa" w:w="80"/>
              <w:right w:type="dxa" w:w="100"/>
            </w:tcMar>
          </w:tcPr>
          <w:p>
            <w:r>
              <w:rPr>
                <w:sz w:val="20"/>
                <w:szCs w:val="20"/>
              </w:rPr>
              <w:t xml:space="preserve">Indicates a pending reboot that will block setup</w:t>
            </w:r>
          </w:p>
        </w:tc>
      </w:tr>
      <w:tr>
        <w:tc>
          <w:tcPr>
            <w:tcW w:type="dxa" w:w="5500"/>
            <w:tcMar>
              <w:top w:type="dxa" w:w="80"/>
              <w:left w:type="dxa" w:w="100"/>
              <w:bottom w:type="dxa" w:w="80"/>
              <w:right w:type="dxa" w:w="100"/>
            </w:tcMar>
          </w:tcPr>
          <w:p>
            <w:r>
              <w:rPr>
                <w:sz w:val="20"/>
                <w:szCs w:val="20"/>
              </w:rPr>
              <w:t xml:space="preserve">HKLM\SYSTEM\CurrentControlSet\Control\Session Manager\Environment</w:t>
            </w:r>
          </w:p>
        </w:tc>
        <w:tc>
          <w:tcPr>
            <w:tcW w:type="dxa" w:w="4500"/>
            <w:tcMar>
              <w:top w:type="dxa" w:w="80"/>
              <w:left w:type="dxa" w:w="100"/>
              <w:bottom w:type="dxa" w:w="80"/>
              <w:right w:type="dxa" w:w="100"/>
            </w:tcMar>
          </w:tcPr>
          <w:p>
            <w:r>
              <w:rPr>
                <w:sz w:val="20"/>
                <w:szCs w:val="20"/>
              </w:rPr>
              <w:t xml:space="preserve">Environment variables preserved across upgrade; verify custom entries persisted</w:t>
            </w:r>
          </w:p>
        </w:tc>
      </w:tr>
      <w:tr>
        <w:tc>
          <w:tcPr>
            <w:tcW w:type="dxa" w:w="5500"/>
            <w:shd w:fill="F2F2F2" w:val="clear"/>
            <w:tcMar>
              <w:top w:type="dxa" w:w="80"/>
              <w:left w:type="dxa" w:w="100"/>
              <w:bottom w:type="dxa" w:w="80"/>
              <w:right w:type="dxa" w:w="100"/>
            </w:tcMar>
          </w:tcPr>
          <w:p>
            <w:r>
              <w:rPr>
                <w:sz w:val="20"/>
                <w:szCs w:val="20"/>
              </w:rPr>
              <w:t xml:space="preserve">HKLM\SOFTWARE\Microsoft\Microsoft SQL Server\Instance Names\SQL</w:t>
            </w:r>
          </w:p>
        </w:tc>
        <w:tc>
          <w:tcPr>
            <w:tcW w:type="dxa" w:w="4500"/>
            <w:shd w:fill="F2F2F2" w:val="clear"/>
            <w:tcMar>
              <w:top w:type="dxa" w:w="80"/>
              <w:left w:type="dxa" w:w="100"/>
              <w:bottom w:type="dxa" w:w="80"/>
              <w:right w:type="dxa" w:w="100"/>
            </w:tcMar>
          </w:tcPr>
          <w:p>
            <w:r>
              <w:rPr>
                <w:sz w:val="20"/>
                <w:szCs w:val="20"/>
              </w:rPr>
              <w:t xml:space="preserve">Maps instance names to internal instance IDs; used to identify instances for upgrade</w:t>
            </w:r>
          </w:p>
        </w:tc>
      </w:tr>
    </w:tbl>
    <w:p>
      <w:pPr>
        <w:pStyle w:val="Heading2"/>
        <w:spacing w:after="150" w:before="300"/>
      </w:pPr>
      <w:r>
        <w:t xml:space="preserve">Appendix D — Services Checklist</w:t>
      </w:r>
    </w:p>
    <w:p>
      <w:pPr>
        <w:pStyle w:val="ListParagraph"/>
        <w:numPr>
          <w:ilvl w:val="0"/>
          <w:numId w:val="2"/>
        </w:numPr>
        <w:spacing w:after="60"/>
      </w:pPr>
      <w:r>
        <w:t xml:space="preserve">W32Time, Netlogon, DNS Client, Server, Workstation (core OS services)</w:t>
      </w:r>
    </w:p>
    <w:p>
      <w:pPr>
        <w:pStyle w:val="ListParagraph"/>
        <w:numPr>
          <w:ilvl w:val="0"/>
          <w:numId w:val="2"/>
        </w:numPr>
        <w:spacing w:after="60"/>
      </w:pPr>
      <w:r>
        <w:t xml:space="preserve">MSSQLSERVER / MSSQL$&lt;Instance&gt; (SQL Server Database Engine)</w:t>
      </w:r>
    </w:p>
    <w:p>
      <w:pPr>
        <w:pStyle w:val="ListParagraph"/>
        <w:numPr>
          <w:ilvl w:val="0"/>
          <w:numId w:val="2"/>
        </w:numPr>
        <w:spacing w:after="60"/>
      </w:pPr>
      <w:r>
        <w:t xml:space="preserve">SQLSERVERAGENT / SQLAgent$&lt;Instance&gt; (SQL Server Agent)</w:t>
      </w:r>
    </w:p>
    <w:p>
      <w:pPr>
        <w:pStyle w:val="ListParagraph"/>
        <w:numPr>
          <w:ilvl w:val="0"/>
          <w:numId w:val="2"/>
        </w:numPr>
        <w:spacing w:after="60"/>
      </w:pPr>
      <w:r>
        <w:t xml:space="preserve">SQLBrowser (SQL Server Browser, for named instances)</w:t>
      </w:r>
    </w:p>
    <w:p>
      <w:pPr>
        <w:pStyle w:val="ListParagraph"/>
        <w:numPr>
          <w:ilvl w:val="0"/>
          <w:numId w:val="2"/>
        </w:numPr>
        <w:spacing w:after="60"/>
      </w:pPr>
      <w:r>
        <w:t xml:space="preserve">VMware Tools Service</w:t>
      </w:r>
    </w:p>
    <w:p>
      <w:pPr>
        <w:pStyle w:val="ListParagraph"/>
        <w:numPr>
          <w:ilvl w:val="0"/>
          <w:numId w:val="2"/>
        </w:numPr>
        <w:spacing w:after="60"/>
      </w:pPr>
      <w:r>
        <w:t xml:space="preserve">Backup agent service (per vendor)</w:t>
      </w:r>
    </w:p>
    <w:p>
      <w:pPr>
        <w:pStyle w:val="ListParagraph"/>
        <w:numPr>
          <w:ilvl w:val="0"/>
          <w:numId w:val="2"/>
        </w:numPr>
        <w:spacing w:after="60"/>
      </w:pPr>
      <w:r>
        <w:t xml:space="preserve">Monitoring agent service(s) (SCOM/SolarWinds/Splunk)</w:t>
      </w:r>
    </w:p>
    <w:p>
      <w:pPr>
        <w:pStyle w:val="ListParagraph"/>
        <w:numPr>
          <w:ilvl w:val="0"/>
          <w:numId w:val="2"/>
        </w:numPr>
        <w:spacing w:after="60"/>
      </w:pPr>
      <w:r>
        <w:t xml:space="preserve">Antivirus/EDR service(s)</w:t>
      </w:r>
    </w:p>
    <w:p>
      <w:pPr>
        <w:pStyle w:val="Heading2"/>
        <w:spacing w:after="150" w:before="300"/>
      </w:pPr>
      <w:r>
        <w:t xml:space="preserve">Appendix E — Port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0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Port</w:t>
            </w:r>
          </w:p>
        </w:tc>
        <w:tc>
          <w:tcPr>
            <w:tcW w:type="dxa" w:w="1800"/>
            <w:shd w:fill="1F3864" w:val="clear"/>
            <w:tcMar>
              <w:top w:type="dxa" w:w="80"/>
              <w:left w:type="dxa" w:w="100"/>
              <w:bottom w:type="dxa" w:w="80"/>
              <w:right w:type="dxa" w:w="100"/>
            </w:tcMar>
            <w:vAlign w:val="center"/>
          </w:tcPr>
          <w:p>
            <w:r>
              <w:rPr>
                <w:b/>
                <w:bCs/>
                <w:color w:val="FFFFFF"/>
                <w:sz w:val="20"/>
                <w:szCs w:val="20"/>
              </w:rPr>
              <w:t xml:space="preserve">Protocol</w:t>
            </w:r>
          </w:p>
        </w:tc>
        <w:tc>
          <w:tcPr>
            <w:tcW w:type="dxa" w:w="64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1800"/>
            <w:tcMar>
              <w:top w:type="dxa" w:w="80"/>
              <w:left w:type="dxa" w:w="100"/>
              <w:bottom w:type="dxa" w:w="80"/>
              <w:right w:type="dxa" w:w="100"/>
            </w:tcMar>
          </w:tcPr>
          <w:p>
            <w:r>
              <w:rPr>
                <w:sz w:val="20"/>
                <w:szCs w:val="20"/>
              </w:rPr>
              <w:t xml:space="preserve">3389</w:t>
            </w:r>
          </w:p>
        </w:tc>
        <w:tc>
          <w:tcPr>
            <w:tcW w:type="dxa" w:w="1800"/>
            <w:tcMar>
              <w:top w:type="dxa" w:w="80"/>
              <w:left w:type="dxa" w:w="100"/>
              <w:bottom w:type="dxa" w:w="80"/>
              <w:right w:type="dxa" w:w="100"/>
            </w:tcMar>
          </w:tcPr>
          <w:p>
            <w:r>
              <w:rPr>
                <w:sz w:val="20"/>
                <w:szCs w:val="20"/>
              </w:rPr>
              <w:t xml:space="preserve">TCP</w:t>
            </w:r>
          </w:p>
        </w:tc>
        <w:tc>
          <w:tcPr>
            <w:tcW w:type="dxa" w:w="6400"/>
            <w:tcMar>
              <w:top w:type="dxa" w:w="80"/>
              <w:left w:type="dxa" w:w="100"/>
              <w:bottom w:type="dxa" w:w="80"/>
              <w:right w:type="dxa" w:w="100"/>
            </w:tcMar>
          </w:tcPr>
          <w:p>
            <w:r>
              <w:rPr>
                <w:sz w:val="20"/>
                <w:szCs w:val="20"/>
              </w:rPr>
              <w:t xml:space="preserve">Remote Desktop</w:t>
            </w:r>
          </w:p>
        </w:tc>
      </w:tr>
      <w:tr>
        <w:tc>
          <w:tcPr>
            <w:tcW w:type="dxa" w:w="1800"/>
            <w:shd w:fill="F2F2F2" w:val="clear"/>
            <w:tcMar>
              <w:top w:type="dxa" w:w="80"/>
              <w:left w:type="dxa" w:w="100"/>
              <w:bottom w:type="dxa" w:w="80"/>
              <w:right w:type="dxa" w:w="100"/>
            </w:tcMar>
          </w:tcPr>
          <w:p>
            <w:r>
              <w:rPr>
                <w:sz w:val="20"/>
                <w:szCs w:val="20"/>
              </w:rPr>
              <w:t xml:space="preserve">1433</w:t>
            </w:r>
          </w:p>
        </w:tc>
        <w:tc>
          <w:tcPr>
            <w:tcW w:type="dxa" w:w="1800"/>
            <w:shd w:fill="F2F2F2" w:val="clear"/>
            <w:tcMar>
              <w:top w:type="dxa" w:w="80"/>
              <w:left w:type="dxa" w:w="100"/>
              <w:bottom w:type="dxa" w:w="80"/>
              <w:right w:type="dxa" w:w="100"/>
            </w:tcMar>
          </w:tcPr>
          <w:p>
            <w:r>
              <w:rPr>
                <w:sz w:val="20"/>
                <w:szCs w:val="20"/>
              </w:rPr>
              <w:t xml:space="preserve">TCP</w:t>
            </w:r>
          </w:p>
        </w:tc>
        <w:tc>
          <w:tcPr>
            <w:tcW w:type="dxa" w:w="6400"/>
            <w:shd w:fill="F2F2F2" w:val="clear"/>
            <w:tcMar>
              <w:top w:type="dxa" w:w="80"/>
              <w:left w:type="dxa" w:w="100"/>
              <w:bottom w:type="dxa" w:w="80"/>
              <w:right w:type="dxa" w:w="100"/>
            </w:tcMar>
          </w:tcPr>
          <w:p>
            <w:r>
              <w:rPr>
                <w:sz w:val="20"/>
                <w:szCs w:val="20"/>
              </w:rPr>
              <w:t xml:space="preserve">SQL Server default instance</w:t>
            </w:r>
          </w:p>
        </w:tc>
      </w:tr>
      <w:tr>
        <w:tc>
          <w:tcPr>
            <w:tcW w:type="dxa" w:w="1800"/>
            <w:tcMar>
              <w:top w:type="dxa" w:w="80"/>
              <w:left w:type="dxa" w:w="100"/>
              <w:bottom w:type="dxa" w:w="80"/>
              <w:right w:type="dxa" w:w="100"/>
            </w:tcMar>
          </w:tcPr>
          <w:p>
            <w:r>
              <w:rPr>
                <w:sz w:val="20"/>
                <w:szCs w:val="20"/>
              </w:rPr>
              <w:t xml:space="preserve">1434</w:t>
            </w:r>
          </w:p>
        </w:tc>
        <w:tc>
          <w:tcPr>
            <w:tcW w:type="dxa" w:w="1800"/>
            <w:tcMar>
              <w:top w:type="dxa" w:w="80"/>
              <w:left w:type="dxa" w:w="100"/>
              <w:bottom w:type="dxa" w:w="80"/>
              <w:right w:type="dxa" w:w="100"/>
            </w:tcMar>
          </w:tcPr>
          <w:p>
            <w:r>
              <w:rPr>
                <w:sz w:val="20"/>
                <w:szCs w:val="20"/>
              </w:rPr>
              <w:t xml:space="preserve">UDP</w:t>
            </w:r>
          </w:p>
        </w:tc>
        <w:tc>
          <w:tcPr>
            <w:tcW w:type="dxa" w:w="6400"/>
            <w:tcMar>
              <w:top w:type="dxa" w:w="80"/>
              <w:left w:type="dxa" w:w="100"/>
              <w:bottom w:type="dxa" w:w="80"/>
              <w:right w:type="dxa" w:w="100"/>
            </w:tcMar>
          </w:tcPr>
          <w:p>
            <w:r>
              <w:rPr>
                <w:sz w:val="20"/>
                <w:szCs w:val="20"/>
              </w:rPr>
              <w:t xml:space="preserve">SQL Server Browser (named instances)</w:t>
            </w:r>
          </w:p>
        </w:tc>
      </w:tr>
      <w:tr>
        <w:tc>
          <w:tcPr>
            <w:tcW w:type="dxa" w:w="1800"/>
            <w:shd w:fill="F2F2F2" w:val="clear"/>
            <w:tcMar>
              <w:top w:type="dxa" w:w="80"/>
              <w:left w:type="dxa" w:w="100"/>
              <w:bottom w:type="dxa" w:w="80"/>
              <w:right w:type="dxa" w:w="100"/>
            </w:tcMar>
          </w:tcPr>
          <w:p>
            <w:r>
              <w:rPr>
                <w:sz w:val="20"/>
                <w:szCs w:val="20"/>
              </w:rPr>
              <w:t xml:space="preserve">5022 (or configured)</w:t>
            </w:r>
          </w:p>
        </w:tc>
        <w:tc>
          <w:tcPr>
            <w:tcW w:type="dxa" w:w="1800"/>
            <w:shd w:fill="F2F2F2" w:val="clear"/>
            <w:tcMar>
              <w:top w:type="dxa" w:w="80"/>
              <w:left w:type="dxa" w:w="100"/>
              <w:bottom w:type="dxa" w:w="80"/>
              <w:right w:type="dxa" w:w="100"/>
            </w:tcMar>
          </w:tcPr>
          <w:p>
            <w:r>
              <w:rPr>
                <w:sz w:val="20"/>
                <w:szCs w:val="20"/>
              </w:rPr>
              <w:t xml:space="preserve">TCP</w:t>
            </w:r>
          </w:p>
        </w:tc>
        <w:tc>
          <w:tcPr>
            <w:tcW w:type="dxa" w:w="6400"/>
            <w:shd w:fill="F2F2F2" w:val="clear"/>
            <w:tcMar>
              <w:top w:type="dxa" w:w="80"/>
              <w:left w:type="dxa" w:w="100"/>
              <w:bottom w:type="dxa" w:w="80"/>
              <w:right w:type="dxa" w:w="100"/>
            </w:tcMar>
          </w:tcPr>
          <w:p>
            <w:r>
              <w:rPr>
                <w:sz w:val="20"/>
                <w:szCs w:val="20"/>
              </w:rPr>
              <w:t xml:space="preserve">AlwaysOn AG endpoint mirroring/data movement</w:t>
            </w:r>
          </w:p>
        </w:tc>
      </w:tr>
      <w:tr>
        <w:tc>
          <w:tcPr>
            <w:tcW w:type="dxa" w:w="1800"/>
            <w:tcMar>
              <w:top w:type="dxa" w:w="80"/>
              <w:left w:type="dxa" w:w="100"/>
              <w:bottom w:type="dxa" w:w="80"/>
              <w:right w:type="dxa" w:w="100"/>
            </w:tcMar>
          </w:tcPr>
          <w:p>
            <w:r>
              <w:rPr>
                <w:sz w:val="20"/>
                <w:szCs w:val="20"/>
              </w:rPr>
              <w:t xml:space="preserve">1688</w:t>
            </w:r>
          </w:p>
        </w:tc>
        <w:tc>
          <w:tcPr>
            <w:tcW w:type="dxa" w:w="1800"/>
            <w:tcMar>
              <w:top w:type="dxa" w:w="80"/>
              <w:left w:type="dxa" w:w="100"/>
              <w:bottom w:type="dxa" w:w="80"/>
              <w:right w:type="dxa" w:w="100"/>
            </w:tcMar>
          </w:tcPr>
          <w:p>
            <w:r>
              <w:rPr>
                <w:sz w:val="20"/>
                <w:szCs w:val="20"/>
              </w:rPr>
              <w:t xml:space="preserve">TCP</w:t>
            </w:r>
          </w:p>
        </w:tc>
        <w:tc>
          <w:tcPr>
            <w:tcW w:type="dxa" w:w="6400"/>
            <w:tcMar>
              <w:top w:type="dxa" w:w="80"/>
              <w:left w:type="dxa" w:w="100"/>
              <w:bottom w:type="dxa" w:w="80"/>
              <w:right w:type="dxa" w:w="100"/>
            </w:tcMar>
          </w:tcPr>
          <w:p>
            <w:r>
              <w:rPr>
                <w:sz w:val="20"/>
                <w:szCs w:val="20"/>
              </w:rPr>
              <w:t xml:space="preserve">KMS activation</w:t>
            </w:r>
          </w:p>
        </w:tc>
      </w:tr>
      <w:tr>
        <w:tc>
          <w:tcPr>
            <w:tcW w:type="dxa" w:w="1800"/>
            <w:shd w:fill="F2F2F2" w:val="clear"/>
            <w:tcMar>
              <w:top w:type="dxa" w:w="80"/>
              <w:left w:type="dxa" w:w="100"/>
              <w:bottom w:type="dxa" w:w="80"/>
              <w:right w:type="dxa" w:w="100"/>
            </w:tcMar>
          </w:tcPr>
          <w:p>
            <w:r>
              <w:rPr>
                <w:sz w:val="20"/>
                <w:szCs w:val="20"/>
              </w:rPr>
              <w:t xml:space="preserve">445</w:t>
            </w:r>
          </w:p>
        </w:tc>
        <w:tc>
          <w:tcPr>
            <w:tcW w:type="dxa" w:w="1800"/>
            <w:shd w:fill="F2F2F2" w:val="clear"/>
            <w:tcMar>
              <w:top w:type="dxa" w:w="80"/>
              <w:left w:type="dxa" w:w="100"/>
              <w:bottom w:type="dxa" w:w="80"/>
              <w:right w:type="dxa" w:w="100"/>
            </w:tcMar>
          </w:tcPr>
          <w:p>
            <w:r>
              <w:rPr>
                <w:sz w:val="20"/>
                <w:szCs w:val="20"/>
              </w:rPr>
              <w:t xml:space="preserve">TCP</w:t>
            </w:r>
          </w:p>
        </w:tc>
        <w:tc>
          <w:tcPr>
            <w:tcW w:type="dxa" w:w="6400"/>
            <w:shd w:fill="F2F2F2" w:val="clear"/>
            <w:tcMar>
              <w:top w:type="dxa" w:w="80"/>
              <w:left w:type="dxa" w:w="100"/>
              <w:bottom w:type="dxa" w:w="80"/>
              <w:right w:type="dxa" w:w="100"/>
            </w:tcMar>
          </w:tcPr>
          <w:p>
            <w:r>
              <w:rPr>
                <w:sz w:val="20"/>
                <w:szCs w:val="20"/>
              </w:rPr>
              <w:t xml:space="preserve">SMB (backup targets, file shares)</w:t>
            </w:r>
          </w:p>
        </w:tc>
      </w:tr>
      <w:tr>
        <w:tc>
          <w:tcPr>
            <w:tcW w:type="dxa" w:w="1800"/>
            <w:tcMar>
              <w:top w:type="dxa" w:w="80"/>
              <w:left w:type="dxa" w:w="100"/>
              <w:bottom w:type="dxa" w:w="80"/>
              <w:right w:type="dxa" w:w="100"/>
            </w:tcMar>
          </w:tcPr>
          <w:p>
            <w:r>
              <w:rPr>
                <w:sz w:val="20"/>
                <w:szCs w:val="20"/>
              </w:rPr>
              <w:t xml:space="preserve">389/636</w:t>
            </w:r>
          </w:p>
        </w:tc>
        <w:tc>
          <w:tcPr>
            <w:tcW w:type="dxa" w:w="1800"/>
            <w:tcMar>
              <w:top w:type="dxa" w:w="80"/>
              <w:left w:type="dxa" w:w="100"/>
              <w:bottom w:type="dxa" w:w="80"/>
              <w:right w:type="dxa" w:w="100"/>
            </w:tcMar>
          </w:tcPr>
          <w:p>
            <w:r>
              <w:rPr>
                <w:sz w:val="20"/>
                <w:szCs w:val="20"/>
              </w:rPr>
              <w:t xml:space="preserve">TCP</w:t>
            </w:r>
          </w:p>
        </w:tc>
        <w:tc>
          <w:tcPr>
            <w:tcW w:type="dxa" w:w="6400"/>
            <w:tcMar>
              <w:top w:type="dxa" w:w="80"/>
              <w:left w:type="dxa" w:w="100"/>
              <w:bottom w:type="dxa" w:w="80"/>
              <w:right w:type="dxa" w:w="100"/>
            </w:tcMar>
          </w:tcPr>
          <w:p>
            <w:r>
              <w:rPr>
                <w:sz w:val="20"/>
                <w:szCs w:val="20"/>
              </w:rPr>
              <w:t xml:space="preserve">LDAP/LDAPS (Active Directory)</w:t>
            </w:r>
          </w:p>
        </w:tc>
      </w:tr>
      <w:tr>
        <w:tc>
          <w:tcPr>
            <w:tcW w:type="dxa" w:w="1800"/>
            <w:shd w:fill="F2F2F2" w:val="clear"/>
            <w:tcMar>
              <w:top w:type="dxa" w:w="80"/>
              <w:left w:type="dxa" w:w="100"/>
              <w:bottom w:type="dxa" w:w="80"/>
              <w:right w:type="dxa" w:w="100"/>
            </w:tcMar>
          </w:tcPr>
          <w:p>
            <w:r>
              <w:rPr>
                <w:sz w:val="20"/>
                <w:szCs w:val="20"/>
              </w:rPr>
              <w:t xml:space="preserve">88</w:t>
            </w:r>
          </w:p>
        </w:tc>
        <w:tc>
          <w:tcPr>
            <w:tcW w:type="dxa" w:w="1800"/>
            <w:shd w:fill="F2F2F2" w:val="clear"/>
            <w:tcMar>
              <w:top w:type="dxa" w:w="80"/>
              <w:left w:type="dxa" w:w="100"/>
              <w:bottom w:type="dxa" w:w="80"/>
              <w:right w:type="dxa" w:w="100"/>
            </w:tcMar>
          </w:tcPr>
          <w:p>
            <w:r>
              <w:rPr>
                <w:sz w:val="20"/>
                <w:szCs w:val="20"/>
              </w:rPr>
              <w:t xml:space="preserve">TCP/UDP</w:t>
            </w:r>
          </w:p>
        </w:tc>
        <w:tc>
          <w:tcPr>
            <w:tcW w:type="dxa" w:w="6400"/>
            <w:shd w:fill="F2F2F2" w:val="clear"/>
            <w:tcMar>
              <w:top w:type="dxa" w:w="80"/>
              <w:left w:type="dxa" w:w="100"/>
              <w:bottom w:type="dxa" w:w="80"/>
              <w:right w:type="dxa" w:w="100"/>
            </w:tcMar>
          </w:tcPr>
          <w:p>
            <w:r>
              <w:rPr>
                <w:sz w:val="20"/>
                <w:szCs w:val="20"/>
              </w:rPr>
              <w:t xml:space="preserve">Kerberos authentication</w:t>
            </w:r>
          </w:p>
        </w:tc>
      </w:tr>
    </w:tbl>
    <w:p>
      <w:pPr>
        <w:pStyle w:val="Heading2"/>
        <w:spacing w:after="150" w:before="300"/>
      </w:pPr>
      <w:r>
        <w:t xml:space="preserve">Appendix F — Firewall Rules</w:t>
      </w:r>
    </w:p>
    <w:p>
      <w:pPr>
        <w:spacing w:after="150"/>
      </w:pPr>
      <w:r>
        <w:t xml:space="preserve">Document any custom inbound/outbound rules captured during Section 4 (Windows) 'Firewall Rules' pre-check, and confirm identical rules exist post-upgrade. Add any new rules required for updated agent versions (backup, monitoring, AV) identified during the compatibility assessment.</w:t>
      </w:r>
    </w:p>
    <w:p>
      <w:pPr>
        <w:pStyle w:val="Heading2"/>
        <w:spacing w:after="150" w:before="300"/>
      </w:pPr>
      <w:r>
        <w:t xml:space="preserve">Appendix G — Microsoft Best Practices</w:t>
      </w:r>
    </w:p>
    <w:p>
      <w:pPr>
        <w:pStyle w:val="ListParagraph"/>
        <w:numPr>
          <w:ilvl w:val="0"/>
          <w:numId w:val="2"/>
        </w:numPr>
        <w:spacing w:after="60"/>
      </w:pPr>
      <w:r>
        <w:t xml:space="preserve">Always run the setup compatibility scan (/Compat ScanOnly) well before the scheduled change window, not on the day of the change.</w:t>
      </w:r>
    </w:p>
    <w:p>
      <w:pPr>
        <w:pStyle w:val="ListParagraph"/>
        <w:numPr>
          <w:ilvl w:val="0"/>
          <w:numId w:val="2"/>
        </w:numPr>
        <w:spacing w:after="60"/>
      </w:pPr>
      <w:r>
        <w:t xml:space="preserve">Apply the latest cumulative update to both the source OS/SQL version and, once upgraded, the target version as soon as validation completes.</w:t>
      </w:r>
    </w:p>
    <w:p>
      <w:pPr>
        <w:pStyle w:val="ListParagraph"/>
        <w:numPr>
          <w:ilvl w:val="0"/>
          <w:numId w:val="2"/>
        </w:numPr>
        <w:spacing w:after="60"/>
      </w:pPr>
      <w:r>
        <w:t xml:space="preserve">Exclude SQL Server data/log/backup directories and setup temp directories from real-time antivirus scanning per Microsoft's published exclusion list.</w:t>
      </w:r>
    </w:p>
    <w:p>
      <w:pPr>
        <w:pStyle w:val="ListParagraph"/>
        <w:numPr>
          <w:ilvl w:val="0"/>
          <w:numId w:val="2"/>
        </w:numPr>
        <w:spacing w:after="60"/>
      </w:pPr>
      <w:r>
        <w:t xml:space="preserve">Upgrade AlwaysOn AG secondaries before primaries, and replication distributors before publishers/subscribers.</w:t>
      </w:r>
    </w:p>
    <w:p>
      <w:pPr>
        <w:pStyle w:val="Heading2"/>
        <w:spacing w:after="150" w:before="300"/>
      </w:pPr>
      <w:r>
        <w:t xml:space="preserve">Appendix H — Security Hardening Recommendations</w:t>
      </w:r>
    </w:p>
    <w:p>
      <w:pPr>
        <w:pStyle w:val="ListParagraph"/>
        <w:numPr>
          <w:ilvl w:val="0"/>
          <w:numId w:val="2"/>
        </w:numPr>
        <w:spacing w:after="60"/>
      </w:pPr>
      <w:r>
        <w:t xml:space="preserve">Disable SMBv1 if not already disabled (verify in Section 4 pre-checks).</w:t>
      </w:r>
    </w:p>
    <w:p>
      <w:pPr>
        <w:pStyle w:val="ListParagraph"/>
        <w:numPr>
          <w:ilvl w:val="0"/>
          <w:numId w:val="2"/>
        </w:numPr>
        <w:spacing w:after="60"/>
      </w:pPr>
      <w:r>
        <w:t xml:space="preserve">Enable TLS 1.2 (minimum) for SQL Server client connections; deprecate older TLS/SSL protocol support.</w:t>
      </w:r>
    </w:p>
    <w:p>
      <w:pPr>
        <w:pStyle w:val="ListParagraph"/>
        <w:numPr>
          <w:ilvl w:val="0"/>
          <w:numId w:val="2"/>
        </w:numPr>
        <w:spacing w:after="60"/>
      </w:pPr>
      <w:r>
        <w:t xml:space="preserve">Review and minimize sysadmin role membership post-upgrade as part of a periodic access review.</w:t>
      </w:r>
    </w:p>
    <w:p>
      <w:pPr>
        <w:pStyle w:val="ListParagraph"/>
        <w:numPr>
          <w:ilvl w:val="0"/>
          <w:numId w:val="2"/>
        </w:numPr>
        <w:spacing w:after="60"/>
      </w:pPr>
      <w:r>
        <w:t xml:space="preserve">Confirm CLR strict security and 'Ad Hoc Distributed Queries' remain disabled unless explicitly required and risk-accepted.</w:t>
      </w:r>
    </w:p>
    <w:p>
      <w:pPr>
        <w:pStyle w:val="Heading2"/>
        <w:spacing w:after="150" w:before="300"/>
      </w:pPr>
      <w:r>
        <w:t xml:space="preserve">Appendix I — Performance Tuning Recommendations</w:t>
      </w:r>
    </w:p>
    <w:p>
      <w:pPr>
        <w:pStyle w:val="ListParagraph"/>
        <w:numPr>
          <w:ilvl w:val="0"/>
          <w:numId w:val="2"/>
        </w:numPr>
        <w:spacing w:after="60"/>
      </w:pPr>
      <w:r>
        <w:t xml:space="preserve">Re-baseline MAXDOP and cost threshold for parallelism against the new host's core count and NUMA topology.</w:t>
      </w:r>
    </w:p>
    <w:p>
      <w:pPr>
        <w:pStyle w:val="ListParagraph"/>
        <w:numPr>
          <w:ilvl w:val="0"/>
          <w:numId w:val="2"/>
        </w:numPr>
        <w:spacing w:after="60"/>
      </w:pPr>
      <w:r>
        <w:t xml:space="preserve">Re-validate tempdb file count (generally aligned to logical CPU count, up to 8 files, then re-assessed) after upgrade.</w:t>
      </w:r>
    </w:p>
    <w:p>
      <w:pPr>
        <w:pStyle w:val="ListParagraph"/>
        <w:numPr>
          <w:ilvl w:val="0"/>
          <w:numId w:val="2"/>
        </w:numPr>
        <w:spacing w:after="60"/>
      </w:pPr>
      <w:r>
        <w:t xml:space="preserve">Consider enabling Query Store (if not already) to monitor for plan regressions introduced by the compatibility level change.</w:t>
      </w:r>
    </w:p>
    <w:p>
      <w:pPr>
        <w:pStyle w:val="Heading2"/>
        <w:spacing w:after="150" w:before="300"/>
      </w:pPr>
      <w:r>
        <w:t xml:space="preserve">Appendix J — Reference Links (Microsoft Learn)</w:t>
      </w:r>
    </w:p>
    <w:p>
      <w:pPr>
        <w:pStyle w:val="ListParagraph"/>
        <w:numPr>
          <w:ilvl w:val="0"/>
          <w:numId w:val="2"/>
        </w:numPr>
        <w:spacing w:after="60"/>
      </w:pPr>
      <w:r>
        <w:t xml:space="preserve">Windows Server upgrade overview: https://learn.microsoft.com/windows-server/get-started/</w:t>
      </w:r>
    </w:p>
    <w:p>
      <w:pPr>
        <w:pStyle w:val="ListParagraph"/>
        <w:numPr>
          <w:ilvl w:val="0"/>
          <w:numId w:val="2"/>
        </w:numPr>
        <w:spacing w:after="60"/>
      </w:pPr>
      <w:r>
        <w:t xml:space="preserve">Supported SQL Server version/edition upgrades: https://learn.microsoft.com/sql/database-engine/install-windows/supported-version-and-edition-upgrades</w:t>
      </w:r>
    </w:p>
    <w:p>
      <w:pPr>
        <w:pStyle w:val="ListParagraph"/>
        <w:numPr>
          <w:ilvl w:val="0"/>
          <w:numId w:val="2"/>
        </w:numPr>
        <w:spacing w:after="60"/>
      </w:pPr>
      <w:r>
        <w:t xml:space="preserve">SQL Server 2022 hardware/software requirements: https://learn.microsoft.com/sql/sql-server/install/hardware-and-software-requirements-for-installing-sql-server</w:t>
      </w:r>
    </w:p>
    <w:p>
      <w:pPr>
        <w:pStyle w:val="ListParagraph"/>
        <w:numPr>
          <w:ilvl w:val="0"/>
          <w:numId w:val="2"/>
        </w:numPr>
        <w:spacing w:after="60"/>
      </w:pPr>
      <w:r>
        <w:t xml:space="preserve">AlwaysOn Availability Groups documentation: https://learn.microsoft.com/sql/database-engine/availability-groups/windows/always-on-availability-groups-sql-server</w:t>
      </w:r>
    </w:p>
    <w:p>
      <w:pPr>
        <w:pStyle w:val="ListParagraph"/>
        <w:numPr>
          <w:ilvl w:val="0"/>
          <w:numId w:val="2"/>
        </w:numPr>
        <w:spacing w:after="60"/>
      </w:pPr>
      <w:r>
        <w:t xml:space="preserve">Windows Server removed/deprecated features: https://learn.microsoft.com/windows-server/get-started/removed-features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Windows Server 2016→2022 / SQL Server 2016→2022 Upgrade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2026-07-21T13:22:49.691Z</dcterms:created>
  <dcterms:modified xsi:type="dcterms:W3CDTF">2026-07-21T13:22:49.691Z</dcterms:modified>
</cp:coreProperties>
</file>

<file path=docProps/custom.xml><?xml version="1.0" encoding="utf-8"?>
<Properties xmlns="http://schemas.openxmlformats.org/officeDocument/2006/custom-properties" xmlns:vt="http://schemas.openxmlformats.org/officeDocument/2006/docPropsVTypes"/>
</file>