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2D7E1" w14:textId="77777777" w:rsidR="00633284" w:rsidRPr="00633284" w:rsidRDefault="00633284" w:rsidP="00633284">
      <w:pPr>
        <w:rPr>
          <w:b/>
          <w:bCs/>
        </w:rPr>
      </w:pPr>
      <w:r w:rsidRPr="00633284">
        <w:rPr>
          <w:b/>
          <w:bCs/>
        </w:rPr>
        <w:t>AIOps Tools Comparison</w:t>
      </w:r>
    </w:p>
    <w:p w14:paraId="7940BE1B" w14:textId="77777777" w:rsidR="00633284" w:rsidRPr="00633284" w:rsidRDefault="00633284" w:rsidP="00633284">
      <w:pPr>
        <w:rPr>
          <w:b/>
          <w:bCs/>
        </w:rPr>
      </w:pPr>
      <w:r w:rsidRPr="00633284">
        <w:rPr>
          <w:rFonts w:ascii="Segoe UI Emoji" w:hAnsi="Segoe UI Emoji" w:cs="Segoe UI Emoji"/>
          <w:b/>
          <w:bCs/>
        </w:rPr>
        <w:t>🔵</w:t>
      </w:r>
      <w:r w:rsidRPr="00633284">
        <w:rPr>
          <w:b/>
          <w:bCs/>
        </w:rPr>
        <w:t xml:space="preserve"> </w:t>
      </w:r>
      <w:proofErr w:type="spellStart"/>
      <w:r w:rsidRPr="00633284">
        <w:rPr>
          <w:b/>
          <w:bCs/>
        </w:rPr>
        <w:t>LogicMonitor</w:t>
      </w:r>
      <w:proofErr w:type="spellEnd"/>
    </w:p>
    <w:p w14:paraId="43CA1D2D" w14:textId="77777777" w:rsidR="00633284" w:rsidRPr="00633284" w:rsidRDefault="00633284" w:rsidP="00633284">
      <w:proofErr w:type="spellStart"/>
      <w:r w:rsidRPr="00633284">
        <w:t>LogicMonitor's</w:t>
      </w:r>
      <w:proofErr w:type="spellEnd"/>
      <w:r w:rsidRPr="00633284">
        <w:t xml:space="preserve"> AIOps capabilities are centred on its </w:t>
      </w:r>
      <w:r w:rsidRPr="00633284">
        <w:rPr>
          <w:b/>
          <w:bCs/>
        </w:rPr>
        <w:t>LM Envision</w:t>
      </w:r>
      <w:r w:rsidRPr="00633284">
        <w:t xml:space="preserve"> platform, with the flagship offering being:</w:t>
      </w:r>
    </w:p>
    <w:p w14:paraId="3BCE1B7E" w14:textId="77777777" w:rsidR="00633284" w:rsidRPr="00633284" w:rsidRDefault="00633284" w:rsidP="00633284">
      <w:r w:rsidRPr="00633284">
        <w:rPr>
          <w:b/>
          <w:bCs/>
        </w:rPr>
        <w:t>Edwin AI</w:t>
      </w:r>
      <w:r w:rsidRPr="00633284">
        <w:t xml:space="preserve"> — the first AI agent for IT operations, built to move beyond traditional AIOps. It proactively predicts, prevents, and resolves issues by </w:t>
      </w:r>
      <w:proofErr w:type="spellStart"/>
      <w:r w:rsidRPr="00633284">
        <w:t>analyzing</w:t>
      </w:r>
      <w:proofErr w:type="spellEnd"/>
      <w:r w:rsidRPr="00633284">
        <w:t xml:space="preserve"> real-time data, filtering out noise, and automating incident response. Unlike conventional tools that only detect problems, Edwin AI understands root causes, recommends actions, and executes fixes autonomously.</w:t>
      </w:r>
    </w:p>
    <w:p w14:paraId="6D0189F0" w14:textId="77777777" w:rsidR="00633284" w:rsidRPr="00633284" w:rsidRDefault="00633284" w:rsidP="00633284">
      <w:r w:rsidRPr="00633284">
        <w:t>Key AIOps capabilities within the platform include:</w:t>
      </w:r>
    </w:p>
    <w:p w14:paraId="6F159BDE" w14:textId="77777777" w:rsidR="00633284" w:rsidRPr="00633284" w:rsidRDefault="00633284" w:rsidP="00633284">
      <w:pPr>
        <w:numPr>
          <w:ilvl w:val="0"/>
          <w:numId w:val="1"/>
        </w:numPr>
      </w:pPr>
      <w:r w:rsidRPr="00633284">
        <w:rPr>
          <w:b/>
          <w:bCs/>
        </w:rPr>
        <w:t>Anomaly Detection</w:t>
      </w:r>
      <w:r w:rsidRPr="00633284">
        <w:t xml:space="preserve"> — uses machine learning to find data points straying from expected trends, </w:t>
      </w:r>
      <w:proofErr w:type="spellStart"/>
      <w:r w:rsidRPr="00633284">
        <w:t>analyzing</w:t>
      </w:r>
      <w:proofErr w:type="spellEnd"/>
      <w:r w:rsidRPr="00633284">
        <w:t xml:space="preserve"> past data to create predicted performance ranges and highlighting deviations.</w:t>
      </w:r>
    </w:p>
    <w:p w14:paraId="2B099234" w14:textId="77777777" w:rsidR="00633284" w:rsidRPr="00633284" w:rsidRDefault="00633284" w:rsidP="00633284">
      <w:pPr>
        <w:numPr>
          <w:ilvl w:val="0"/>
          <w:numId w:val="1"/>
        </w:numPr>
      </w:pPr>
      <w:r w:rsidRPr="00633284">
        <w:rPr>
          <w:b/>
          <w:bCs/>
        </w:rPr>
        <w:t>Data Forecasting / Capacity Trending</w:t>
      </w:r>
      <w:r w:rsidRPr="00633284">
        <w:t xml:space="preserve"> — projects future trends based on past performance using advanced capacity trending algorithms, enabling proactive planning and decision-making.</w:t>
      </w:r>
    </w:p>
    <w:p w14:paraId="293AA6CA" w14:textId="77777777" w:rsidR="00633284" w:rsidRPr="00633284" w:rsidRDefault="00633284" w:rsidP="00633284">
      <w:pPr>
        <w:numPr>
          <w:ilvl w:val="0"/>
          <w:numId w:val="1"/>
        </w:numPr>
      </w:pPr>
      <w:r w:rsidRPr="00633284">
        <w:rPr>
          <w:b/>
          <w:bCs/>
        </w:rPr>
        <w:t>Unified Event Intelligence</w:t>
      </w:r>
      <w:r w:rsidRPr="00633284">
        <w:t xml:space="preserve"> — provides cross-domain data unification across existing observability, security, and CMDB tools, resolving issues across on-premises, cloud, and edge infrastructure.</w:t>
      </w:r>
    </w:p>
    <w:p w14:paraId="4A1D5B50" w14:textId="77777777" w:rsidR="00633284" w:rsidRPr="00633284" w:rsidRDefault="00633284" w:rsidP="00633284">
      <w:pPr>
        <w:numPr>
          <w:ilvl w:val="0"/>
          <w:numId w:val="1"/>
        </w:numPr>
      </w:pPr>
      <w:r w:rsidRPr="00633284">
        <w:rPr>
          <w:b/>
          <w:bCs/>
        </w:rPr>
        <w:t>Agentic AIOps</w:t>
      </w:r>
      <w:r w:rsidRPr="00633284">
        <w:t xml:space="preserve"> — connects with over 3,000 tools spanning observability, APM, security, and CMDB to turn disconnected data into real-time, actionable insight.</w:t>
      </w:r>
    </w:p>
    <w:p w14:paraId="6344F449" w14:textId="77777777" w:rsidR="00633284" w:rsidRPr="00633284" w:rsidRDefault="005A0DDF" w:rsidP="00633284">
      <w:r>
        <w:pict w14:anchorId="2DB03E71">
          <v:rect id="_x0000_i1025" style="width:0;height:1.5pt" o:hralign="center" o:hrstd="t" o:hr="t" fillcolor="#a0a0a0" stroked="f"/>
        </w:pict>
      </w:r>
    </w:p>
    <w:p w14:paraId="675C87C2" w14:textId="77777777" w:rsidR="00633284" w:rsidRPr="00633284" w:rsidRDefault="00633284" w:rsidP="00633284">
      <w:pPr>
        <w:rPr>
          <w:b/>
          <w:bCs/>
        </w:rPr>
      </w:pPr>
      <w:r w:rsidRPr="00633284">
        <w:rPr>
          <w:rFonts w:ascii="Segoe UI Emoji" w:hAnsi="Segoe UI Emoji" w:cs="Segoe UI Emoji"/>
          <w:b/>
          <w:bCs/>
        </w:rPr>
        <w:t>🟣</w:t>
      </w:r>
      <w:r w:rsidRPr="00633284">
        <w:rPr>
          <w:b/>
          <w:bCs/>
        </w:rPr>
        <w:t xml:space="preserve"> Dynatrace</w:t>
      </w:r>
    </w:p>
    <w:p w14:paraId="63D10540" w14:textId="77777777" w:rsidR="00633284" w:rsidRPr="00633284" w:rsidRDefault="00633284" w:rsidP="00633284">
      <w:r w:rsidRPr="00633284">
        <w:t xml:space="preserve">Dynatrace's AIOps is powered by its </w:t>
      </w:r>
      <w:r w:rsidRPr="00633284">
        <w:rPr>
          <w:b/>
          <w:bCs/>
        </w:rPr>
        <w:t>Davis AI</w:t>
      </w:r>
      <w:r w:rsidRPr="00633284">
        <w:t xml:space="preserve"> engine, which delivers precise root cause analysis and automated remediation, continuously mapping dependencies in dynamic cloud environments.</w:t>
      </w:r>
    </w:p>
    <w:p w14:paraId="64C3580B" w14:textId="77777777" w:rsidR="00633284" w:rsidRPr="00633284" w:rsidRDefault="00633284" w:rsidP="00633284">
      <w:r w:rsidRPr="00633284">
        <w:t>Key AIOps tools and capabilities:</w:t>
      </w:r>
    </w:p>
    <w:p w14:paraId="35157823" w14:textId="77777777" w:rsidR="00633284" w:rsidRPr="00633284" w:rsidRDefault="00633284" w:rsidP="00633284">
      <w:pPr>
        <w:numPr>
          <w:ilvl w:val="0"/>
          <w:numId w:val="2"/>
        </w:numPr>
      </w:pPr>
      <w:r w:rsidRPr="00633284">
        <w:rPr>
          <w:b/>
          <w:bCs/>
        </w:rPr>
        <w:t>Davis AI (Causal AI Engine)</w:t>
      </w:r>
      <w:r w:rsidRPr="00633284">
        <w:t xml:space="preserve"> — enables organizations to predict and prevent potential incidents before they occur through AI-driven automation, while accelerating problem investigation and enhancing automated remediation when issues do arise.</w:t>
      </w:r>
    </w:p>
    <w:p w14:paraId="13AE9DE6" w14:textId="77777777" w:rsidR="00633284" w:rsidRPr="00633284" w:rsidRDefault="00633284" w:rsidP="00633284">
      <w:pPr>
        <w:numPr>
          <w:ilvl w:val="0"/>
          <w:numId w:val="2"/>
        </w:numPr>
      </w:pPr>
      <w:r w:rsidRPr="00633284">
        <w:rPr>
          <w:b/>
          <w:bCs/>
        </w:rPr>
        <w:t>Dynatrace Intelligence</w:t>
      </w:r>
      <w:r w:rsidRPr="00633284">
        <w:t xml:space="preserve"> — fuses deterministic insights with agentic action to deliver reliable outcomes with autonomous prevention, remediation, and optimization at scale.</w:t>
      </w:r>
    </w:p>
    <w:p w14:paraId="2CEC4976" w14:textId="77777777" w:rsidR="00633284" w:rsidRPr="00633284" w:rsidRDefault="00633284" w:rsidP="00633284">
      <w:pPr>
        <w:numPr>
          <w:ilvl w:val="0"/>
          <w:numId w:val="2"/>
        </w:numPr>
      </w:pPr>
      <w:r w:rsidRPr="00633284">
        <w:rPr>
          <w:b/>
          <w:bCs/>
        </w:rPr>
        <w:lastRenderedPageBreak/>
        <w:t>Preventive Operations</w:t>
      </w:r>
      <w:r w:rsidRPr="00633284">
        <w:t xml:space="preserve"> — Davis AI can now operationalize best practices and recommend resolution paths, enabling self-healing, auto-remediation, self-protecting through automatic security vulnerability detection, and self-optimizing of systems.</w:t>
      </w:r>
    </w:p>
    <w:p w14:paraId="7FCB0396" w14:textId="77777777" w:rsidR="00633284" w:rsidRPr="00633284" w:rsidRDefault="00633284" w:rsidP="00633284">
      <w:pPr>
        <w:numPr>
          <w:ilvl w:val="0"/>
          <w:numId w:val="2"/>
        </w:numPr>
      </w:pPr>
      <w:r w:rsidRPr="00633284">
        <w:rPr>
          <w:b/>
          <w:bCs/>
        </w:rPr>
        <w:t>Grail Data Lakehouse</w:t>
      </w:r>
      <w:r w:rsidRPr="00633284">
        <w:t xml:space="preserve"> — a massively parallel processing data </w:t>
      </w:r>
      <w:proofErr w:type="spellStart"/>
      <w:r w:rsidRPr="00633284">
        <w:t>lakehouse</w:t>
      </w:r>
      <w:proofErr w:type="spellEnd"/>
      <w:r w:rsidRPr="00633284">
        <w:t xml:space="preserve"> purpose-built to ingest, store, and run lightning-fast analytics on observability, security, and business data.</w:t>
      </w:r>
    </w:p>
    <w:p w14:paraId="2A559BE3" w14:textId="77777777" w:rsidR="00633284" w:rsidRPr="00633284" w:rsidRDefault="00633284" w:rsidP="00633284">
      <w:pPr>
        <w:numPr>
          <w:ilvl w:val="0"/>
          <w:numId w:val="2"/>
        </w:numPr>
      </w:pPr>
      <w:r w:rsidRPr="00633284">
        <w:rPr>
          <w:b/>
          <w:bCs/>
        </w:rPr>
        <w:t>Cloud Security Posture Management (CSPM)</w:t>
      </w:r>
      <w:r w:rsidRPr="00633284">
        <w:t xml:space="preserve"> — enables organizations to manage their entire cloud security posture through a single, unified platform through continuous monitoring, automated remediation, and centralized visibility, supporting regulatory standards such as PCI DSS, CIS, and GDPR.</w:t>
      </w:r>
    </w:p>
    <w:p w14:paraId="314A19D3" w14:textId="77777777" w:rsidR="00633284" w:rsidRPr="00633284" w:rsidRDefault="00633284" w:rsidP="00633284">
      <w:pPr>
        <w:numPr>
          <w:ilvl w:val="0"/>
          <w:numId w:val="2"/>
        </w:numPr>
      </w:pPr>
      <w:r w:rsidRPr="00633284">
        <w:rPr>
          <w:b/>
          <w:bCs/>
        </w:rPr>
        <w:t>Live Debugger</w:t>
      </w:r>
      <w:r w:rsidRPr="00633284">
        <w:t xml:space="preserve"> — extracts debugging information without performance impact, along with new dashboards with advanced log, metrics, and trace analytics via Davis AI.</w:t>
      </w:r>
    </w:p>
    <w:p w14:paraId="02CD7CA3" w14:textId="77777777" w:rsidR="00633284" w:rsidRPr="00633284" w:rsidRDefault="005A0DDF" w:rsidP="00633284">
      <w:r>
        <w:pict w14:anchorId="5D58309E">
          <v:rect id="_x0000_i1026" style="width:0;height:1.5pt" o:hralign="center" o:hrstd="t" o:hr="t" fillcolor="#a0a0a0" stroked="f"/>
        </w:pict>
      </w:r>
    </w:p>
    <w:p w14:paraId="2033298C" w14:textId="77777777" w:rsidR="00633284" w:rsidRPr="00633284" w:rsidRDefault="00633284" w:rsidP="00633284">
      <w:pPr>
        <w:rPr>
          <w:b/>
          <w:bCs/>
        </w:rPr>
      </w:pPr>
      <w:r w:rsidRPr="00633284">
        <w:rPr>
          <w:rFonts w:ascii="Segoe UI Emoji" w:hAnsi="Segoe UI Emoji" w:cs="Segoe UI Emoji"/>
          <w:b/>
          <w:bCs/>
        </w:rPr>
        <w:t>🟢</w:t>
      </w:r>
      <w:r w:rsidRPr="00633284">
        <w:rPr>
          <w:b/>
          <w:bCs/>
        </w:rPr>
        <w:t xml:space="preserve"> ServiceNow</w:t>
      </w:r>
    </w:p>
    <w:p w14:paraId="65CD9968" w14:textId="77777777" w:rsidR="00633284" w:rsidRPr="00633284" w:rsidRDefault="00633284" w:rsidP="00633284">
      <w:r w:rsidRPr="00633284">
        <w:t xml:space="preserve">ServiceNow's AIOps is delivered through its </w:t>
      </w:r>
      <w:r w:rsidRPr="00633284">
        <w:rPr>
          <w:b/>
          <w:bCs/>
        </w:rPr>
        <w:t>ITOM Health</w:t>
      </w:r>
      <w:r w:rsidRPr="00633284">
        <w:t xml:space="preserve"> suite and </w:t>
      </w:r>
      <w:r w:rsidRPr="00633284">
        <w:rPr>
          <w:b/>
          <w:bCs/>
        </w:rPr>
        <w:t>Now Assist</w:t>
      </w:r>
      <w:r w:rsidRPr="00633284">
        <w:t xml:space="preserve"> GenAI layer. ServiceNow's AIOps solution combines Event Management, Metric Intelligence (MI), and Health Log Analytics (HLA) into a unified Event Intelligence platform.</w:t>
      </w:r>
    </w:p>
    <w:p w14:paraId="1B830872" w14:textId="77777777" w:rsidR="00633284" w:rsidRPr="00633284" w:rsidRDefault="00633284" w:rsidP="00633284">
      <w:r w:rsidRPr="00633284">
        <w:t>Key AIOps tools:</w:t>
      </w:r>
    </w:p>
    <w:p w14:paraId="0CE7B2D7" w14:textId="77777777" w:rsidR="00633284" w:rsidRPr="00633284" w:rsidRDefault="00633284" w:rsidP="00633284">
      <w:pPr>
        <w:numPr>
          <w:ilvl w:val="0"/>
          <w:numId w:val="3"/>
        </w:numPr>
      </w:pPr>
      <w:r w:rsidRPr="00633284">
        <w:rPr>
          <w:b/>
          <w:bCs/>
        </w:rPr>
        <w:t>Event Management</w:t>
      </w:r>
      <w:r w:rsidRPr="00633284">
        <w:t xml:space="preserve"> — ingests and consolidates events from multiple monitoring tools, applying rule-based filtering and ML-driven event correlation, topology-based correlation leveraging CMDB, and AI-driven correlation that can cut noise by up to 99% by consolidating raw alerts into meaningful incidents.</w:t>
      </w:r>
    </w:p>
    <w:p w14:paraId="2FC4A924" w14:textId="77777777" w:rsidR="00633284" w:rsidRPr="00633284" w:rsidRDefault="00633284" w:rsidP="00633284">
      <w:pPr>
        <w:numPr>
          <w:ilvl w:val="0"/>
          <w:numId w:val="3"/>
        </w:numPr>
      </w:pPr>
      <w:r w:rsidRPr="00633284">
        <w:rPr>
          <w:b/>
          <w:bCs/>
        </w:rPr>
        <w:t>Metric Intelligence (MI)</w:t>
      </w:r>
      <w:r w:rsidRPr="00633284">
        <w:t xml:space="preserve"> — continuously </w:t>
      </w:r>
      <w:proofErr w:type="spellStart"/>
      <w:r w:rsidRPr="00633284">
        <w:t>analyzes</w:t>
      </w:r>
      <w:proofErr w:type="spellEnd"/>
      <w:r w:rsidRPr="00633284">
        <w:t xml:space="preserve"> metric data for rapid anomaly detection and dynamic thresholding.</w:t>
      </w:r>
    </w:p>
    <w:p w14:paraId="2699850C" w14:textId="77777777" w:rsidR="00633284" w:rsidRPr="00633284" w:rsidRDefault="00633284" w:rsidP="00633284">
      <w:pPr>
        <w:numPr>
          <w:ilvl w:val="0"/>
          <w:numId w:val="3"/>
        </w:numPr>
      </w:pPr>
      <w:r w:rsidRPr="00633284">
        <w:rPr>
          <w:b/>
          <w:bCs/>
        </w:rPr>
        <w:t>Health Log Analytics (HLA)</w:t>
      </w:r>
      <w:r w:rsidRPr="00633284">
        <w:t xml:space="preserve"> — provides real-time analysis and monitoring of logs, ensuring swift identification of anomalies.</w:t>
      </w:r>
    </w:p>
    <w:p w14:paraId="6A91F553" w14:textId="77777777" w:rsidR="00633284" w:rsidRPr="00633284" w:rsidRDefault="00633284" w:rsidP="00633284">
      <w:pPr>
        <w:numPr>
          <w:ilvl w:val="0"/>
          <w:numId w:val="3"/>
        </w:numPr>
      </w:pPr>
      <w:r w:rsidRPr="00633284">
        <w:rPr>
          <w:b/>
          <w:bCs/>
        </w:rPr>
        <w:t>Now Assist for ITOM</w:t>
      </w:r>
      <w:r w:rsidRPr="00633284">
        <w:t xml:space="preserve"> — brings GenAI into everyday workflows. Instead of combing through events and alerts or lengthy articles and complex logs, users and agents receive predictive insights and concise summaries tailored to their queries.</w:t>
      </w:r>
    </w:p>
    <w:p w14:paraId="7C7D546E" w14:textId="77777777" w:rsidR="00633284" w:rsidRPr="00633284" w:rsidRDefault="00633284" w:rsidP="00633284">
      <w:pPr>
        <w:numPr>
          <w:ilvl w:val="0"/>
          <w:numId w:val="3"/>
        </w:numPr>
      </w:pPr>
      <w:r w:rsidRPr="00633284">
        <w:rPr>
          <w:b/>
          <w:bCs/>
        </w:rPr>
        <w:t>Predictive AIOps</w:t>
      </w:r>
      <w:r w:rsidRPr="00633284">
        <w:t xml:space="preserve"> — acts as a smart assistant that monitors issues early, raising events against CIs when there is a performance anomaly, and sets thresholds </w:t>
      </w:r>
      <w:r w:rsidRPr="00633284">
        <w:lastRenderedPageBreak/>
        <w:t>with the help of machine learning, reducing the effort of manually entering thousands of thresholds.</w:t>
      </w:r>
    </w:p>
    <w:p w14:paraId="6F1CF3A6" w14:textId="77777777" w:rsidR="00633284" w:rsidRPr="00633284" w:rsidRDefault="00633284" w:rsidP="00633284">
      <w:pPr>
        <w:numPr>
          <w:ilvl w:val="0"/>
          <w:numId w:val="3"/>
        </w:numPr>
      </w:pPr>
      <w:r w:rsidRPr="00633284">
        <w:rPr>
          <w:b/>
          <w:bCs/>
        </w:rPr>
        <w:t>Service Operations Workspace (SOW)</w:t>
      </w:r>
      <w:r w:rsidRPr="00633284">
        <w:t xml:space="preserve"> — the central workspace for AIOps users, where they can configure monitoring tool integrations, alert enrichment, alert escalation, alert remediation, and more.</w:t>
      </w:r>
    </w:p>
    <w:p w14:paraId="44BC1287" w14:textId="77777777" w:rsidR="00633284" w:rsidRPr="00633284" w:rsidRDefault="00633284" w:rsidP="00633284">
      <w:pPr>
        <w:numPr>
          <w:ilvl w:val="0"/>
          <w:numId w:val="3"/>
        </w:numPr>
      </w:pPr>
      <w:r w:rsidRPr="00633284">
        <w:rPr>
          <w:b/>
          <w:bCs/>
        </w:rPr>
        <w:t>Integration Launchpad</w:t>
      </w:r>
      <w:r w:rsidRPr="00633284">
        <w:t xml:space="preserve"> — streamlines onboarding of data from various monitoring tools, enhancing system interoperability.</w:t>
      </w:r>
    </w:p>
    <w:p w14:paraId="7E1F9C2E" w14:textId="77777777" w:rsidR="00633284" w:rsidRPr="00633284" w:rsidRDefault="005A0DDF" w:rsidP="00633284">
      <w:r>
        <w:pict w14:anchorId="1B4E06C0">
          <v:rect id="_x0000_i1027" style="width:0;height:1.5pt" o:hralign="center" o:hrstd="t" o:hr="t" fillcolor="#a0a0a0" stroked="f"/>
        </w:pict>
      </w:r>
    </w:p>
    <w:p w14:paraId="1DB79A6E" w14:textId="77777777" w:rsidR="00633284" w:rsidRPr="00633284" w:rsidRDefault="00633284" w:rsidP="00633284">
      <w:pPr>
        <w:rPr>
          <w:b/>
          <w:bCs/>
        </w:rPr>
      </w:pPr>
      <w:r w:rsidRPr="00633284">
        <w:rPr>
          <w:rFonts w:ascii="Segoe UI Emoji" w:hAnsi="Segoe UI Emoji" w:cs="Segoe UI Emoji"/>
          <w:b/>
          <w:bCs/>
        </w:rPr>
        <w:t>🔴</w:t>
      </w:r>
      <w:r w:rsidRPr="00633284">
        <w:rPr>
          <w:b/>
          <w:bCs/>
        </w:rPr>
        <w:t xml:space="preserve"> IBM</w:t>
      </w:r>
    </w:p>
    <w:p w14:paraId="27AC4268" w14:textId="77777777" w:rsidR="00633284" w:rsidRPr="00633284" w:rsidRDefault="00633284" w:rsidP="00633284">
      <w:r w:rsidRPr="00633284">
        <w:t xml:space="preserve">IBM's AIOps portfolio is a suite of integrated products built around </w:t>
      </w:r>
      <w:r w:rsidRPr="00633284">
        <w:rPr>
          <w:b/>
          <w:bCs/>
        </w:rPr>
        <w:t>Watson AI</w:t>
      </w:r>
      <w:r w:rsidRPr="00633284">
        <w:t xml:space="preserve"> and </w:t>
      </w:r>
      <w:proofErr w:type="spellStart"/>
      <w:r w:rsidRPr="00633284">
        <w:rPr>
          <w:b/>
          <w:bCs/>
        </w:rPr>
        <w:t>Watsonx</w:t>
      </w:r>
      <w:proofErr w:type="spellEnd"/>
      <w:r w:rsidRPr="00633284">
        <w:t>:</w:t>
      </w:r>
    </w:p>
    <w:p w14:paraId="167C5E75" w14:textId="77777777" w:rsidR="00633284" w:rsidRPr="00633284" w:rsidRDefault="00633284" w:rsidP="00633284">
      <w:pPr>
        <w:numPr>
          <w:ilvl w:val="0"/>
          <w:numId w:val="4"/>
        </w:numPr>
      </w:pPr>
      <w:r w:rsidRPr="00633284">
        <w:rPr>
          <w:b/>
          <w:bCs/>
        </w:rPr>
        <w:t>IBM Cloud Pak for AIOps (Watson AIOps)</w:t>
      </w:r>
      <w:r w:rsidRPr="00633284">
        <w:t xml:space="preserve"> — uses AI-driven insights to unify operations, predict issues, and accelerate incident resolution, allowing teams to detect anomalies, correlate events, and automate remediation to enhance resilience across complex environments. It goes from millions of noisy alerts to a few actionable incidents using AI to deduplicate alerts, detect anomalies, and correlate events.</w:t>
      </w:r>
    </w:p>
    <w:p w14:paraId="3C407DB4" w14:textId="77777777" w:rsidR="00633284" w:rsidRPr="00633284" w:rsidRDefault="00633284" w:rsidP="00633284">
      <w:pPr>
        <w:numPr>
          <w:ilvl w:val="0"/>
          <w:numId w:val="4"/>
        </w:numPr>
      </w:pPr>
      <w:r w:rsidRPr="00633284">
        <w:rPr>
          <w:b/>
          <w:bCs/>
        </w:rPr>
        <w:t xml:space="preserve">IBM </w:t>
      </w:r>
      <w:proofErr w:type="spellStart"/>
      <w:r w:rsidRPr="00633284">
        <w:rPr>
          <w:b/>
          <w:bCs/>
        </w:rPr>
        <w:t>Instana</w:t>
      </w:r>
      <w:proofErr w:type="spellEnd"/>
      <w:r w:rsidRPr="00633284">
        <w:rPr>
          <w:b/>
          <w:bCs/>
        </w:rPr>
        <w:t xml:space="preserve"> (APM &amp; Observability)</w:t>
      </w:r>
      <w:r w:rsidRPr="00633284">
        <w:t xml:space="preserve"> — automatically discovers, maps, and monitors all services and infrastructure components, enabling complete, contextualized visibility across the application stack. It is designed to help DevOps and SRE teams simplify cloud complexity and maximize uptime using AI-powered, automated observability.</w:t>
      </w:r>
    </w:p>
    <w:p w14:paraId="11233C02" w14:textId="77777777" w:rsidR="00633284" w:rsidRPr="00633284" w:rsidRDefault="00633284" w:rsidP="00633284">
      <w:pPr>
        <w:numPr>
          <w:ilvl w:val="0"/>
          <w:numId w:val="4"/>
        </w:numPr>
      </w:pPr>
      <w:r w:rsidRPr="00633284">
        <w:rPr>
          <w:b/>
          <w:bCs/>
        </w:rPr>
        <w:t xml:space="preserve">IBM </w:t>
      </w:r>
      <w:proofErr w:type="spellStart"/>
      <w:r w:rsidRPr="00633284">
        <w:rPr>
          <w:b/>
          <w:bCs/>
        </w:rPr>
        <w:t>Turbonomic</w:t>
      </w:r>
      <w:proofErr w:type="spellEnd"/>
      <w:r w:rsidRPr="00633284">
        <w:rPr>
          <w:b/>
          <w:bCs/>
        </w:rPr>
        <w:t xml:space="preserve"> (Application Resource Management)</w:t>
      </w:r>
      <w:r w:rsidRPr="00633284">
        <w:t xml:space="preserve"> — a domain-specific AIOps solution dedicated to application resource management that modifies the environment automatically to maximize the performance of services and applications while minimizing cost and resource usage.</w:t>
      </w:r>
    </w:p>
    <w:p w14:paraId="0FC1D57F" w14:textId="77777777" w:rsidR="00633284" w:rsidRPr="00633284" w:rsidRDefault="00633284" w:rsidP="00633284">
      <w:pPr>
        <w:numPr>
          <w:ilvl w:val="0"/>
          <w:numId w:val="4"/>
        </w:numPr>
      </w:pPr>
      <w:r w:rsidRPr="00633284">
        <w:rPr>
          <w:b/>
          <w:bCs/>
        </w:rPr>
        <w:t>IBM Concert</w:t>
      </w:r>
      <w:r w:rsidRPr="00633284">
        <w:t xml:space="preserve"> — uses the </w:t>
      </w:r>
      <w:proofErr w:type="spellStart"/>
      <w:r w:rsidRPr="00633284">
        <w:t>Watsonx</w:t>
      </w:r>
      <w:proofErr w:type="spellEnd"/>
      <w:r w:rsidRPr="00633284">
        <w:t xml:space="preserve"> generative AI platform to create a comprehensive view of enterprise applications, issue natural language recommendations, and orchestrate automated responses to events, tying together tools including </w:t>
      </w:r>
      <w:proofErr w:type="spellStart"/>
      <w:r w:rsidRPr="00633284">
        <w:t>HashiCorp</w:t>
      </w:r>
      <w:proofErr w:type="spellEnd"/>
      <w:r w:rsidRPr="00633284">
        <w:t xml:space="preserve">, Red Hat Ansible, IBM </w:t>
      </w:r>
      <w:proofErr w:type="spellStart"/>
      <w:r w:rsidRPr="00633284">
        <w:t>Turbonomic</w:t>
      </w:r>
      <w:proofErr w:type="spellEnd"/>
      <w:r w:rsidRPr="00633284">
        <w:t xml:space="preserve">, and IBM </w:t>
      </w:r>
      <w:proofErr w:type="spellStart"/>
      <w:r w:rsidRPr="00633284">
        <w:t>Instana</w:t>
      </w:r>
      <w:proofErr w:type="spellEnd"/>
      <w:r w:rsidRPr="00633284">
        <w:t>.</w:t>
      </w:r>
    </w:p>
    <w:p w14:paraId="1A282887" w14:textId="77777777" w:rsidR="00633284" w:rsidRPr="00633284" w:rsidRDefault="00633284" w:rsidP="00633284">
      <w:pPr>
        <w:numPr>
          <w:ilvl w:val="0"/>
          <w:numId w:val="4"/>
        </w:numPr>
      </w:pPr>
      <w:r w:rsidRPr="00633284">
        <w:rPr>
          <w:b/>
          <w:bCs/>
        </w:rPr>
        <w:t xml:space="preserve">IBM </w:t>
      </w:r>
      <w:proofErr w:type="spellStart"/>
      <w:r w:rsidRPr="00633284">
        <w:rPr>
          <w:b/>
          <w:bCs/>
        </w:rPr>
        <w:t>SevOne</w:t>
      </w:r>
      <w:proofErr w:type="spellEnd"/>
      <w:r w:rsidRPr="00633284">
        <w:t xml:space="preserve"> — a network performance management (NPM) solution that provides network visibility within the IBM AIOps ecosystem.</w:t>
      </w:r>
    </w:p>
    <w:p w14:paraId="11A79026" w14:textId="77777777" w:rsidR="00633284" w:rsidRPr="00633284" w:rsidRDefault="005A0DDF" w:rsidP="00633284">
      <w:r>
        <w:pict w14:anchorId="1B65B610">
          <v:rect id="_x0000_i1028" style="width:0;height:1.5pt" o:hralign="center" o:hrstd="t" o:hr="t" fillcolor="#a0a0a0" stroked="f"/>
        </w:pict>
      </w:r>
    </w:p>
    <w:p w14:paraId="6451B1C2" w14:textId="77777777" w:rsidR="00633284" w:rsidRPr="00633284" w:rsidRDefault="00633284" w:rsidP="00633284">
      <w:pPr>
        <w:rPr>
          <w:b/>
          <w:bCs/>
        </w:rPr>
      </w:pPr>
      <w:r w:rsidRPr="00633284">
        <w:rPr>
          <w:b/>
          <w:bCs/>
        </w:rPr>
        <w:t>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1594"/>
        <w:gridCol w:w="1322"/>
        <w:gridCol w:w="2016"/>
        <w:gridCol w:w="2221"/>
      </w:tblGrid>
      <w:tr w:rsidR="00633284" w:rsidRPr="00633284" w14:paraId="50B0F504" w14:textId="77777777">
        <w:trPr>
          <w:tblHeader/>
          <w:tblCellSpacing w:w="15" w:type="dxa"/>
        </w:trPr>
        <w:tc>
          <w:tcPr>
            <w:tcW w:w="0" w:type="auto"/>
            <w:vAlign w:val="center"/>
            <w:hideMark/>
          </w:tcPr>
          <w:p w14:paraId="2D1D42E8" w14:textId="77777777" w:rsidR="00633284" w:rsidRPr="00633284" w:rsidRDefault="00633284" w:rsidP="00633284">
            <w:pPr>
              <w:rPr>
                <w:b/>
                <w:bCs/>
              </w:rPr>
            </w:pPr>
            <w:r w:rsidRPr="00633284">
              <w:rPr>
                <w:b/>
                <w:bCs/>
              </w:rPr>
              <w:lastRenderedPageBreak/>
              <w:t>Capability</w:t>
            </w:r>
          </w:p>
        </w:tc>
        <w:tc>
          <w:tcPr>
            <w:tcW w:w="0" w:type="auto"/>
            <w:vAlign w:val="center"/>
            <w:hideMark/>
          </w:tcPr>
          <w:p w14:paraId="569C998B" w14:textId="77777777" w:rsidR="00633284" w:rsidRPr="00633284" w:rsidRDefault="00633284" w:rsidP="00633284">
            <w:pPr>
              <w:rPr>
                <w:b/>
                <w:bCs/>
              </w:rPr>
            </w:pPr>
            <w:proofErr w:type="spellStart"/>
            <w:r w:rsidRPr="00633284">
              <w:rPr>
                <w:b/>
                <w:bCs/>
              </w:rPr>
              <w:t>LogicMonitor</w:t>
            </w:r>
            <w:proofErr w:type="spellEnd"/>
          </w:p>
        </w:tc>
        <w:tc>
          <w:tcPr>
            <w:tcW w:w="0" w:type="auto"/>
            <w:vAlign w:val="center"/>
            <w:hideMark/>
          </w:tcPr>
          <w:p w14:paraId="50BB4C7A" w14:textId="77777777" w:rsidR="00633284" w:rsidRPr="00633284" w:rsidRDefault="00633284" w:rsidP="00633284">
            <w:pPr>
              <w:rPr>
                <w:b/>
                <w:bCs/>
              </w:rPr>
            </w:pPr>
            <w:r w:rsidRPr="00633284">
              <w:rPr>
                <w:b/>
                <w:bCs/>
              </w:rPr>
              <w:t>Dynatrace</w:t>
            </w:r>
          </w:p>
        </w:tc>
        <w:tc>
          <w:tcPr>
            <w:tcW w:w="0" w:type="auto"/>
            <w:vAlign w:val="center"/>
            <w:hideMark/>
          </w:tcPr>
          <w:p w14:paraId="3C71BC23" w14:textId="77777777" w:rsidR="00633284" w:rsidRPr="00633284" w:rsidRDefault="00633284" w:rsidP="00633284">
            <w:pPr>
              <w:rPr>
                <w:b/>
                <w:bCs/>
              </w:rPr>
            </w:pPr>
            <w:r w:rsidRPr="00633284">
              <w:rPr>
                <w:b/>
                <w:bCs/>
              </w:rPr>
              <w:t>ServiceNow</w:t>
            </w:r>
          </w:p>
        </w:tc>
        <w:tc>
          <w:tcPr>
            <w:tcW w:w="0" w:type="auto"/>
            <w:vAlign w:val="center"/>
            <w:hideMark/>
          </w:tcPr>
          <w:p w14:paraId="724B600E" w14:textId="77777777" w:rsidR="00633284" w:rsidRPr="00633284" w:rsidRDefault="00633284" w:rsidP="00633284">
            <w:pPr>
              <w:rPr>
                <w:b/>
                <w:bCs/>
              </w:rPr>
            </w:pPr>
            <w:r w:rsidRPr="00633284">
              <w:rPr>
                <w:b/>
                <w:bCs/>
              </w:rPr>
              <w:t>IBM</w:t>
            </w:r>
          </w:p>
        </w:tc>
      </w:tr>
      <w:tr w:rsidR="00633284" w:rsidRPr="00633284" w14:paraId="7C473D7B" w14:textId="77777777">
        <w:trPr>
          <w:tblCellSpacing w:w="15" w:type="dxa"/>
        </w:trPr>
        <w:tc>
          <w:tcPr>
            <w:tcW w:w="0" w:type="auto"/>
            <w:vAlign w:val="center"/>
            <w:hideMark/>
          </w:tcPr>
          <w:p w14:paraId="2FB48514" w14:textId="77777777" w:rsidR="00633284" w:rsidRPr="00633284" w:rsidRDefault="00633284" w:rsidP="00633284">
            <w:r w:rsidRPr="00633284">
              <w:rPr>
                <w:b/>
                <w:bCs/>
              </w:rPr>
              <w:t>AI Engine / Brand</w:t>
            </w:r>
          </w:p>
        </w:tc>
        <w:tc>
          <w:tcPr>
            <w:tcW w:w="0" w:type="auto"/>
            <w:vAlign w:val="center"/>
            <w:hideMark/>
          </w:tcPr>
          <w:p w14:paraId="3B6215F3" w14:textId="77777777" w:rsidR="00633284" w:rsidRPr="00633284" w:rsidRDefault="00633284" w:rsidP="00633284">
            <w:r w:rsidRPr="00633284">
              <w:t>Edwin AI</w:t>
            </w:r>
          </w:p>
        </w:tc>
        <w:tc>
          <w:tcPr>
            <w:tcW w:w="0" w:type="auto"/>
            <w:vAlign w:val="center"/>
            <w:hideMark/>
          </w:tcPr>
          <w:p w14:paraId="3CF0E245" w14:textId="77777777" w:rsidR="00633284" w:rsidRPr="00633284" w:rsidRDefault="00633284" w:rsidP="00633284">
            <w:r w:rsidRPr="00633284">
              <w:t>Davis AI</w:t>
            </w:r>
          </w:p>
        </w:tc>
        <w:tc>
          <w:tcPr>
            <w:tcW w:w="0" w:type="auto"/>
            <w:vAlign w:val="center"/>
            <w:hideMark/>
          </w:tcPr>
          <w:p w14:paraId="0025467D" w14:textId="77777777" w:rsidR="00633284" w:rsidRPr="00633284" w:rsidRDefault="00633284" w:rsidP="00633284">
            <w:r w:rsidRPr="00633284">
              <w:t>Now Assist / Predictive AIOps</w:t>
            </w:r>
          </w:p>
        </w:tc>
        <w:tc>
          <w:tcPr>
            <w:tcW w:w="0" w:type="auto"/>
            <w:vAlign w:val="center"/>
            <w:hideMark/>
          </w:tcPr>
          <w:p w14:paraId="310DDF96" w14:textId="77777777" w:rsidR="00633284" w:rsidRPr="00633284" w:rsidRDefault="00633284" w:rsidP="00633284">
            <w:r w:rsidRPr="00633284">
              <w:t xml:space="preserve">Watson AIOps / </w:t>
            </w:r>
            <w:proofErr w:type="spellStart"/>
            <w:r w:rsidRPr="00633284">
              <w:t>Watsonx</w:t>
            </w:r>
            <w:proofErr w:type="spellEnd"/>
          </w:p>
        </w:tc>
      </w:tr>
      <w:tr w:rsidR="00633284" w:rsidRPr="00633284" w14:paraId="5544AFAA" w14:textId="77777777">
        <w:trPr>
          <w:tblCellSpacing w:w="15" w:type="dxa"/>
        </w:trPr>
        <w:tc>
          <w:tcPr>
            <w:tcW w:w="0" w:type="auto"/>
            <w:vAlign w:val="center"/>
            <w:hideMark/>
          </w:tcPr>
          <w:p w14:paraId="540E848E" w14:textId="77777777" w:rsidR="00633284" w:rsidRPr="00633284" w:rsidRDefault="00633284" w:rsidP="00633284">
            <w:r w:rsidRPr="00633284">
              <w:rPr>
                <w:b/>
                <w:bCs/>
              </w:rPr>
              <w:t>Anomaly Detection</w:t>
            </w:r>
          </w:p>
        </w:tc>
        <w:tc>
          <w:tcPr>
            <w:tcW w:w="0" w:type="auto"/>
            <w:vAlign w:val="center"/>
            <w:hideMark/>
          </w:tcPr>
          <w:p w14:paraId="4C001294" w14:textId="77777777" w:rsidR="00633284" w:rsidRPr="00633284" w:rsidRDefault="00633284" w:rsidP="00633284">
            <w:r w:rsidRPr="00633284">
              <w:rPr>
                <w:rFonts w:ascii="Segoe UI Emoji" w:hAnsi="Segoe UI Emoji" w:cs="Segoe UI Emoji"/>
              </w:rPr>
              <w:t>✅</w:t>
            </w:r>
          </w:p>
        </w:tc>
        <w:tc>
          <w:tcPr>
            <w:tcW w:w="0" w:type="auto"/>
            <w:vAlign w:val="center"/>
            <w:hideMark/>
          </w:tcPr>
          <w:p w14:paraId="39D58D2F" w14:textId="77777777" w:rsidR="00633284" w:rsidRPr="00633284" w:rsidRDefault="00633284" w:rsidP="00633284">
            <w:r w:rsidRPr="00633284">
              <w:rPr>
                <w:rFonts w:ascii="Segoe UI Emoji" w:hAnsi="Segoe UI Emoji" w:cs="Segoe UI Emoji"/>
              </w:rPr>
              <w:t>✅</w:t>
            </w:r>
          </w:p>
        </w:tc>
        <w:tc>
          <w:tcPr>
            <w:tcW w:w="0" w:type="auto"/>
            <w:vAlign w:val="center"/>
            <w:hideMark/>
          </w:tcPr>
          <w:p w14:paraId="5096209C" w14:textId="77777777" w:rsidR="00633284" w:rsidRPr="00633284" w:rsidRDefault="00633284" w:rsidP="00633284">
            <w:r w:rsidRPr="00633284">
              <w:rPr>
                <w:rFonts w:ascii="Segoe UI Emoji" w:hAnsi="Segoe UI Emoji" w:cs="Segoe UI Emoji"/>
              </w:rPr>
              <w:t>✅</w:t>
            </w:r>
            <w:r w:rsidRPr="00633284">
              <w:t xml:space="preserve"> (Metric Intelligence)</w:t>
            </w:r>
          </w:p>
        </w:tc>
        <w:tc>
          <w:tcPr>
            <w:tcW w:w="0" w:type="auto"/>
            <w:vAlign w:val="center"/>
            <w:hideMark/>
          </w:tcPr>
          <w:p w14:paraId="2A6DE707" w14:textId="77777777" w:rsidR="00633284" w:rsidRPr="00633284" w:rsidRDefault="00633284" w:rsidP="00633284">
            <w:r w:rsidRPr="00633284">
              <w:rPr>
                <w:rFonts w:ascii="Segoe UI Emoji" w:hAnsi="Segoe UI Emoji" w:cs="Segoe UI Emoji"/>
              </w:rPr>
              <w:t>✅</w:t>
            </w:r>
            <w:r w:rsidRPr="00633284">
              <w:t xml:space="preserve"> (</w:t>
            </w:r>
            <w:proofErr w:type="spellStart"/>
            <w:r w:rsidRPr="00633284">
              <w:t>Instana</w:t>
            </w:r>
            <w:proofErr w:type="spellEnd"/>
            <w:r w:rsidRPr="00633284">
              <w:t>)</w:t>
            </w:r>
          </w:p>
        </w:tc>
      </w:tr>
      <w:tr w:rsidR="00633284" w:rsidRPr="00633284" w14:paraId="6F1B554F" w14:textId="77777777">
        <w:trPr>
          <w:tblCellSpacing w:w="15" w:type="dxa"/>
        </w:trPr>
        <w:tc>
          <w:tcPr>
            <w:tcW w:w="0" w:type="auto"/>
            <w:vAlign w:val="center"/>
            <w:hideMark/>
          </w:tcPr>
          <w:p w14:paraId="4713E878" w14:textId="77777777" w:rsidR="00633284" w:rsidRPr="00633284" w:rsidRDefault="00633284" w:rsidP="00633284">
            <w:r w:rsidRPr="00633284">
              <w:rPr>
                <w:b/>
                <w:bCs/>
              </w:rPr>
              <w:t>Root Cause Analysis</w:t>
            </w:r>
          </w:p>
        </w:tc>
        <w:tc>
          <w:tcPr>
            <w:tcW w:w="0" w:type="auto"/>
            <w:vAlign w:val="center"/>
            <w:hideMark/>
          </w:tcPr>
          <w:p w14:paraId="61CA2A05" w14:textId="77777777" w:rsidR="00633284" w:rsidRPr="00633284" w:rsidRDefault="00633284" w:rsidP="00633284">
            <w:r w:rsidRPr="00633284">
              <w:rPr>
                <w:rFonts w:ascii="Segoe UI Emoji" w:hAnsi="Segoe UI Emoji" w:cs="Segoe UI Emoji"/>
              </w:rPr>
              <w:t>✅</w:t>
            </w:r>
          </w:p>
        </w:tc>
        <w:tc>
          <w:tcPr>
            <w:tcW w:w="0" w:type="auto"/>
            <w:vAlign w:val="center"/>
            <w:hideMark/>
          </w:tcPr>
          <w:p w14:paraId="23BAE745" w14:textId="77777777" w:rsidR="00633284" w:rsidRPr="00633284" w:rsidRDefault="00633284" w:rsidP="00633284">
            <w:r w:rsidRPr="00633284">
              <w:rPr>
                <w:rFonts w:ascii="Segoe UI Emoji" w:hAnsi="Segoe UI Emoji" w:cs="Segoe UI Emoji"/>
              </w:rPr>
              <w:t>✅</w:t>
            </w:r>
            <w:r w:rsidRPr="00633284">
              <w:t xml:space="preserve"> (Causal AI)</w:t>
            </w:r>
          </w:p>
        </w:tc>
        <w:tc>
          <w:tcPr>
            <w:tcW w:w="0" w:type="auto"/>
            <w:vAlign w:val="center"/>
            <w:hideMark/>
          </w:tcPr>
          <w:p w14:paraId="544719A8" w14:textId="77777777" w:rsidR="00633284" w:rsidRPr="00633284" w:rsidRDefault="00633284" w:rsidP="00633284">
            <w:r w:rsidRPr="00633284">
              <w:rPr>
                <w:rFonts w:ascii="Segoe UI Emoji" w:hAnsi="Segoe UI Emoji" w:cs="Segoe UI Emoji"/>
              </w:rPr>
              <w:t>✅</w:t>
            </w:r>
          </w:p>
        </w:tc>
        <w:tc>
          <w:tcPr>
            <w:tcW w:w="0" w:type="auto"/>
            <w:vAlign w:val="center"/>
            <w:hideMark/>
          </w:tcPr>
          <w:p w14:paraId="46B028D5" w14:textId="77777777" w:rsidR="00633284" w:rsidRPr="00633284" w:rsidRDefault="00633284" w:rsidP="00633284">
            <w:r w:rsidRPr="00633284">
              <w:rPr>
                <w:rFonts w:ascii="Segoe UI Emoji" w:hAnsi="Segoe UI Emoji" w:cs="Segoe UI Emoji"/>
              </w:rPr>
              <w:t>✅</w:t>
            </w:r>
          </w:p>
        </w:tc>
      </w:tr>
      <w:tr w:rsidR="00633284" w:rsidRPr="00633284" w14:paraId="48E585DC" w14:textId="77777777">
        <w:trPr>
          <w:tblCellSpacing w:w="15" w:type="dxa"/>
        </w:trPr>
        <w:tc>
          <w:tcPr>
            <w:tcW w:w="0" w:type="auto"/>
            <w:vAlign w:val="center"/>
            <w:hideMark/>
          </w:tcPr>
          <w:p w14:paraId="06A4A10D" w14:textId="77777777" w:rsidR="00633284" w:rsidRPr="00633284" w:rsidRDefault="00633284" w:rsidP="00633284">
            <w:r w:rsidRPr="00633284">
              <w:rPr>
                <w:b/>
                <w:bCs/>
              </w:rPr>
              <w:t>Event Correlation</w:t>
            </w:r>
          </w:p>
        </w:tc>
        <w:tc>
          <w:tcPr>
            <w:tcW w:w="0" w:type="auto"/>
            <w:vAlign w:val="center"/>
            <w:hideMark/>
          </w:tcPr>
          <w:p w14:paraId="74C3322E" w14:textId="77777777" w:rsidR="00633284" w:rsidRPr="00633284" w:rsidRDefault="00633284" w:rsidP="00633284">
            <w:r w:rsidRPr="00633284">
              <w:rPr>
                <w:rFonts w:ascii="Segoe UI Emoji" w:hAnsi="Segoe UI Emoji" w:cs="Segoe UI Emoji"/>
              </w:rPr>
              <w:t>✅</w:t>
            </w:r>
          </w:p>
        </w:tc>
        <w:tc>
          <w:tcPr>
            <w:tcW w:w="0" w:type="auto"/>
            <w:vAlign w:val="center"/>
            <w:hideMark/>
          </w:tcPr>
          <w:p w14:paraId="7F691355" w14:textId="77777777" w:rsidR="00633284" w:rsidRPr="00633284" w:rsidRDefault="00633284" w:rsidP="00633284">
            <w:r w:rsidRPr="00633284">
              <w:rPr>
                <w:rFonts w:ascii="Segoe UI Emoji" w:hAnsi="Segoe UI Emoji" w:cs="Segoe UI Emoji"/>
              </w:rPr>
              <w:t>✅</w:t>
            </w:r>
          </w:p>
        </w:tc>
        <w:tc>
          <w:tcPr>
            <w:tcW w:w="0" w:type="auto"/>
            <w:vAlign w:val="center"/>
            <w:hideMark/>
          </w:tcPr>
          <w:p w14:paraId="7D179132" w14:textId="77777777" w:rsidR="00633284" w:rsidRPr="00633284" w:rsidRDefault="00633284" w:rsidP="00633284">
            <w:r w:rsidRPr="00633284">
              <w:rPr>
                <w:rFonts w:ascii="Segoe UI Emoji" w:hAnsi="Segoe UI Emoji" w:cs="Segoe UI Emoji"/>
              </w:rPr>
              <w:t>✅</w:t>
            </w:r>
            <w:r w:rsidRPr="00633284">
              <w:t xml:space="preserve"> (Event Management)</w:t>
            </w:r>
          </w:p>
        </w:tc>
        <w:tc>
          <w:tcPr>
            <w:tcW w:w="0" w:type="auto"/>
            <w:vAlign w:val="center"/>
            <w:hideMark/>
          </w:tcPr>
          <w:p w14:paraId="0C2A2BF8" w14:textId="77777777" w:rsidR="00633284" w:rsidRPr="00633284" w:rsidRDefault="00633284" w:rsidP="00633284">
            <w:r w:rsidRPr="00633284">
              <w:rPr>
                <w:rFonts w:ascii="Segoe UI Emoji" w:hAnsi="Segoe UI Emoji" w:cs="Segoe UI Emoji"/>
              </w:rPr>
              <w:t>✅</w:t>
            </w:r>
          </w:p>
        </w:tc>
      </w:tr>
      <w:tr w:rsidR="00633284" w:rsidRPr="00633284" w14:paraId="6D59E5A7" w14:textId="77777777">
        <w:trPr>
          <w:tblCellSpacing w:w="15" w:type="dxa"/>
        </w:trPr>
        <w:tc>
          <w:tcPr>
            <w:tcW w:w="0" w:type="auto"/>
            <w:vAlign w:val="center"/>
            <w:hideMark/>
          </w:tcPr>
          <w:p w14:paraId="284D2EAD" w14:textId="77777777" w:rsidR="00633284" w:rsidRPr="00633284" w:rsidRDefault="00633284" w:rsidP="00633284">
            <w:r w:rsidRPr="00633284">
              <w:rPr>
                <w:b/>
                <w:bCs/>
              </w:rPr>
              <w:t>Log Analytics</w:t>
            </w:r>
          </w:p>
        </w:tc>
        <w:tc>
          <w:tcPr>
            <w:tcW w:w="0" w:type="auto"/>
            <w:vAlign w:val="center"/>
            <w:hideMark/>
          </w:tcPr>
          <w:p w14:paraId="34046FF3" w14:textId="77777777" w:rsidR="00633284" w:rsidRPr="00633284" w:rsidRDefault="00633284" w:rsidP="00633284">
            <w:r w:rsidRPr="00633284">
              <w:rPr>
                <w:rFonts w:ascii="Segoe UI Emoji" w:hAnsi="Segoe UI Emoji" w:cs="Segoe UI Emoji"/>
              </w:rPr>
              <w:t>✅</w:t>
            </w:r>
          </w:p>
        </w:tc>
        <w:tc>
          <w:tcPr>
            <w:tcW w:w="0" w:type="auto"/>
            <w:vAlign w:val="center"/>
            <w:hideMark/>
          </w:tcPr>
          <w:p w14:paraId="29479399" w14:textId="77777777" w:rsidR="00633284" w:rsidRPr="00633284" w:rsidRDefault="00633284" w:rsidP="00633284">
            <w:r w:rsidRPr="00633284">
              <w:rPr>
                <w:rFonts w:ascii="Segoe UI Emoji" w:hAnsi="Segoe UI Emoji" w:cs="Segoe UI Emoji"/>
              </w:rPr>
              <w:t>✅</w:t>
            </w:r>
          </w:p>
        </w:tc>
        <w:tc>
          <w:tcPr>
            <w:tcW w:w="0" w:type="auto"/>
            <w:vAlign w:val="center"/>
            <w:hideMark/>
          </w:tcPr>
          <w:p w14:paraId="39F611A6" w14:textId="77777777" w:rsidR="00633284" w:rsidRPr="00633284" w:rsidRDefault="00633284" w:rsidP="00633284">
            <w:r w:rsidRPr="00633284">
              <w:rPr>
                <w:rFonts w:ascii="Segoe UI Emoji" w:hAnsi="Segoe UI Emoji" w:cs="Segoe UI Emoji"/>
              </w:rPr>
              <w:t>✅</w:t>
            </w:r>
            <w:r w:rsidRPr="00633284">
              <w:t xml:space="preserve"> (HLA)</w:t>
            </w:r>
          </w:p>
        </w:tc>
        <w:tc>
          <w:tcPr>
            <w:tcW w:w="0" w:type="auto"/>
            <w:vAlign w:val="center"/>
            <w:hideMark/>
          </w:tcPr>
          <w:p w14:paraId="300FE892" w14:textId="77777777" w:rsidR="00633284" w:rsidRPr="00633284" w:rsidRDefault="00633284" w:rsidP="00633284">
            <w:r w:rsidRPr="00633284">
              <w:rPr>
                <w:rFonts w:ascii="Segoe UI Emoji" w:hAnsi="Segoe UI Emoji" w:cs="Segoe UI Emoji"/>
              </w:rPr>
              <w:t>✅</w:t>
            </w:r>
            <w:r w:rsidRPr="00633284">
              <w:t xml:space="preserve"> (</w:t>
            </w:r>
            <w:proofErr w:type="spellStart"/>
            <w:r w:rsidRPr="00633284">
              <w:t>Instana</w:t>
            </w:r>
            <w:proofErr w:type="spellEnd"/>
            <w:r w:rsidRPr="00633284">
              <w:t>)</w:t>
            </w:r>
          </w:p>
        </w:tc>
      </w:tr>
      <w:tr w:rsidR="00633284" w:rsidRPr="00633284" w14:paraId="453C63FB" w14:textId="77777777">
        <w:trPr>
          <w:tblCellSpacing w:w="15" w:type="dxa"/>
        </w:trPr>
        <w:tc>
          <w:tcPr>
            <w:tcW w:w="0" w:type="auto"/>
            <w:vAlign w:val="center"/>
            <w:hideMark/>
          </w:tcPr>
          <w:p w14:paraId="2CCC35D9" w14:textId="77777777" w:rsidR="00633284" w:rsidRPr="00633284" w:rsidRDefault="00633284" w:rsidP="00633284">
            <w:r w:rsidRPr="00633284">
              <w:rPr>
                <w:b/>
                <w:bCs/>
              </w:rPr>
              <w:t>Auto-Remediation</w:t>
            </w:r>
          </w:p>
        </w:tc>
        <w:tc>
          <w:tcPr>
            <w:tcW w:w="0" w:type="auto"/>
            <w:vAlign w:val="center"/>
            <w:hideMark/>
          </w:tcPr>
          <w:p w14:paraId="313A9B2D" w14:textId="77777777" w:rsidR="00633284" w:rsidRPr="00633284" w:rsidRDefault="00633284" w:rsidP="00633284">
            <w:r w:rsidRPr="00633284">
              <w:rPr>
                <w:rFonts w:ascii="Segoe UI Emoji" w:hAnsi="Segoe UI Emoji" w:cs="Segoe UI Emoji"/>
              </w:rPr>
              <w:t>✅</w:t>
            </w:r>
          </w:p>
        </w:tc>
        <w:tc>
          <w:tcPr>
            <w:tcW w:w="0" w:type="auto"/>
            <w:vAlign w:val="center"/>
            <w:hideMark/>
          </w:tcPr>
          <w:p w14:paraId="305FE2EB" w14:textId="77777777" w:rsidR="00633284" w:rsidRPr="00633284" w:rsidRDefault="00633284" w:rsidP="00633284">
            <w:r w:rsidRPr="00633284">
              <w:rPr>
                <w:rFonts w:ascii="Segoe UI Emoji" w:hAnsi="Segoe UI Emoji" w:cs="Segoe UI Emoji"/>
              </w:rPr>
              <w:t>✅</w:t>
            </w:r>
          </w:p>
        </w:tc>
        <w:tc>
          <w:tcPr>
            <w:tcW w:w="0" w:type="auto"/>
            <w:vAlign w:val="center"/>
            <w:hideMark/>
          </w:tcPr>
          <w:p w14:paraId="6991157B" w14:textId="77777777" w:rsidR="00633284" w:rsidRPr="00633284" w:rsidRDefault="00633284" w:rsidP="00633284">
            <w:r w:rsidRPr="00633284">
              <w:rPr>
                <w:rFonts w:ascii="Segoe UI Emoji" w:hAnsi="Segoe UI Emoji" w:cs="Segoe UI Emoji"/>
              </w:rPr>
              <w:t>✅</w:t>
            </w:r>
            <w:r w:rsidRPr="00633284">
              <w:t xml:space="preserve"> (Playbooks)</w:t>
            </w:r>
          </w:p>
        </w:tc>
        <w:tc>
          <w:tcPr>
            <w:tcW w:w="0" w:type="auto"/>
            <w:vAlign w:val="center"/>
            <w:hideMark/>
          </w:tcPr>
          <w:p w14:paraId="7DF1EDCA" w14:textId="77777777" w:rsidR="00633284" w:rsidRPr="00633284" w:rsidRDefault="00633284" w:rsidP="00633284">
            <w:r w:rsidRPr="00633284">
              <w:rPr>
                <w:rFonts w:ascii="Segoe UI Emoji" w:hAnsi="Segoe UI Emoji" w:cs="Segoe UI Emoji"/>
              </w:rPr>
              <w:t>✅</w:t>
            </w:r>
            <w:r w:rsidRPr="00633284">
              <w:t xml:space="preserve"> (Runbooks)</w:t>
            </w:r>
          </w:p>
        </w:tc>
      </w:tr>
      <w:tr w:rsidR="00633284" w:rsidRPr="00633284" w14:paraId="0DBC7300" w14:textId="77777777">
        <w:trPr>
          <w:tblCellSpacing w:w="15" w:type="dxa"/>
        </w:trPr>
        <w:tc>
          <w:tcPr>
            <w:tcW w:w="0" w:type="auto"/>
            <w:vAlign w:val="center"/>
            <w:hideMark/>
          </w:tcPr>
          <w:p w14:paraId="38D468EE" w14:textId="77777777" w:rsidR="00633284" w:rsidRPr="00633284" w:rsidRDefault="00633284" w:rsidP="00633284">
            <w:r w:rsidRPr="00633284">
              <w:rPr>
                <w:b/>
                <w:bCs/>
              </w:rPr>
              <w:t>Forecasting / Capacity</w:t>
            </w:r>
          </w:p>
        </w:tc>
        <w:tc>
          <w:tcPr>
            <w:tcW w:w="0" w:type="auto"/>
            <w:vAlign w:val="center"/>
            <w:hideMark/>
          </w:tcPr>
          <w:p w14:paraId="47CA36A5" w14:textId="77777777" w:rsidR="00633284" w:rsidRPr="00633284" w:rsidRDefault="00633284" w:rsidP="00633284">
            <w:r w:rsidRPr="00633284">
              <w:rPr>
                <w:rFonts w:ascii="Segoe UI Emoji" w:hAnsi="Segoe UI Emoji" w:cs="Segoe UI Emoji"/>
              </w:rPr>
              <w:t>✅</w:t>
            </w:r>
          </w:p>
        </w:tc>
        <w:tc>
          <w:tcPr>
            <w:tcW w:w="0" w:type="auto"/>
            <w:vAlign w:val="center"/>
            <w:hideMark/>
          </w:tcPr>
          <w:p w14:paraId="339F3D05" w14:textId="77777777" w:rsidR="00633284" w:rsidRPr="00633284" w:rsidRDefault="00633284" w:rsidP="00633284">
            <w:r w:rsidRPr="00633284">
              <w:rPr>
                <w:rFonts w:ascii="Segoe UI Emoji" w:hAnsi="Segoe UI Emoji" w:cs="Segoe UI Emoji"/>
              </w:rPr>
              <w:t>✅</w:t>
            </w:r>
          </w:p>
        </w:tc>
        <w:tc>
          <w:tcPr>
            <w:tcW w:w="0" w:type="auto"/>
            <w:vAlign w:val="center"/>
            <w:hideMark/>
          </w:tcPr>
          <w:p w14:paraId="7EF4C3ED" w14:textId="77777777" w:rsidR="00633284" w:rsidRPr="00633284" w:rsidRDefault="00633284" w:rsidP="00633284">
            <w:r w:rsidRPr="00633284">
              <w:rPr>
                <w:rFonts w:ascii="Segoe UI Emoji" w:hAnsi="Segoe UI Emoji" w:cs="Segoe UI Emoji"/>
              </w:rPr>
              <w:t>✅</w:t>
            </w:r>
          </w:p>
        </w:tc>
        <w:tc>
          <w:tcPr>
            <w:tcW w:w="0" w:type="auto"/>
            <w:vAlign w:val="center"/>
            <w:hideMark/>
          </w:tcPr>
          <w:p w14:paraId="0F0D5682" w14:textId="77777777" w:rsidR="00633284" w:rsidRPr="00633284" w:rsidRDefault="00633284" w:rsidP="00633284">
            <w:r w:rsidRPr="00633284">
              <w:rPr>
                <w:rFonts w:ascii="Segoe UI Emoji" w:hAnsi="Segoe UI Emoji" w:cs="Segoe UI Emoji"/>
              </w:rPr>
              <w:t>✅</w:t>
            </w:r>
          </w:p>
        </w:tc>
      </w:tr>
      <w:tr w:rsidR="00633284" w:rsidRPr="00633284" w14:paraId="67E1D2AB" w14:textId="77777777">
        <w:trPr>
          <w:tblCellSpacing w:w="15" w:type="dxa"/>
        </w:trPr>
        <w:tc>
          <w:tcPr>
            <w:tcW w:w="0" w:type="auto"/>
            <w:vAlign w:val="center"/>
            <w:hideMark/>
          </w:tcPr>
          <w:p w14:paraId="11947C34" w14:textId="77777777" w:rsidR="00633284" w:rsidRPr="00633284" w:rsidRDefault="00633284" w:rsidP="00633284">
            <w:r w:rsidRPr="00633284">
              <w:rPr>
                <w:b/>
                <w:bCs/>
              </w:rPr>
              <w:t>GenAI / NLP Layer</w:t>
            </w:r>
          </w:p>
        </w:tc>
        <w:tc>
          <w:tcPr>
            <w:tcW w:w="0" w:type="auto"/>
            <w:vAlign w:val="center"/>
            <w:hideMark/>
          </w:tcPr>
          <w:p w14:paraId="086D8905" w14:textId="77777777" w:rsidR="00633284" w:rsidRPr="00633284" w:rsidRDefault="00633284" w:rsidP="00633284">
            <w:r w:rsidRPr="00633284">
              <w:rPr>
                <w:rFonts w:ascii="Segoe UI Emoji" w:hAnsi="Segoe UI Emoji" w:cs="Segoe UI Emoji"/>
              </w:rPr>
              <w:t>✅</w:t>
            </w:r>
          </w:p>
        </w:tc>
        <w:tc>
          <w:tcPr>
            <w:tcW w:w="0" w:type="auto"/>
            <w:vAlign w:val="center"/>
            <w:hideMark/>
          </w:tcPr>
          <w:p w14:paraId="6D2E4C25" w14:textId="77777777" w:rsidR="00633284" w:rsidRPr="00633284" w:rsidRDefault="00633284" w:rsidP="00633284">
            <w:r w:rsidRPr="00633284">
              <w:rPr>
                <w:rFonts w:ascii="Segoe UI Emoji" w:hAnsi="Segoe UI Emoji" w:cs="Segoe UI Emoji"/>
              </w:rPr>
              <w:t>✅</w:t>
            </w:r>
          </w:p>
        </w:tc>
        <w:tc>
          <w:tcPr>
            <w:tcW w:w="0" w:type="auto"/>
            <w:vAlign w:val="center"/>
            <w:hideMark/>
          </w:tcPr>
          <w:p w14:paraId="242C24A6" w14:textId="77777777" w:rsidR="00633284" w:rsidRPr="00633284" w:rsidRDefault="00633284" w:rsidP="00633284">
            <w:r w:rsidRPr="00633284">
              <w:rPr>
                <w:rFonts w:ascii="Segoe UI Emoji" w:hAnsi="Segoe UI Emoji" w:cs="Segoe UI Emoji"/>
              </w:rPr>
              <w:t>✅</w:t>
            </w:r>
            <w:r w:rsidRPr="00633284">
              <w:t xml:space="preserve"> (Now Assist)</w:t>
            </w:r>
          </w:p>
        </w:tc>
        <w:tc>
          <w:tcPr>
            <w:tcW w:w="0" w:type="auto"/>
            <w:vAlign w:val="center"/>
            <w:hideMark/>
          </w:tcPr>
          <w:p w14:paraId="4C86BBDC" w14:textId="77777777" w:rsidR="00633284" w:rsidRPr="00633284" w:rsidRDefault="00633284" w:rsidP="00633284">
            <w:r w:rsidRPr="00633284">
              <w:rPr>
                <w:rFonts w:ascii="Segoe UI Emoji" w:hAnsi="Segoe UI Emoji" w:cs="Segoe UI Emoji"/>
              </w:rPr>
              <w:t>✅</w:t>
            </w:r>
            <w:r w:rsidRPr="00633284">
              <w:t xml:space="preserve"> (Concert/</w:t>
            </w:r>
            <w:proofErr w:type="spellStart"/>
            <w:r w:rsidRPr="00633284">
              <w:t>Watsonx</w:t>
            </w:r>
            <w:proofErr w:type="spellEnd"/>
            <w:r w:rsidRPr="00633284">
              <w:t>)</w:t>
            </w:r>
          </w:p>
        </w:tc>
      </w:tr>
      <w:tr w:rsidR="00633284" w:rsidRPr="00633284" w14:paraId="2F2BB035" w14:textId="77777777">
        <w:trPr>
          <w:tblCellSpacing w:w="15" w:type="dxa"/>
        </w:trPr>
        <w:tc>
          <w:tcPr>
            <w:tcW w:w="0" w:type="auto"/>
            <w:vAlign w:val="center"/>
            <w:hideMark/>
          </w:tcPr>
          <w:p w14:paraId="5D5BCB9A" w14:textId="77777777" w:rsidR="00633284" w:rsidRPr="00633284" w:rsidRDefault="00633284" w:rsidP="00633284">
            <w:r w:rsidRPr="00633284">
              <w:rPr>
                <w:b/>
                <w:bCs/>
              </w:rPr>
              <w:t>APM / Observability</w:t>
            </w:r>
          </w:p>
        </w:tc>
        <w:tc>
          <w:tcPr>
            <w:tcW w:w="0" w:type="auto"/>
            <w:vAlign w:val="center"/>
            <w:hideMark/>
          </w:tcPr>
          <w:p w14:paraId="259EB8DA" w14:textId="77777777" w:rsidR="00633284" w:rsidRPr="00633284" w:rsidRDefault="00633284" w:rsidP="00633284">
            <w:r w:rsidRPr="00633284">
              <w:rPr>
                <w:rFonts w:ascii="Segoe UI Emoji" w:hAnsi="Segoe UI Emoji" w:cs="Segoe UI Emoji"/>
              </w:rPr>
              <w:t>✅</w:t>
            </w:r>
            <w:r w:rsidRPr="00633284">
              <w:t xml:space="preserve"> (LM Envision)</w:t>
            </w:r>
          </w:p>
        </w:tc>
        <w:tc>
          <w:tcPr>
            <w:tcW w:w="0" w:type="auto"/>
            <w:vAlign w:val="center"/>
            <w:hideMark/>
          </w:tcPr>
          <w:p w14:paraId="552637DE" w14:textId="77777777" w:rsidR="00633284" w:rsidRPr="00633284" w:rsidRDefault="00633284" w:rsidP="00633284">
            <w:r w:rsidRPr="00633284">
              <w:rPr>
                <w:rFonts w:ascii="Segoe UI Emoji" w:hAnsi="Segoe UI Emoji" w:cs="Segoe UI Emoji"/>
              </w:rPr>
              <w:t>✅</w:t>
            </w:r>
            <w:r w:rsidRPr="00633284">
              <w:t xml:space="preserve"> (</w:t>
            </w:r>
            <w:proofErr w:type="gramStart"/>
            <w:r w:rsidRPr="00633284">
              <w:t>Full-stack</w:t>
            </w:r>
            <w:proofErr w:type="gramEnd"/>
            <w:r w:rsidRPr="00633284">
              <w:t>)</w:t>
            </w:r>
          </w:p>
        </w:tc>
        <w:tc>
          <w:tcPr>
            <w:tcW w:w="0" w:type="auto"/>
            <w:vAlign w:val="center"/>
            <w:hideMark/>
          </w:tcPr>
          <w:p w14:paraId="363A3417" w14:textId="77777777" w:rsidR="00633284" w:rsidRPr="00633284" w:rsidRDefault="00633284" w:rsidP="00633284">
            <w:r w:rsidRPr="00633284">
              <w:t>Partial (via integrations)</w:t>
            </w:r>
          </w:p>
        </w:tc>
        <w:tc>
          <w:tcPr>
            <w:tcW w:w="0" w:type="auto"/>
            <w:vAlign w:val="center"/>
            <w:hideMark/>
          </w:tcPr>
          <w:p w14:paraId="71ED142B" w14:textId="77777777" w:rsidR="00633284" w:rsidRPr="00633284" w:rsidRDefault="00633284" w:rsidP="00633284">
            <w:r w:rsidRPr="00633284">
              <w:rPr>
                <w:rFonts w:ascii="Segoe UI Emoji" w:hAnsi="Segoe UI Emoji" w:cs="Segoe UI Emoji"/>
              </w:rPr>
              <w:t>✅</w:t>
            </w:r>
            <w:r w:rsidRPr="00633284">
              <w:t xml:space="preserve"> (</w:t>
            </w:r>
            <w:proofErr w:type="spellStart"/>
            <w:r w:rsidRPr="00633284">
              <w:t>Instana</w:t>
            </w:r>
            <w:proofErr w:type="spellEnd"/>
            <w:r w:rsidRPr="00633284">
              <w:t>)</w:t>
            </w:r>
          </w:p>
        </w:tc>
      </w:tr>
      <w:tr w:rsidR="00633284" w:rsidRPr="00633284" w14:paraId="565DEE44" w14:textId="77777777">
        <w:trPr>
          <w:tblCellSpacing w:w="15" w:type="dxa"/>
        </w:trPr>
        <w:tc>
          <w:tcPr>
            <w:tcW w:w="0" w:type="auto"/>
            <w:vAlign w:val="center"/>
            <w:hideMark/>
          </w:tcPr>
          <w:p w14:paraId="3A139B06" w14:textId="77777777" w:rsidR="00633284" w:rsidRPr="00633284" w:rsidRDefault="00633284" w:rsidP="00633284">
            <w:r w:rsidRPr="00633284">
              <w:rPr>
                <w:b/>
                <w:bCs/>
              </w:rPr>
              <w:t>Resource Optimization</w:t>
            </w:r>
          </w:p>
        </w:tc>
        <w:tc>
          <w:tcPr>
            <w:tcW w:w="0" w:type="auto"/>
            <w:vAlign w:val="center"/>
            <w:hideMark/>
          </w:tcPr>
          <w:p w14:paraId="1D2F10BF" w14:textId="77777777" w:rsidR="00633284" w:rsidRPr="00633284" w:rsidRDefault="00633284" w:rsidP="00633284">
            <w:r w:rsidRPr="00633284">
              <w:t>Partial</w:t>
            </w:r>
          </w:p>
        </w:tc>
        <w:tc>
          <w:tcPr>
            <w:tcW w:w="0" w:type="auto"/>
            <w:vAlign w:val="center"/>
            <w:hideMark/>
          </w:tcPr>
          <w:p w14:paraId="31A22184" w14:textId="77777777" w:rsidR="00633284" w:rsidRPr="00633284" w:rsidRDefault="00633284" w:rsidP="00633284">
            <w:r w:rsidRPr="00633284">
              <w:rPr>
                <w:rFonts w:ascii="Segoe UI Emoji" w:hAnsi="Segoe UI Emoji" w:cs="Segoe UI Emoji"/>
              </w:rPr>
              <w:t>✅</w:t>
            </w:r>
          </w:p>
        </w:tc>
        <w:tc>
          <w:tcPr>
            <w:tcW w:w="0" w:type="auto"/>
            <w:vAlign w:val="center"/>
            <w:hideMark/>
          </w:tcPr>
          <w:p w14:paraId="33EC8C49" w14:textId="77777777" w:rsidR="00633284" w:rsidRPr="00633284" w:rsidRDefault="00633284" w:rsidP="00633284">
            <w:r w:rsidRPr="00633284">
              <w:t>Partial</w:t>
            </w:r>
          </w:p>
        </w:tc>
        <w:tc>
          <w:tcPr>
            <w:tcW w:w="0" w:type="auto"/>
            <w:vAlign w:val="center"/>
            <w:hideMark/>
          </w:tcPr>
          <w:p w14:paraId="14CEA35D" w14:textId="77777777" w:rsidR="00633284" w:rsidRPr="00633284" w:rsidRDefault="00633284" w:rsidP="00633284">
            <w:r w:rsidRPr="00633284">
              <w:rPr>
                <w:rFonts w:ascii="Segoe UI Emoji" w:hAnsi="Segoe UI Emoji" w:cs="Segoe UI Emoji"/>
              </w:rPr>
              <w:t>✅</w:t>
            </w:r>
            <w:r w:rsidRPr="00633284">
              <w:t xml:space="preserve"> (</w:t>
            </w:r>
            <w:proofErr w:type="spellStart"/>
            <w:r w:rsidRPr="00633284">
              <w:t>Turbonomic</w:t>
            </w:r>
            <w:proofErr w:type="spellEnd"/>
            <w:r w:rsidRPr="00633284">
              <w:t>)</w:t>
            </w:r>
          </w:p>
        </w:tc>
      </w:tr>
    </w:tbl>
    <w:p w14:paraId="6C8A8B7B" w14:textId="77777777" w:rsidR="00633284" w:rsidRPr="00633284" w:rsidRDefault="00633284" w:rsidP="00633284">
      <w:r w:rsidRPr="00633284">
        <w:t>Let me know if you'd like a deeper dive into any of these vendors, particularly for financial services / regulated industry use cases.</w:t>
      </w:r>
    </w:p>
    <w:p w14:paraId="24807B35" w14:textId="77777777" w:rsidR="00E473E3" w:rsidRPr="00E473E3" w:rsidRDefault="00E473E3" w:rsidP="00E473E3">
      <w:r w:rsidRPr="00E473E3">
        <w:t xml:space="preserve">Now I have enough to build a comprehensive, well-sourced compliance comparison. Let me render the interactive </w:t>
      </w:r>
      <w:proofErr w:type="spellStart"/>
      <w:proofErr w:type="gramStart"/>
      <w:r w:rsidRPr="00E473E3">
        <w:t>widget.Here</w:t>
      </w:r>
      <w:proofErr w:type="spellEnd"/>
      <w:proofErr w:type="gramEnd"/>
      <w:r w:rsidRPr="00E473E3">
        <w:t xml:space="preserve"> are the key findings across all four frameworks, directly relevant to your Singapore financial institution context:</w:t>
      </w:r>
    </w:p>
    <w:p w14:paraId="6819001E" w14:textId="77777777" w:rsidR="00E473E3" w:rsidRDefault="00E473E3">
      <w:pPr>
        <w:rPr>
          <w:b/>
          <w:bCs/>
        </w:rPr>
      </w:pPr>
      <w:r>
        <w:rPr>
          <w:b/>
          <w:bCs/>
        </w:rPr>
        <w:br w:type="page"/>
      </w:r>
    </w:p>
    <w:p w14:paraId="70036E67" w14:textId="54CA1874" w:rsidR="00E473E3" w:rsidRPr="00E473E3" w:rsidRDefault="00E473E3" w:rsidP="00E473E3">
      <w:pPr>
        <w:rPr>
          <w:b/>
          <w:bCs/>
          <w:color w:val="0000FF"/>
        </w:rPr>
      </w:pPr>
      <w:r w:rsidRPr="00E473E3">
        <w:rPr>
          <w:b/>
          <w:bCs/>
          <w:color w:val="0000FF"/>
        </w:rPr>
        <w:lastRenderedPageBreak/>
        <w:t>MAS TRM positioning summary:</w:t>
      </w:r>
    </w:p>
    <w:p w14:paraId="4EAF5091" w14:textId="77777777" w:rsidR="00E473E3" w:rsidRPr="00E473E3" w:rsidRDefault="00E473E3" w:rsidP="00E473E3">
      <w:r w:rsidRPr="00E473E3">
        <w:t>MAS requires financial institutions to maintain audit rights over vendors, address data residency requirements, understand shared responsibility models, and ensure business continuity — and they remain accountable for outsourced functions regardless of the vendor used. Against this backdrop:</w:t>
      </w:r>
    </w:p>
    <w:p w14:paraId="36B29AED" w14:textId="77777777" w:rsidR="00E473E3" w:rsidRPr="00E473E3" w:rsidRDefault="00E473E3" w:rsidP="00E473E3">
      <w:r w:rsidRPr="00E473E3">
        <w:rPr>
          <w:b/>
          <w:bCs/>
        </w:rPr>
        <w:t xml:space="preserve">IBM Watson AIOps / </w:t>
      </w:r>
      <w:proofErr w:type="spellStart"/>
      <w:r w:rsidRPr="00E473E3">
        <w:rPr>
          <w:b/>
          <w:bCs/>
        </w:rPr>
        <w:t>Watsonx</w:t>
      </w:r>
      <w:proofErr w:type="spellEnd"/>
      <w:r w:rsidRPr="00E473E3">
        <w:t xml:space="preserve"> is the strongest across MAS TRM, primarily because it supports deployment across cloud and on-premises with full control to meet security, compliance, and data residency needs — and IBM operates a Singapore data centre. The on-premises deployment option via OpenShift eliminates many of the MAS cloud outsourcing classification concerns entirely.</w:t>
      </w:r>
    </w:p>
    <w:p w14:paraId="7CEE3E2D" w14:textId="77777777" w:rsidR="00E473E3" w:rsidRPr="00E473E3" w:rsidRDefault="00E473E3" w:rsidP="00E473E3">
      <w:r w:rsidRPr="00E473E3">
        <w:rPr>
          <w:b/>
          <w:bCs/>
        </w:rPr>
        <w:t>ServiceNow Now Assist</w:t>
      </w:r>
      <w:r w:rsidRPr="00E473E3">
        <w:t xml:space="preserve"> is the </w:t>
      </w:r>
      <w:proofErr w:type="gramStart"/>
      <w:r w:rsidRPr="00E473E3">
        <w:t>second-strongest</w:t>
      </w:r>
      <w:proofErr w:type="gramEnd"/>
      <w:r w:rsidRPr="00E473E3">
        <w:t xml:space="preserve"> for financial institutions already on the ServiceNow platform. ServiceNow's GCC offering holds FedRAMP High Provisional Authority to Operate, DoD IL4, and IL5 authorisations — demonstrating the highest rigour of third-party security validation, and its PCI DSS certification and HITRUST CSF make it well-positioned for BFSI environments.</w:t>
      </w:r>
    </w:p>
    <w:p w14:paraId="5AD43A82" w14:textId="77777777" w:rsidR="00E473E3" w:rsidRPr="00E473E3" w:rsidRDefault="00E473E3" w:rsidP="00E473E3">
      <w:r w:rsidRPr="00E473E3">
        <w:rPr>
          <w:b/>
          <w:bCs/>
        </w:rPr>
        <w:t>Dynatrace Davis AI</w:t>
      </w:r>
      <w:r w:rsidRPr="00E473E3">
        <w:t xml:space="preserve"> holds strong baseline certifications — FedRAMP, </w:t>
      </w:r>
      <w:proofErr w:type="spellStart"/>
      <w:r w:rsidRPr="00E473E3">
        <w:t>StateRAMP</w:t>
      </w:r>
      <w:proofErr w:type="spellEnd"/>
      <w:r w:rsidRPr="00E473E3">
        <w:t>, ISO 27001, and SOC 2 Type II, with regular independent penetration testing — and its CSA STAR Level 2 Gold certification (achieved December 2024) is relevant for MAS cloud risk assessments.</w:t>
      </w:r>
    </w:p>
    <w:p w14:paraId="1AD5784D" w14:textId="77777777" w:rsidR="00E473E3" w:rsidRPr="00E473E3" w:rsidRDefault="00E473E3" w:rsidP="00E473E3">
      <w:r w:rsidRPr="00E473E3">
        <w:rPr>
          <w:b/>
          <w:bCs/>
        </w:rPr>
        <w:t>Edwin AI (</w:t>
      </w:r>
      <w:proofErr w:type="spellStart"/>
      <w:r w:rsidRPr="00E473E3">
        <w:rPr>
          <w:b/>
          <w:bCs/>
        </w:rPr>
        <w:t>LogicMonitor</w:t>
      </w:r>
      <w:proofErr w:type="spellEnd"/>
      <w:r w:rsidRPr="00E473E3">
        <w:rPr>
          <w:b/>
          <w:bCs/>
        </w:rPr>
        <w:t>)</w:t>
      </w:r>
      <w:r w:rsidRPr="00E473E3">
        <w:t xml:space="preserve"> has solid foundational certifications — annual SOC 2 Type 2 audits validated against ISO/IEC 27001:2013, ISO/IEC 27017:2015, and ISO/IEC 27018:2014 — but as a SaaS-only platform with no Singapore-specific data residency confirmation and no published MAS TRM mapping, it requires the most FI-side due diligence work to satisfy MAS TRM §9 (outsourcing) requirements.</w:t>
      </w:r>
    </w:p>
    <w:p w14:paraId="0A74EB1B" w14:textId="77777777" w:rsidR="00E473E3" w:rsidRPr="00E473E3" w:rsidRDefault="00E473E3" w:rsidP="00E473E3">
      <w:r w:rsidRPr="00E473E3">
        <w:rPr>
          <w:b/>
          <w:bCs/>
        </w:rPr>
        <w:t>Important caveat:</w:t>
      </w:r>
      <w:r w:rsidRPr="00E473E3">
        <w:t xml:space="preserve"> None of the four vendors currently publish a direct MAS TRM compliance mapping. Under MAS TRM Guidelines, financial institutions retain full responsibility for all technology risks regardless of who operates the systems — meaning the FI must conduct its own due diligence and embed MAS-aligned clauses in vendor contracts regardless of which tool is chosen. Use the filter tabs above to focus on specific regulatory sections.</w:t>
      </w:r>
    </w:p>
    <w:p w14:paraId="70DBC2AC" w14:textId="491CDF7E" w:rsidR="001C7330" w:rsidRDefault="001C7330">
      <w:r>
        <w:br w:type="page"/>
      </w:r>
    </w:p>
    <w:p w14:paraId="390EED38" w14:textId="77777777" w:rsidR="001C7330" w:rsidRPr="001C7330" w:rsidRDefault="001C7330" w:rsidP="001C7330">
      <w:pPr>
        <w:rPr>
          <w:color w:val="0000FF"/>
        </w:rPr>
      </w:pPr>
      <w:r w:rsidRPr="001C7330">
        <w:rPr>
          <w:color w:val="0000FF"/>
        </w:rPr>
        <w:lastRenderedPageBreak/>
        <w:t>For a traditional bank in Singapore, the compliance landscape is significantly more intense than for a startup. As of 2026, MAS has shifted toward "Operational Resilience," meaning banks aren't just expected to prevent failures but to prove they can survive them.</w:t>
      </w:r>
    </w:p>
    <w:p w14:paraId="0CAF4534" w14:textId="77777777" w:rsidR="001C7330" w:rsidRPr="001C7330" w:rsidRDefault="001C7330" w:rsidP="001C7330">
      <w:r w:rsidRPr="001C7330">
        <w:t>Here is the 2026 compliance checklist for a traditional bank:</w:t>
      </w:r>
    </w:p>
    <w:p w14:paraId="3AFE96C9" w14:textId="77777777" w:rsidR="001C7330" w:rsidRPr="001C7330" w:rsidRDefault="001C7330" w:rsidP="001C7330">
      <w:pPr>
        <w:rPr>
          <w:b/>
          <w:bCs/>
        </w:rPr>
      </w:pPr>
      <w:r w:rsidRPr="001C7330">
        <w:rPr>
          <w:b/>
          <w:bCs/>
        </w:rPr>
        <w:t>1. Technology &amp; Cyber Resilience (The "Hard" Rules)</w:t>
      </w:r>
    </w:p>
    <w:p w14:paraId="53EB6E04" w14:textId="77777777" w:rsidR="001C7330" w:rsidRPr="001C7330" w:rsidRDefault="001C7330" w:rsidP="001C7330">
      <w:r w:rsidRPr="001C7330">
        <w:t xml:space="preserve">Traditional banks are held to the highest standard under the </w:t>
      </w:r>
      <w:r w:rsidRPr="001C7330">
        <w:rPr>
          <w:b/>
          <w:bCs/>
        </w:rPr>
        <w:t>FSM-N05 (Technology Risk Management)</w:t>
      </w:r>
      <w:r w:rsidRPr="001C7330">
        <w:t xml:space="preserve"> and </w:t>
      </w:r>
      <w:r w:rsidRPr="001C7330">
        <w:rPr>
          <w:b/>
          <w:bCs/>
        </w:rPr>
        <w:t>FSM-N06 (Cyber Hygiene)</w:t>
      </w:r>
      <w:r w:rsidRPr="001C7330">
        <w:t xml:space="preserve"> notices.</w:t>
      </w:r>
    </w:p>
    <w:p w14:paraId="09E876DC" w14:textId="77777777" w:rsidR="001C7330" w:rsidRPr="001C7330" w:rsidRDefault="001C7330" w:rsidP="001C7330">
      <w:pPr>
        <w:numPr>
          <w:ilvl w:val="0"/>
          <w:numId w:val="5"/>
        </w:numPr>
      </w:pPr>
      <w:r w:rsidRPr="001C7330">
        <w:rPr>
          <w:b/>
          <w:bCs/>
        </w:rPr>
        <w:t>Zero-Trust Implementation:</w:t>
      </w:r>
      <w:r w:rsidRPr="001C7330">
        <w:t xml:space="preserve"> By 2026, MAS expects banks to move beyond simple perimeters toward Zero-Trust architectures, specifically for privileged access.</w:t>
      </w:r>
    </w:p>
    <w:p w14:paraId="36247C83" w14:textId="77777777" w:rsidR="001C7330" w:rsidRPr="001C7330" w:rsidRDefault="001C7330" w:rsidP="001C7330">
      <w:pPr>
        <w:numPr>
          <w:ilvl w:val="0"/>
          <w:numId w:val="5"/>
        </w:numPr>
      </w:pPr>
      <w:r w:rsidRPr="001C7330">
        <w:rPr>
          <w:b/>
          <w:bCs/>
        </w:rPr>
        <w:t>4-Hour Recovery Time Objective (RTO):</w:t>
      </w:r>
      <w:r w:rsidRPr="001C7330">
        <w:t xml:space="preserve"> For critical systems (e.g., ATM networks, online banking, FAST transfers), you must be back online within 4 hours of a total failure.</w:t>
      </w:r>
    </w:p>
    <w:p w14:paraId="30C975F9" w14:textId="77777777" w:rsidR="001C7330" w:rsidRPr="001C7330" w:rsidRDefault="001C7330" w:rsidP="001C7330">
      <w:pPr>
        <w:numPr>
          <w:ilvl w:val="0"/>
          <w:numId w:val="5"/>
        </w:numPr>
      </w:pPr>
      <w:r w:rsidRPr="001C7330">
        <w:rPr>
          <w:b/>
          <w:bCs/>
        </w:rPr>
        <w:t>Quantum-Resistant Readiness:</w:t>
      </w:r>
      <w:r w:rsidRPr="001C7330">
        <w:t xml:space="preserve"> Banks are now required to show a roadmap for "Quantum-Resistant" encryption as part of their long-term TRM strategy.</w:t>
      </w:r>
    </w:p>
    <w:p w14:paraId="3BBF96C4" w14:textId="77777777" w:rsidR="001C7330" w:rsidRPr="001C7330" w:rsidRDefault="001C7330" w:rsidP="001C7330">
      <w:pPr>
        <w:rPr>
          <w:b/>
          <w:bCs/>
        </w:rPr>
      </w:pPr>
      <w:r w:rsidRPr="001C7330">
        <w:rPr>
          <w:b/>
          <w:bCs/>
        </w:rPr>
        <w:t>2. AML/CFT: MAS Notice 626 (Updated 2025/2026)</w:t>
      </w:r>
    </w:p>
    <w:p w14:paraId="4007B7B8" w14:textId="77777777" w:rsidR="001C7330" w:rsidRPr="001C7330" w:rsidRDefault="001C7330" w:rsidP="001C7330">
      <w:r w:rsidRPr="001C7330">
        <w:t>This is the most scrutinized area for traditional banks due to the volume of cross-border transactions.</w:t>
      </w:r>
    </w:p>
    <w:p w14:paraId="031FD182" w14:textId="77777777" w:rsidR="001C7330" w:rsidRPr="001C7330" w:rsidRDefault="001C7330" w:rsidP="001C7330">
      <w:pPr>
        <w:numPr>
          <w:ilvl w:val="0"/>
          <w:numId w:val="6"/>
        </w:numPr>
      </w:pPr>
      <w:r w:rsidRPr="001C7330">
        <w:rPr>
          <w:b/>
          <w:bCs/>
        </w:rPr>
        <w:t>COSMIC Platform:</w:t>
      </w:r>
      <w:r w:rsidRPr="001C7330">
        <w:t xml:space="preserve"> Banks must now participate in </w:t>
      </w:r>
      <w:r w:rsidRPr="001C7330">
        <w:rPr>
          <w:b/>
          <w:bCs/>
        </w:rPr>
        <w:t>COSMIC</w:t>
      </w:r>
      <w:r w:rsidRPr="001C7330">
        <w:t xml:space="preserve"> (Collaborative Sharing of ML/TF Information &amp; Cases), a digital platform to share data on suspicious customers with other major banks.</w:t>
      </w:r>
    </w:p>
    <w:p w14:paraId="76B51C86" w14:textId="77777777" w:rsidR="001C7330" w:rsidRPr="001C7330" w:rsidRDefault="001C7330" w:rsidP="001C7330">
      <w:pPr>
        <w:numPr>
          <w:ilvl w:val="0"/>
          <w:numId w:val="6"/>
        </w:numPr>
      </w:pPr>
      <w:r w:rsidRPr="001C7330">
        <w:rPr>
          <w:b/>
          <w:bCs/>
        </w:rPr>
        <w:t>Beneficial Ownership:</w:t>
      </w:r>
      <w:r w:rsidRPr="001C7330">
        <w:t xml:space="preserve"> Strict "look-through" requirements. You must identify the natural person at the end of the chain, even for complex offshore trust structures.</w:t>
      </w:r>
    </w:p>
    <w:p w14:paraId="1D1438A5" w14:textId="77777777" w:rsidR="001C7330" w:rsidRPr="001C7330" w:rsidRDefault="001C7330" w:rsidP="001C7330">
      <w:pPr>
        <w:numPr>
          <w:ilvl w:val="0"/>
          <w:numId w:val="6"/>
        </w:numPr>
      </w:pPr>
      <w:r w:rsidRPr="001C7330">
        <w:rPr>
          <w:b/>
          <w:bCs/>
        </w:rPr>
        <w:t>Wire Transfer Rules:</w:t>
      </w:r>
      <w:r w:rsidRPr="001C7330">
        <w:t xml:space="preserve"> You must include full originator and beneficiary details for </w:t>
      </w:r>
      <w:r w:rsidRPr="001C7330">
        <w:rPr>
          <w:i/>
          <w:iCs/>
        </w:rPr>
        <w:t>all</w:t>
      </w:r>
      <w:r w:rsidRPr="001C7330">
        <w:t xml:space="preserve"> transfers. If data is missing, the transaction must be flagged or rejected immediately.</w:t>
      </w:r>
    </w:p>
    <w:p w14:paraId="2BCDD501" w14:textId="77777777" w:rsidR="001C7330" w:rsidRPr="001C7330" w:rsidRDefault="001C7330" w:rsidP="001C7330">
      <w:pPr>
        <w:rPr>
          <w:b/>
          <w:bCs/>
        </w:rPr>
      </w:pPr>
      <w:r w:rsidRPr="001C7330">
        <w:rPr>
          <w:b/>
          <w:bCs/>
        </w:rPr>
        <w:t>3. Operational Risk &amp; Third-Party Management (New for 2026)</w:t>
      </w:r>
    </w:p>
    <w:p w14:paraId="127150A5" w14:textId="77777777" w:rsidR="001C7330" w:rsidRPr="001C7330" w:rsidRDefault="001C7330" w:rsidP="001C7330">
      <w:r w:rsidRPr="001C7330">
        <w:t>MAS issued updated guidelines in March 2026 that change how banks handle "outsourcing":</w:t>
      </w:r>
    </w:p>
    <w:p w14:paraId="202F9625" w14:textId="77777777" w:rsidR="001C7330" w:rsidRPr="001C7330" w:rsidRDefault="001C7330" w:rsidP="001C7330">
      <w:pPr>
        <w:numPr>
          <w:ilvl w:val="0"/>
          <w:numId w:val="7"/>
        </w:numPr>
      </w:pPr>
      <w:r w:rsidRPr="001C7330">
        <w:rPr>
          <w:b/>
          <w:bCs/>
        </w:rPr>
        <w:t>From "Outsourcing" to "Third-Party Risk":</w:t>
      </w:r>
      <w:r w:rsidRPr="001C7330">
        <w:t xml:space="preserve"> The rules now apply to </w:t>
      </w:r>
      <w:r w:rsidRPr="001C7330">
        <w:rPr>
          <w:i/>
          <w:iCs/>
        </w:rPr>
        <w:t>any</w:t>
      </w:r>
      <w:r w:rsidRPr="001C7330">
        <w:t xml:space="preserve"> service provider (Cloud, SaaS, or even simple data feeds), not just those performing a "bank function."</w:t>
      </w:r>
    </w:p>
    <w:p w14:paraId="5C9FD8DD" w14:textId="77777777" w:rsidR="001C7330" w:rsidRPr="001C7330" w:rsidRDefault="001C7330" w:rsidP="001C7330">
      <w:pPr>
        <w:numPr>
          <w:ilvl w:val="0"/>
          <w:numId w:val="7"/>
        </w:numPr>
      </w:pPr>
      <w:r w:rsidRPr="001C7330">
        <w:rPr>
          <w:b/>
          <w:bCs/>
        </w:rPr>
        <w:lastRenderedPageBreak/>
        <w:t>Concentration Risk:</w:t>
      </w:r>
      <w:r w:rsidRPr="001C7330">
        <w:t xml:space="preserve"> You must report if too many of your critical services rely on a single provider (e.g., if your core banking, email, and CRM all sit on the same AWS region).</w:t>
      </w:r>
    </w:p>
    <w:p w14:paraId="7B4F84CD" w14:textId="77777777" w:rsidR="001C7330" w:rsidRPr="001C7330" w:rsidRDefault="001C7330" w:rsidP="001C7330">
      <w:pPr>
        <w:numPr>
          <w:ilvl w:val="0"/>
          <w:numId w:val="7"/>
        </w:numPr>
      </w:pPr>
      <w:r w:rsidRPr="001C7330">
        <w:rPr>
          <w:b/>
          <w:bCs/>
        </w:rPr>
        <w:t>Exit Strategies:</w:t>
      </w:r>
      <w:r w:rsidRPr="001C7330">
        <w:t xml:space="preserve"> You must have a "Pre-arranged Exit Plan" for every critical vendor to ensure you can move data to another provider without service disruption.</w:t>
      </w:r>
    </w:p>
    <w:p w14:paraId="34A6A99B" w14:textId="77777777" w:rsidR="001C7330" w:rsidRPr="001C7330" w:rsidRDefault="001C7330" w:rsidP="001C7330">
      <w:pPr>
        <w:rPr>
          <w:b/>
          <w:bCs/>
        </w:rPr>
      </w:pPr>
      <w:r w:rsidRPr="001C7330">
        <w:rPr>
          <w:b/>
          <w:bCs/>
        </w:rPr>
        <w:t>4. Environmental &amp; AI Risk (The New Frontiers)</w:t>
      </w:r>
    </w:p>
    <w:p w14:paraId="78C55FF8" w14:textId="77777777" w:rsidR="001C7330" w:rsidRPr="001C7330" w:rsidRDefault="001C7330" w:rsidP="001C7330">
      <w:pPr>
        <w:numPr>
          <w:ilvl w:val="0"/>
          <w:numId w:val="8"/>
        </w:numPr>
      </w:pPr>
      <w:r w:rsidRPr="001C7330">
        <w:rPr>
          <w:b/>
          <w:bCs/>
        </w:rPr>
        <w:t>Environmental Risk Management (ERM):</w:t>
      </w:r>
      <w:r w:rsidRPr="001C7330">
        <w:t xml:space="preserve"> As of March 2026, banks must disclose their "Transition Plans." You are required to show how you are shifting your loan portfolios away from high-carbon industries.</w:t>
      </w:r>
    </w:p>
    <w:p w14:paraId="46FFA3EE" w14:textId="77777777" w:rsidR="001C7330" w:rsidRPr="001C7330" w:rsidRDefault="001C7330" w:rsidP="001C7330">
      <w:pPr>
        <w:numPr>
          <w:ilvl w:val="0"/>
          <w:numId w:val="8"/>
        </w:numPr>
      </w:pPr>
      <w:r w:rsidRPr="001C7330">
        <w:rPr>
          <w:b/>
          <w:bCs/>
        </w:rPr>
        <w:t xml:space="preserve">AI Risk Management (Project </w:t>
      </w:r>
      <w:proofErr w:type="spellStart"/>
      <w:r w:rsidRPr="001C7330">
        <w:rPr>
          <w:b/>
          <w:bCs/>
        </w:rPr>
        <w:t>MindForge</w:t>
      </w:r>
      <w:proofErr w:type="spellEnd"/>
      <w:r w:rsidRPr="001C7330">
        <w:rPr>
          <w:b/>
          <w:bCs/>
        </w:rPr>
        <w:t>):</w:t>
      </w:r>
      <w:r w:rsidRPr="001C7330">
        <w:t xml:space="preserve"> Following the 2026 </w:t>
      </w:r>
      <w:r w:rsidRPr="001C7330">
        <w:rPr>
          <w:b/>
          <w:bCs/>
        </w:rPr>
        <w:t>AI Risk Management Toolkit</w:t>
      </w:r>
      <w:r w:rsidRPr="001C7330">
        <w:t>, banks using Generative AI or "Agentic AI" (AI that can take actions) must have a human-in-the-loop and a central repository to track every model's performance and bias.</w:t>
      </w:r>
    </w:p>
    <w:p w14:paraId="5840BE98" w14:textId="77777777" w:rsidR="001C7330" w:rsidRPr="001C7330" w:rsidRDefault="001C7330" w:rsidP="001C7330">
      <w:r w:rsidRPr="001C7330">
        <w:pict w14:anchorId="7F81FE8A">
          <v:rect id="_x0000_i1035" style="width:0;height:1.5pt" o:hralign="center" o:hrstd="t" o:hr="t" fillcolor="#a0a0a0" stroked="f"/>
        </w:pict>
      </w:r>
    </w:p>
    <w:p w14:paraId="46DCC4F4" w14:textId="77777777" w:rsidR="001C7330" w:rsidRPr="001C7330" w:rsidRDefault="001C7330" w:rsidP="001C7330">
      <w:pPr>
        <w:rPr>
          <w:b/>
          <w:bCs/>
        </w:rPr>
      </w:pPr>
      <w:r w:rsidRPr="001C7330">
        <w:rPr>
          <w:b/>
          <w:bCs/>
        </w:rPr>
        <w:t>Comparison: Traditional Bank vs. Fintech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3568"/>
        <w:gridCol w:w="3541"/>
      </w:tblGrid>
      <w:tr w:rsidR="001C7330" w:rsidRPr="001C7330" w14:paraId="67BF67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7CA886" w14:textId="77777777" w:rsidR="001C7330" w:rsidRPr="001C7330" w:rsidRDefault="001C7330" w:rsidP="001C7330">
            <w:r w:rsidRPr="001C733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9D507" w14:textId="77777777" w:rsidR="001C7330" w:rsidRPr="001C7330" w:rsidRDefault="001C7330" w:rsidP="001C7330">
            <w:r w:rsidRPr="001C7330">
              <w:rPr>
                <w:b/>
                <w:bCs/>
              </w:rPr>
              <w:t>Traditional Bank</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E37CD" w14:textId="77777777" w:rsidR="001C7330" w:rsidRPr="001C7330" w:rsidRDefault="001C7330" w:rsidP="001C7330">
            <w:r w:rsidRPr="001C7330">
              <w:rPr>
                <w:b/>
                <w:bCs/>
              </w:rPr>
              <w:t>Fintech / Startup</w:t>
            </w:r>
          </w:p>
        </w:tc>
      </w:tr>
      <w:tr w:rsidR="001C7330" w:rsidRPr="001C7330" w14:paraId="09C5A6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E5E990" w14:textId="77777777" w:rsidR="001C7330" w:rsidRPr="001C7330" w:rsidRDefault="001C7330" w:rsidP="001C7330">
            <w:r w:rsidRPr="001C7330">
              <w:rPr>
                <w:b/>
                <w:bCs/>
              </w:rPr>
              <w:t>Audit Frequency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E0656" w14:textId="77777777" w:rsidR="001C7330" w:rsidRPr="001C7330" w:rsidRDefault="001C7330" w:rsidP="001C7330">
            <w:r w:rsidRPr="001C7330">
              <w:t>Annual full-scope audits.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606F5" w14:textId="77777777" w:rsidR="001C7330" w:rsidRPr="001C7330" w:rsidRDefault="001C7330" w:rsidP="001C7330">
            <w:r w:rsidRPr="001C7330">
              <w:t>Risk-based (often every 2 years).</w:t>
            </w:r>
          </w:p>
        </w:tc>
      </w:tr>
      <w:tr w:rsidR="001C7330" w:rsidRPr="001C7330" w14:paraId="337CF3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88608E" w14:textId="77777777" w:rsidR="001C7330" w:rsidRPr="001C7330" w:rsidRDefault="001C7330" w:rsidP="001C7330">
            <w:r w:rsidRPr="001C7330">
              <w:rPr>
                <w:b/>
                <w:bCs/>
              </w:rPr>
              <w:t>Capital Adequacy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D3054" w14:textId="77777777" w:rsidR="001C7330" w:rsidRPr="001C7330" w:rsidRDefault="001C7330" w:rsidP="001C7330">
            <w:r w:rsidRPr="001C7330">
              <w:t>High (Basel III / MAS 637).</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3F363" w14:textId="77777777" w:rsidR="001C7330" w:rsidRPr="001C7330" w:rsidRDefault="001C7330" w:rsidP="001C7330">
            <w:r w:rsidRPr="001C7330">
              <w:t>Lower (based on license type).</w:t>
            </w:r>
          </w:p>
        </w:tc>
      </w:tr>
      <w:tr w:rsidR="001C7330" w:rsidRPr="001C7330" w14:paraId="7EE5DF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A4F38D" w14:textId="77777777" w:rsidR="001C7330" w:rsidRPr="001C7330" w:rsidRDefault="001C7330" w:rsidP="001C7330">
            <w:r w:rsidRPr="001C7330">
              <w:rPr>
                <w:b/>
                <w:bCs/>
              </w:rPr>
              <w:t>Governance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048E1" w14:textId="77777777" w:rsidR="001C7330" w:rsidRPr="001C7330" w:rsidRDefault="001C7330" w:rsidP="001C7330">
            <w:r w:rsidRPr="001C7330">
              <w:t>Mandatory Board-level Risk Committee.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8C5B8" w14:textId="77777777" w:rsidR="001C7330" w:rsidRPr="001C7330" w:rsidRDefault="001C7330" w:rsidP="001C7330">
            <w:r w:rsidRPr="001C7330">
              <w:t>Management-led is often sufficient.</w:t>
            </w:r>
          </w:p>
        </w:tc>
      </w:tr>
      <w:tr w:rsidR="001C7330" w:rsidRPr="001C7330" w14:paraId="379D33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BB885D" w14:textId="77777777" w:rsidR="001C7330" w:rsidRPr="001C7330" w:rsidRDefault="001C7330" w:rsidP="001C7330">
            <w:r w:rsidRPr="001C7330">
              <w:rPr>
                <w:b/>
                <w:bCs/>
              </w:rPr>
              <w:t>Sanctions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B3C6A" w14:textId="77777777" w:rsidR="001C7330" w:rsidRPr="001C7330" w:rsidRDefault="001C7330" w:rsidP="001C7330">
            <w:r w:rsidRPr="001C7330">
              <w:t>Real-time automated screening.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9862D" w14:textId="77777777" w:rsidR="001C7330" w:rsidRPr="001C7330" w:rsidRDefault="001C7330" w:rsidP="001C7330">
            <w:r w:rsidRPr="001C7330">
              <w:t>Can be manual/batch for low volumes.</w:t>
            </w:r>
          </w:p>
        </w:tc>
      </w:tr>
    </w:tbl>
    <w:p w14:paraId="73B6BE4F" w14:textId="77777777" w:rsidR="00A81BA3" w:rsidRDefault="00A81BA3"/>
    <w:sectPr w:rsidR="00A81B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ADD"/>
    <w:multiLevelType w:val="multilevel"/>
    <w:tmpl w:val="7482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0C86"/>
    <w:multiLevelType w:val="multilevel"/>
    <w:tmpl w:val="2734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45539"/>
    <w:multiLevelType w:val="multilevel"/>
    <w:tmpl w:val="6AC4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77614"/>
    <w:multiLevelType w:val="multilevel"/>
    <w:tmpl w:val="5BA6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46549"/>
    <w:multiLevelType w:val="multilevel"/>
    <w:tmpl w:val="D320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45001"/>
    <w:multiLevelType w:val="multilevel"/>
    <w:tmpl w:val="E6C6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EC539B"/>
    <w:multiLevelType w:val="multilevel"/>
    <w:tmpl w:val="6B8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9151C5"/>
    <w:multiLevelType w:val="multilevel"/>
    <w:tmpl w:val="800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252268">
    <w:abstractNumId w:val="3"/>
  </w:num>
  <w:num w:numId="2" w16cid:durableId="886993083">
    <w:abstractNumId w:val="7"/>
  </w:num>
  <w:num w:numId="3" w16cid:durableId="1932079095">
    <w:abstractNumId w:val="2"/>
  </w:num>
  <w:num w:numId="4" w16cid:durableId="179055558">
    <w:abstractNumId w:val="5"/>
  </w:num>
  <w:num w:numId="5" w16cid:durableId="514458928">
    <w:abstractNumId w:val="1"/>
  </w:num>
  <w:num w:numId="6" w16cid:durableId="2131900969">
    <w:abstractNumId w:val="4"/>
  </w:num>
  <w:num w:numId="7" w16cid:durableId="920718796">
    <w:abstractNumId w:val="0"/>
  </w:num>
  <w:num w:numId="8" w16cid:durableId="12762526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284"/>
    <w:rsid w:val="00164267"/>
    <w:rsid w:val="001C7330"/>
    <w:rsid w:val="00633284"/>
    <w:rsid w:val="00A81BA3"/>
    <w:rsid w:val="00B048AE"/>
    <w:rsid w:val="00E473E3"/>
    <w:rsid w:val="00FC439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17FC1"/>
  <w15:chartTrackingRefBased/>
  <w15:docId w15:val="{A4D37764-E2E3-489E-8627-C276EAE0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284"/>
    <w:rPr>
      <w:rFonts w:eastAsiaTheme="majorEastAsia" w:cstheme="majorBidi"/>
      <w:color w:val="272727" w:themeColor="text1" w:themeTint="D8"/>
    </w:rPr>
  </w:style>
  <w:style w:type="paragraph" w:styleId="Title">
    <w:name w:val="Title"/>
    <w:basedOn w:val="Normal"/>
    <w:next w:val="Normal"/>
    <w:link w:val="TitleChar"/>
    <w:uiPriority w:val="10"/>
    <w:qFormat/>
    <w:rsid w:val="00633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284"/>
    <w:pPr>
      <w:spacing w:before="160"/>
      <w:jc w:val="center"/>
    </w:pPr>
    <w:rPr>
      <w:i/>
      <w:iCs/>
      <w:color w:val="404040" w:themeColor="text1" w:themeTint="BF"/>
    </w:rPr>
  </w:style>
  <w:style w:type="character" w:customStyle="1" w:styleId="QuoteChar">
    <w:name w:val="Quote Char"/>
    <w:basedOn w:val="DefaultParagraphFont"/>
    <w:link w:val="Quote"/>
    <w:uiPriority w:val="29"/>
    <w:rsid w:val="00633284"/>
    <w:rPr>
      <w:i/>
      <w:iCs/>
      <w:color w:val="404040" w:themeColor="text1" w:themeTint="BF"/>
    </w:rPr>
  </w:style>
  <w:style w:type="paragraph" w:styleId="ListParagraph">
    <w:name w:val="List Paragraph"/>
    <w:basedOn w:val="Normal"/>
    <w:uiPriority w:val="34"/>
    <w:qFormat/>
    <w:rsid w:val="00633284"/>
    <w:pPr>
      <w:ind w:left="720"/>
      <w:contextualSpacing/>
    </w:pPr>
  </w:style>
  <w:style w:type="character" w:styleId="IntenseEmphasis">
    <w:name w:val="Intense Emphasis"/>
    <w:basedOn w:val="DefaultParagraphFont"/>
    <w:uiPriority w:val="21"/>
    <w:qFormat/>
    <w:rsid w:val="00633284"/>
    <w:rPr>
      <w:i/>
      <w:iCs/>
      <w:color w:val="0F4761" w:themeColor="accent1" w:themeShade="BF"/>
    </w:rPr>
  </w:style>
  <w:style w:type="paragraph" w:styleId="IntenseQuote">
    <w:name w:val="Intense Quote"/>
    <w:basedOn w:val="Normal"/>
    <w:next w:val="Normal"/>
    <w:link w:val="IntenseQuoteChar"/>
    <w:uiPriority w:val="30"/>
    <w:qFormat/>
    <w:rsid w:val="00633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284"/>
    <w:rPr>
      <w:i/>
      <w:iCs/>
      <w:color w:val="0F4761" w:themeColor="accent1" w:themeShade="BF"/>
    </w:rPr>
  </w:style>
  <w:style w:type="character" w:styleId="IntenseReference">
    <w:name w:val="Intense Reference"/>
    <w:basedOn w:val="DefaultParagraphFont"/>
    <w:uiPriority w:val="32"/>
    <w:qFormat/>
    <w:rsid w:val="006332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1851</Words>
  <Characters>10553</Characters>
  <Application>Microsoft Office Word</Application>
  <DocSecurity>0</DocSecurity>
  <Lines>87</Lines>
  <Paragraphs>24</Paragraphs>
  <ScaleCrop>false</ScaleCrop>
  <Company/>
  <LinksUpToDate>false</LinksUpToDate>
  <CharactersWithSpaces>12380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Gupta</dc:creator>
  <cp:keywords/>
  <dc:description/>
  <cp:lastModifiedBy>Pankaj Gupta</cp:lastModifiedBy>
  <cp:revision>3</cp:revision>
  <dcterms:created xsi:type="dcterms:W3CDTF">2026-03-23T11:54:00Z</dcterms:created>
  <dcterms:modified xsi:type="dcterms:W3CDTF">2026-03-23T12:53:00Z</dcterms:modified>
</cp:coreProperties>
</file>