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29749c4c5e19cf1d62cddf713dab6d15567e9f8f.png"/>
            <a:graphic>
              <a:graphicData uri="http://schemas.openxmlformats.org/drawingml/2006/picture">
                <pic:pic>
                  <pic:nvPicPr>
                    <pic:cNvPr id="1" name="image-29749c4c5e19cf1d62cddf713dab6d15567e9f8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yes_please_provide_a_reference_ar_6e9458"/>
      <w:r>
        <w:rPr>
          <w:rFonts w:eastAsia="source serif 4" w:cs="source serif 4" w:ascii="source serif 4" w:hAnsi="source serif 4"/>
          <w:b/>
          <w:color w:val="000000"/>
          <w:sz w:val="39"/>
        </w:rPr>
        <w:t xml:space="preserve">Yes, please provide a reference architecture for that stack</w:t>
      </w:r>
      <w:bookmarkEnd w:id="0"/>
    </w:p>
    <w:p>
      <w:pPr>
        <w:spacing w:line="360" w:after="210" w:lineRule="auto"/>
      </w:pPr>
      <w:r>
        <w:rPr>
          <w:rFonts w:eastAsia="source serif 4" w:cs="source serif 4" w:ascii="source serif 4" w:hAnsi="source serif 4"/>
          <w:color w:val="000000"/>
        </w:rPr>
        <w:t xml:space="preserve">Yes — below is a reference architecture for a Windows/Azure/CyberArk/ServiceNow stack that compares privileged-session evidence against approved change records and flags deviations. CyberArk PSM can capture video, text recordings, commands, keystrokes, and session metadata, while ServiceNow provides AI-assisted and agentic change workflows that can assess and enrich change requests, which makes this design practical with mostly existing platform capabilities plus a custom comparison layer.</w:t>
      </w:r>
      <w:bookmarkStart w:id="1" w:name="fnref1"/>
      <w:bookmarkEnd w:id="1"/>
      <w:hyperlink w:anchor="fn1">
        <w:r>
          <w:rPr>
            <w:rFonts w:eastAsia="source sans 3" w:cs="source sans 3" w:ascii="source sans 3" w:hAnsi="source sans 3"/>
            <w:color w:val="#000"/>
            <w:u w:val="single"/>
            <w:vertAlign w:val="superscript"/>
          </w:rPr>
          <w:t xml:space="preserve">[1]</w:t>
        </w:r>
      </w:hyperlink>
      <w:bookmarkStart w:id="2" w:name="fnref2"/>
      <w:bookmarkEnd w:id="2"/>
      <w:hyperlink w:anchor="fn2">
        <w:r>
          <w:rPr>
            <w:rFonts w:eastAsia="source sans 3" w:cs="source sans 3" w:ascii="source sans 3" w:hAnsi="source sans 3"/>
            <w:color w:val="#000"/>
            <w:u w:val="single"/>
            <w:vertAlign w:val="superscript"/>
          </w:rPr>
          <w:t xml:space="preserve">[2]</w:t>
        </w:r>
      </w:hyperlink>
      <w:bookmarkStart w:id="3" w:name="fnref3"/>
      <w:bookmarkEnd w:id="3"/>
      <w:hyperlink w:anchor="fn3">
        <w:r>
          <w:rPr>
            <w:rFonts w:eastAsia="source sans 3" w:cs="source sans 3" w:ascii="source sans 3" w:hAnsi="source sans 3"/>
            <w:color w:val="#000"/>
            <w:u w:val="single"/>
            <w:vertAlign w:val="superscript"/>
          </w:rPr>
          <w:t xml:space="preserve">[3]</w:t>
        </w:r>
      </w:hyperlink>
    </w:p>
    <w:p>
      <w:pPr>
        <w:spacing w:line="360" w:before="315" w:after="105" w:lineRule="auto"/>
        <w:ind w:left="-30"/>
        <w:jc w:val="left"/>
      </w:pPr>
      <w:bookmarkStart w:id="4" w:name="architecture"/>
      <w:r>
        <w:rPr>
          <w:rFonts w:eastAsia="source serif 4" w:cs="source serif 4" w:ascii="source serif 4" w:hAnsi="source serif 4"/>
          <w:b/>
          <w:color w:val="000000"/>
          <w:sz w:val="24"/>
        </w:rPr>
        <w:t xml:space="preserve">Architecture</w:t>
      </w:r>
      <w:bookmarkEnd w:id="4"/>
    </w:p>
    <w:p>
      <w:pPr>
        <w:spacing w:line="360" w:after="210" w:lineRule="auto"/>
      </w:pPr>
      <w:r>
        <w:rPr>
          <w:rFonts w:eastAsia="source serif 4" w:cs="source serif 4" w:ascii="source serif 4" w:hAnsi="source serif 4"/>
          <w:color w:val="000000"/>
        </w:rPr>
        <w:t xml:space="preserve">The core pattern is: ServiceNow is the system of approval, CyberArk PSM is the system of execution evidence, and an AI/rules service in Azure is the system of comparison. CyberArk can expose searchable session properties, commands, events, and recordings, and ServiceNow can provide structured change fields and AI-enhanced change context for the comparison engine.</w:t>
      </w:r>
      <w:bookmarkStart w:id="5" w:name="fnref4"/>
      <w:bookmarkEnd w:id="5"/>
      <w:hyperlink w:anchor="fn4">
        <w:r>
          <w:rPr>
            <w:rFonts w:eastAsia="source sans 3" w:cs="source sans 3" w:ascii="source sans 3" w:hAnsi="source sans 3"/>
            <w:color w:val="#000"/>
            <w:u w:val="single"/>
            <w:vertAlign w:val="superscript"/>
          </w:rPr>
          <w:t xml:space="preserve">[4]</w:t>
        </w:r>
      </w:hyperlink>
      <w:bookmarkStart w:id="6" w:name="fnref5"/>
      <w:bookmarkEnd w:id="6"/>
      <w:hyperlink w:anchor="fn5">
        <w:r>
          <w:rPr>
            <w:rFonts w:eastAsia="source sans 3" w:cs="source sans 3" w:ascii="source sans 3" w:hAnsi="source sans 3"/>
            <w:color w:val="#000"/>
            <w:u w:val="single"/>
            <w:vertAlign w:val="superscript"/>
          </w:rPr>
          <w:t xml:space="preserve">[5]</w:t>
        </w:r>
      </w:hyperlink>
      <w:bookmarkStart w:id="7" w:name="fnref3_1"/>
      <w:bookmarkEnd w:id="7"/>
      <w:hyperlink w:anchor="fn3">
        <w:r>
          <w:rPr>
            <w:rFonts w:eastAsia="source sans 3" w:cs="source sans 3" w:ascii="source sans 3" w:hAnsi="source sans 3"/>
            <w:color w:val="#000"/>
            <w:u w:val="single"/>
            <w:vertAlign w:val="superscript"/>
          </w:rPr>
          <w:t xml:space="preserve">[3]</w:t>
        </w:r>
      </w:hyperlink>
      <w:bookmarkStart w:id="8" w:name="fnref1_1"/>
      <w:bookmarkEnd w:id="8"/>
      <w:hyperlink w:anchor="fn1">
        <w:r>
          <w:rPr>
            <w:rFonts w:eastAsia="source sans 3" w:cs="source sans 3" w:ascii="source sans 3" w:hAnsi="source sans 3"/>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        +---------------------+</w:t>
        <w:br/>
        <w:t xml:space="preserve">| ServiceNow Change |        | CyberArk PVWA / PSM |</w:t>
        <w:br/>
        <w:t xml:space="preserve">| Requests (CRQ)    |        | Session recordings  |</w:t>
        <w:br/>
        <w:t xml:space="preserve">| - planned steps   |        | - video             |</w:t>
        <w:br/>
        <w:t xml:space="preserve">| - CI / hostname   |        | - text logs         |</w:t>
        <w:br/>
        <w:t xml:space="preserve">| - change window   |        | - commands/events   |</w:t>
        <w:br/>
        <w:t xml:space="preserve">| - approvals       |        | - user/account/meta |</w:t>
        <w:br/>
        <w:t xml:space="preserve">+---------+---------+        +----------+----------+</w:t>
        <w:br/>
        <w:t xml:space="preserve">          |                             |</w:t>
        <w:br/>
        <w:t xml:space="preserve">          | APIs / webhooks             | APIs / exports / event feeds</w:t>
        <w:br/>
        <w:t xml:space="preserve">          v                             v</w:t>
        <w:br/>
        <w:t xml:space="preserve">+--------------------------------------------------+</w:t>
        <w:br/>
        <w:t xml:space="preserve">| Azure Integration Layer                          |</w:t>
        <w:br/>
        <w:t xml:space="preserve">| - API Management / Logic Apps / Functions        |</w:t>
        <w:br/>
        <w:t xml:space="preserve">| - identity via Managed Identity / Key Vault      |</w:t>
        <w:br/>
        <w:t xml:space="preserve">| - normalization to common event schema           |</w:t>
        <w:br/>
        <w:t xml:space="preserve">+----------------------------+---------------------+</w:t>
        <w:br/>
        <w:t xml:space="preserve">                             |</w:t>
        <w:br/>
        <w:t xml:space="preserve">                             v</w:t>
        <w:br/>
        <w:t xml:space="preserve">+--------------------------------------------------+</w:t>
        <w:br/>
        <w:t xml:space="preserve">| Comparison &amp; Analytics Layer                     |</w:t>
        <w:br/>
        <w:t xml:space="preserve">| - Rules engine                                   |</w:t>
        <w:br/>
        <w:t xml:space="preserve">| - LLM / AI extraction                            |</w:t>
        <w:br/>
        <w:t xml:space="preserve">| - Session-to-change correlation                  |</w:t>
        <w:br/>
        <w:t xml:space="preserve">| - Deviation scoring                              |</w:t>
        <w:br/>
        <w:t xml:space="preserve">| - Evidence packaging                             |</w:t>
        <w:br/>
        <w:t xml:space="preserve">+----------------------------+---------------------+</w:t>
        <w:br/>
        <w:t xml:space="preserve">                             |</w:t>
        <w:br/>
        <w:t xml:space="preserve">                             v</w:t>
        <w:br/>
        <w:t xml:space="preserve">+--------------------------------------------------+</w:t>
        <w:br/>
        <w:t xml:space="preserve">| Outcomes                                         |</w:t>
        <w:br/>
        <w:t xml:space="preserve">| - deviation ticket / task in ServiceNow          |</w:t>
        <w:br/>
        <w:t xml:space="preserve">| - SOC / audit feed to SIEM                       |</w:t>
        <w:br/>
        <w:t xml:space="preserve">| - evidence store for investigation               |</w:t>
        <w:br/>
        <w:t xml:space="preserve">| - dashboards / exception reporting               |</w:t>
        <w:br/>
        <w:t xml:space="preserve">+--------------------------------------------------+</w:t>
        <w:br/>
        <w:t xml:space="preserve"/>
      </w:r>
    </w:p>
    <w:p>
      <w:pPr>
        <w:spacing w:line="360" w:before="315" w:after="105" w:lineRule="auto"/>
        <w:ind w:left="-30"/>
        <w:jc w:val="left"/>
      </w:pPr>
      <w:bookmarkStart w:id="9" w:name="data_flow"/>
      <w:r>
        <w:rPr>
          <w:rFonts w:eastAsia="source serif 4" w:cs="source serif 4" w:ascii="source serif 4" w:hAnsi="source serif 4"/>
          <w:b/>
          <w:color w:val="000000"/>
          <w:sz w:val="24"/>
        </w:rPr>
        <w:t xml:space="preserve">Data flow</w:t>
      </w:r>
      <w:bookmarkEnd w:id="9"/>
    </w:p>
    <w:p>
      <w:pPr>
        <w:numPr>
          <w:ilvl w:val="0"/>
          <w:numId w:val="1"/>
        </w:numPr>
        <w:spacing w:line="360" w:before="105" w:after="105" w:lineRule="auto"/>
      </w:pPr>
      <w:r>
        <w:rPr>
          <w:rFonts w:eastAsia="source serif 4" w:cs="source serif 4" w:ascii="source serif 4" w:hAnsi="source serif 4"/>
          <w:color w:val="000000"/>
          <w:sz w:val="21"/>
        </w:rPr>
        <w:t xml:space="preserve">A change is approved in ServiceNow with scope, implementation plan, affected CI, time window, and rollback details, which become the baseline for expected activity.</w:t>
      </w:r>
      <w:bookmarkStart w:id="10" w:name="fnref2_1"/>
      <w:bookmarkEnd w:id="10"/>
      <w:hyperlink w:anchor="fn2">
        <w:r>
          <w:rPr>
            <w:rFonts w:eastAsia="source sans 3" w:cs="source sans 3" w:ascii="source sans 3" w:hAnsi="source sans 3"/>
            <w:color w:val="#000"/>
            <w:sz w:val="21"/>
            <w:u w:val="single"/>
            <w:vertAlign w:val="superscript"/>
          </w:rPr>
          <w:t xml:space="preserve">[2]</w:t>
        </w:r>
      </w:hyperlink>
      <w:bookmarkStart w:id="11" w:name="fnref6"/>
      <w:bookmarkEnd w:id="11"/>
      <w:hyperlink w:anchor="fn6">
        <w:r>
          <w:rPr>
            <w:rFonts w:eastAsia="source sans 3" w:cs="source sans 3" w:ascii="source sans 3" w:hAnsi="source sans 3"/>
            <w:color w:val="#000"/>
            <w:sz w:val="21"/>
            <w:u w:val="single"/>
            <w:vertAlign w:val="superscript"/>
          </w:rPr>
          <w:t xml:space="preserve">[6]</w:t>
        </w:r>
      </w:hyperlink>
    </w:p>
    <w:p>
      <w:pPr>
        <w:numPr>
          <w:ilvl w:val="0"/>
          <w:numId w:val="1"/>
        </w:numPr>
        <w:spacing w:line="360" w:before="105" w:after="105" w:lineRule="auto"/>
      </w:pPr>
      <w:r>
        <w:rPr>
          <w:rFonts w:eastAsia="source serif 4" w:cs="source serif 4" w:ascii="source serif 4" w:hAnsi="source serif 4"/>
          <w:color w:val="000000"/>
          <w:sz w:val="21"/>
        </w:rPr>
        <w:t xml:space="preserve">The privileged session runs through CyberArk PSM, which can record video, text, commands, keystrokes, Windows titles, and other session activities with timestamps and searchable metadata.</w:t>
      </w:r>
      <w:bookmarkStart w:id="12" w:name="fnref5_1"/>
      <w:bookmarkEnd w:id="12"/>
      <w:hyperlink w:anchor="fn5">
        <w:r>
          <w:rPr>
            <w:rFonts w:eastAsia="source sans 3" w:cs="source sans 3" w:ascii="source sans 3" w:hAnsi="source sans 3"/>
            <w:color w:val="#000"/>
            <w:sz w:val="21"/>
            <w:u w:val="single"/>
            <w:vertAlign w:val="superscript"/>
          </w:rPr>
          <w:t xml:space="preserve">[5]</w:t>
        </w:r>
      </w:hyperlink>
      <w:bookmarkStart w:id="13" w:name="fnref1_2"/>
      <w:bookmarkEnd w:id="13"/>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before="105" w:after="105" w:lineRule="auto"/>
      </w:pPr>
      <w:r>
        <w:rPr>
          <w:rFonts w:eastAsia="source serif 4" w:cs="source serif 4" w:ascii="source serif 4" w:hAnsi="source serif 4"/>
          <w:color w:val="000000"/>
          <w:sz w:val="21"/>
        </w:rPr>
        <w:t xml:space="preserve">The Azure comparison service correlates the session to the change using operator, target, time window, account, and ticket reference, then compares planned actions against observed actions and writes exceptions back into ServiceNow or downstream audit tooling.</w:t>
      </w:r>
      <w:bookmarkStart w:id="14" w:name="fnref3_2"/>
      <w:bookmarkEnd w:id="14"/>
      <w:hyperlink w:anchor="fn3">
        <w:r>
          <w:rPr>
            <w:rFonts w:eastAsia="source sans 3" w:cs="source sans 3" w:ascii="source sans 3" w:hAnsi="source sans 3"/>
            <w:color w:val="#000"/>
            <w:sz w:val="21"/>
            <w:u w:val="single"/>
            <w:vertAlign w:val="superscript"/>
          </w:rPr>
          <w:t xml:space="preserve">[3]</w:t>
        </w:r>
      </w:hyperlink>
      <w:bookmarkStart w:id="15" w:name="fnref4_1"/>
      <w:bookmarkEnd w:id="15"/>
      <w:hyperlink w:anchor="fn4">
        <w:r>
          <w:rPr>
            <w:rFonts w:eastAsia="source sans 3" w:cs="source sans 3" w:ascii="source sans 3" w:hAnsi="source sans 3"/>
            <w:color w:val="#000"/>
            <w:sz w:val="21"/>
            <w:u w:val="single"/>
            <w:vertAlign w:val="superscript"/>
          </w:rPr>
          <w:t xml:space="preserve">[4]</w:t>
        </w:r>
      </w:hyperlink>
      <w:bookmarkStart w:id="16" w:name="fnref1_3"/>
      <w:bookmarkEnd w:id="16"/>
      <w:hyperlink w:anchor="fn1">
        <w:r>
          <w:rPr>
            <w:rFonts w:eastAsia="source sans 3" w:cs="source sans 3" w:ascii="source sans 3" w:hAnsi="source sans 3"/>
            <w:color w:val="#000"/>
            <w:sz w:val="21"/>
            <w:u w:val="single"/>
            <w:vertAlign w:val="superscript"/>
          </w:rPr>
          <w:t xml:space="preserve">[1]</w:t>
        </w:r>
      </w:hyperlink>
    </w:p>
    <w:p>
      <w:pPr>
        <w:spacing w:line="360" w:before="315" w:after="105" w:lineRule="auto"/>
        <w:ind w:left="-30"/>
        <w:jc w:val="left"/>
      </w:pPr>
      <w:bookmarkStart w:id="17" w:name="azure_components"/>
      <w:r>
        <w:rPr>
          <w:rFonts w:eastAsia="source serif 4" w:cs="source serif 4" w:ascii="source serif 4" w:hAnsi="source serif 4"/>
          <w:b/>
          <w:color w:val="000000"/>
          <w:sz w:val="24"/>
        </w:rPr>
        <w:t xml:space="preserve">Azure components</w:t>
      </w:r>
      <w:bookmarkEnd w:id="17"/>
    </w:p>
    <w:p>
      <w:pPr>
        <w:spacing w:line="360" w:after="210" w:lineRule="auto"/>
      </w:pPr>
      <w:r>
        <w:rPr>
          <w:rFonts w:eastAsia="source serif 4" w:cs="source serif 4" w:ascii="source serif 4" w:hAnsi="source serif 4"/>
          <w:color w:val="000000"/>
        </w:rPr>
        <w:t xml:space="preserve">For this stack, I would use Azure API Management in front of inbound integrations, Logic Apps or Azure Functions for orchestration, Azure Key Vault for secrets, and a durable event store for normalized session evidence. The AI layer should split into two stages: deterministic extraction first, then LLM reasoning for semantic checks such as “step executed differently but intent matched” versus “unauthorized admin action,” because CyberArk already gives structured commands/events that are more reliable than raw video-only inspection.</w:t>
      </w:r>
      <w:bookmarkStart w:id="18" w:name="fnref7"/>
      <w:bookmarkEnd w:id="18"/>
      <w:hyperlink w:anchor="fn7">
        <w:r>
          <w:rPr>
            <w:rFonts w:eastAsia="source sans 3" w:cs="source sans 3" w:ascii="source sans 3" w:hAnsi="source sans 3"/>
            <w:color w:val="#000"/>
            <w:u w:val="single"/>
            <w:vertAlign w:val="superscript"/>
          </w:rPr>
          <w:t xml:space="preserve">[7]</w:t>
        </w:r>
      </w:hyperlink>
      <w:bookmarkStart w:id="19" w:name="fnref1_4"/>
      <w:bookmarkEnd w:id="19"/>
      <w:hyperlink w:anchor="fn1">
        <w:r>
          <w:rPr>
            <w:rFonts w:eastAsia="source sans 3" w:cs="source sans 3" w:ascii="source sans 3" w:hAnsi="source sans 3"/>
            <w:color w:val="#000"/>
            <w:u w:val="single"/>
            <w:vertAlign w:val="superscript"/>
          </w:rPr>
          <w:t xml:space="preserve">[1]</w:t>
        </w:r>
      </w:hyperlink>
      <w:bookmarkStart w:id="20" w:name="fnref5_2"/>
      <w:bookmarkEnd w:id="20"/>
      <w:hyperlink w:anchor="fn5">
        <w:r>
          <w:rPr>
            <w:rFonts w:eastAsia="source sans 3" w:cs="source sans 3" w:ascii="source sans 3" w:hAnsi="source sans 3"/>
            <w:color w:val="#000"/>
            <w:u w:val="single"/>
            <w:vertAlign w:val="superscript"/>
          </w:rPr>
          <w:t xml:space="preserve">[5]</w:t>
        </w:r>
      </w:hyperlink>
    </w:p>
    <w:p>
      <w:pPr>
        <w:spacing w:line="360" w:after="210" w:lineRule="auto"/>
      </w:pPr>
      <w:r>
        <w:rPr>
          <w:rFonts w:eastAsia="source serif 4" w:cs="source serif 4" w:ascii="source serif 4" w:hAnsi="source serif 4"/>
          <w:color w:val="000000"/>
        </w:rPr>
        <w:t xml:space="preserve">Recommended logical components:</w:t>
      </w:r>
    </w:p>
    <w:p>
      <w:pPr>
        <w:numPr>
          <w:ilvl w:val="0"/>
          <w:numId w:val="2"/>
        </w:numPr>
        <w:spacing w:line="360" w:before="105" w:after="105" w:lineRule="auto"/>
      </w:pPr>
      <w:r>
        <w:rPr>
          <w:rFonts w:eastAsia="source serif 4" w:cs="source serif 4" w:ascii="source serif 4" w:hAnsi="source serif 4"/>
          <w:color w:val="000000"/>
          <w:sz w:val="21"/>
        </w:rPr>
        <w:t xml:space="preserve">Azure Functions: ingest ServiceNow and CyberArk data, correlate session to CRQ, trigger evaluations.</w:t>
      </w:r>
    </w:p>
    <w:p>
      <w:pPr>
        <w:numPr>
          <w:ilvl w:val="0"/>
          <w:numId w:val="2"/>
        </w:numPr>
        <w:spacing w:line="360" w:before="105" w:after="105" w:lineRule="auto"/>
      </w:pPr>
      <w:r>
        <w:rPr>
          <w:rFonts w:eastAsia="source serif 4" w:cs="source serif 4" w:ascii="source serif 4" w:hAnsi="source serif 4"/>
          <w:color w:val="000000"/>
          <w:sz w:val="21"/>
        </w:rPr>
        <w:t xml:space="preserve">Azure AI service: summarize ticket intent, map free-text steps into structured actions, and classify deviations.</w:t>
      </w:r>
    </w:p>
    <w:p>
      <w:pPr>
        <w:numPr>
          <w:ilvl w:val="0"/>
          <w:numId w:val="2"/>
        </w:numPr>
        <w:spacing w:line="360" w:before="105" w:after="105" w:lineRule="auto"/>
      </w:pPr>
      <w:r>
        <w:rPr>
          <w:rFonts w:eastAsia="source serif 4" w:cs="source serif 4" w:ascii="source serif 4" w:hAnsi="source serif 4"/>
          <w:color w:val="000000"/>
          <w:sz w:val="21"/>
        </w:rPr>
        <w:t xml:space="preserve">Azure Storage/Data Lake: store immutable evidence packages, transcripts, and comparison outputs.</w:t>
      </w:r>
    </w:p>
    <w:p>
      <w:pPr>
        <w:numPr>
          <w:ilvl w:val="0"/>
          <w:numId w:val="2"/>
        </w:numPr>
        <w:spacing w:line="360" w:before="105" w:after="105" w:lineRule="auto"/>
      </w:pPr>
      <w:r>
        <w:rPr>
          <w:rFonts w:eastAsia="source serif 4" w:cs="source serif 4" w:ascii="source serif 4" w:hAnsi="source serif 4"/>
          <w:color w:val="000000"/>
          <w:sz w:val="21"/>
        </w:rPr>
        <w:t xml:space="preserve">Azure SQL or Cosmos DB: hold normalized session/change objects and deviation scores.</w:t>
      </w:r>
    </w:p>
    <w:p>
      <w:pPr>
        <w:numPr>
          <w:ilvl w:val="0"/>
          <w:numId w:val="2"/>
        </w:numPr>
        <w:spacing w:line="360" w:before="105" w:after="105" w:lineRule="auto"/>
      </w:pPr>
      <w:r>
        <w:rPr>
          <w:rFonts w:eastAsia="source serif 4" w:cs="source serif 4" w:ascii="source serif 4" w:hAnsi="source serif 4"/>
          <w:color w:val="000000"/>
          <w:sz w:val="21"/>
        </w:rPr>
        <w:t xml:space="preserve">Sentinel or SIEM feed: consume high-risk deviation events for SOC visibility.</w:t>
      </w:r>
    </w:p>
    <w:p>
      <w:pPr>
        <w:spacing w:line="360" w:before="315" w:after="105" w:lineRule="auto"/>
        <w:ind w:left="-30"/>
        <w:jc w:val="left"/>
      </w:pPr>
      <w:bookmarkStart w:id="21" w:name="detection_logic"/>
      <w:r>
        <w:rPr>
          <w:rFonts w:eastAsia="source serif 4" w:cs="source serif 4" w:ascii="source serif 4" w:hAnsi="source serif 4"/>
          <w:b/>
          <w:color w:val="000000"/>
          <w:sz w:val="24"/>
        </w:rPr>
        <w:t xml:space="preserve">Detection logic</w:t>
      </w:r>
      <w:bookmarkEnd w:id="21"/>
    </w:p>
    <w:p>
      <w:pPr>
        <w:spacing w:line="360" w:after="210" w:lineRule="auto"/>
      </w:pPr>
      <w:r>
        <w:rPr>
          <w:rFonts w:eastAsia="source serif 4" w:cs="source serif 4" w:ascii="source serif 4" w:hAnsi="source serif 4"/>
          <w:color w:val="000000"/>
        </w:rPr>
        <w:t xml:space="preserve">Use a hybrid control model, not pure AI. CyberArk session data can already expose commands, keystrokes, titles, and activity timelines, so the first pass should be hard controls, while AI handles fuzzy mapping between the approved plan and what actually happened.</w:t>
      </w:r>
      <w:bookmarkStart w:id="22" w:name="fnref4_2"/>
      <w:bookmarkEnd w:id="22"/>
      <w:hyperlink w:anchor="fn4">
        <w:r>
          <w:rPr>
            <w:rFonts w:eastAsia="source sans 3" w:cs="source sans 3" w:ascii="source sans 3" w:hAnsi="source sans 3"/>
            <w:color w:val="#000"/>
            <w:u w:val="single"/>
            <w:vertAlign w:val="superscript"/>
          </w:rPr>
          <w:t xml:space="preserve">[4]</w:t>
        </w:r>
      </w:hyperlink>
      <w:bookmarkStart w:id="23" w:name="fnref1_5"/>
      <w:bookmarkEnd w:id="23"/>
      <w:hyperlink w:anchor="fn1">
        <w:r>
          <w:rPr>
            <w:rFonts w:eastAsia="source sans 3" w:cs="source sans 3" w:ascii="source sans 3" w:hAnsi="source sans 3"/>
            <w:color w:val="#000"/>
            <w:u w:val="single"/>
            <w:vertAlign w:val="superscript"/>
          </w:rPr>
          <w:t xml:space="preserve">[1]</w:t>
        </w:r>
      </w:hyperlink>
      <w:bookmarkStart w:id="24" w:name="fnref5_3"/>
      <w:bookmarkEnd w:id="24"/>
      <w:hyperlink w:anchor="fn5">
        <w:r>
          <w:rPr>
            <w:rFonts w:eastAsia="source sans 3" w:cs="source sans 3" w:ascii="source sans 3" w:hAnsi="source sans 3"/>
            <w:color w:val="#000"/>
            <w:u w:val="single"/>
            <w:vertAlign w:val="superscript"/>
          </w:rPr>
          <w:t xml:space="preserve">[5]</w:t>
        </w:r>
      </w:hyperlink>
    </w:p>
    <w:p>
      <w:pPr>
        <w:spacing w:line="360" w:after="210" w:lineRule="auto"/>
      </w:pPr>
      <w:r>
        <w:rPr>
          <w:rFonts w:eastAsia="source serif 4" w:cs="source serif 4" w:ascii="source serif 4" w:hAnsi="source serif 4"/>
          <w:color w:val="000000"/>
        </w:rPr>
        <w:t xml:space="preserve">Example detection categories:</w:t>
      </w:r>
    </w:p>
    <w:p>
      <w:pPr>
        <w:numPr>
          <w:ilvl w:val="0"/>
          <w:numId w:val="3"/>
        </w:numPr>
        <w:spacing w:line="360" w:before="105" w:after="105" w:lineRule="auto"/>
      </w:pPr>
      <w:r>
        <w:rPr>
          <w:rFonts w:eastAsia="source serif 4" w:cs="source serif 4" w:ascii="source serif 4" w:hAnsi="source serif 4"/>
          <w:color w:val="000000"/>
          <w:sz w:val="21"/>
        </w:rPr>
        <w:t xml:space="preserve">Scope deviation: target hostname, IP, database, or privileged account differs from the approved change.</w:t>
      </w:r>
      <w:bookmarkStart w:id="25" w:name="fnref5_4"/>
      <w:bookmarkEnd w:id="25"/>
      <w:hyperlink w:anchor="fn5">
        <w:r>
          <w:rPr>
            <w:rFonts w:eastAsia="source sans 3" w:cs="source sans 3" w:ascii="source sans 3" w:hAnsi="source sans 3"/>
            <w:color w:val="#000"/>
            <w:sz w:val="21"/>
            <w:u w:val="single"/>
            <w:vertAlign w:val="superscript"/>
          </w:rPr>
          <w:t xml:space="preserve">[5]</w:t>
        </w:r>
      </w:hyperlink>
      <w:bookmarkStart w:id="26" w:name="fnref4_3"/>
      <w:bookmarkEnd w:id="26"/>
      <w:hyperlink w:anchor="fn4">
        <w:r>
          <w:rPr>
            <w:rFonts w:eastAsia="source sans 3" w:cs="source sans 3" w:ascii="source sans 3" w:hAnsi="source sans 3"/>
            <w:color w:val="#000"/>
            <w:sz w:val="21"/>
            <w:u w:val="single"/>
            <w:vertAlign w:val="superscript"/>
          </w:rPr>
          <w:t xml:space="preserve">[4]</w:t>
        </w:r>
      </w:hyperlink>
    </w:p>
    <w:p>
      <w:pPr>
        <w:numPr>
          <w:ilvl w:val="0"/>
          <w:numId w:val="3"/>
        </w:numPr>
        <w:spacing w:line="360" w:before="105" w:after="105" w:lineRule="auto"/>
      </w:pPr>
      <w:r>
        <w:rPr>
          <w:rFonts w:eastAsia="source serif 4" w:cs="source serif 4" w:ascii="source serif 4" w:hAnsi="source serif 4"/>
          <w:color w:val="000000"/>
          <w:sz w:val="21"/>
        </w:rPr>
        <w:t xml:space="preserve">Time deviation: session starts early, ends late, or includes privileged actions outside the approved window.</w:t>
      </w:r>
      <w:bookmarkStart w:id="27" w:name="fnref4_4"/>
      <w:bookmarkEnd w:id="27"/>
      <w:hyperlink w:anchor="fn4">
        <w:r>
          <w:rPr>
            <w:rFonts w:eastAsia="source sans 3" w:cs="source sans 3" w:ascii="source sans 3" w:hAnsi="source sans 3"/>
            <w:color w:val="#000"/>
            <w:sz w:val="21"/>
            <w:u w:val="single"/>
            <w:vertAlign w:val="superscript"/>
          </w:rPr>
          <w:t xml:space="preserve">[4]</w:t>
        </w:r>
      </w:hyperlink>
    </w:p>
    <w:p>
      <w:pPr>
        <w:numPr>
          <w:ilvl w:val="0"/>
          <w:numId w:val="3"/>
        </w:numPr>
        <w:spacing w:line="360" w:before="105" w:after="105" w:lineRule="auto"/>
      </w:pPr>
      <w:r>
        <w:rPr>
          <w:rFonts w:eastAsia="source serif 4" w:cs="source serif 4" w:ascii="source serif 4" w:hAnsi="source serif 4"/>
          <w:color w:val="000000"/>
          <w:sz w:val="21"/>
        </w:rPr>
        <w:t xml:space="preserve">Action deviation: executed commands, scripts, windows, or administrative activities are not aligned to the implementation plan, especially blocked or denied commands where available.</w:t>
      </w:r>
      <w:bookmarkStart w:id="28" w:name="fnref8"/>
      <w:bookmarkEnd w:id="28"/>
      <w:hyperlink w:anchor="fn8">
        <w:r>
          <w:rPr>
            <w:rFonts w:eastAsia="source sans 3" w:cs="source sans 3" w:ascii="source sans 3" w:hAnsi="source sans 3"/>
            <w:color w:val="#000"/>
            <w:sz w:val="21"/>
            <w:u w:val="single"/>
            <w:vertAlign w:val="superscript"/>
          </w:rPr>
          <w:t xml:space="preserve">[8]</w:t>
        </w:r>
      </w:hyperlink>
      <w:bookmarkStart w:id="29" w:name="fnref5_5"/>
      <w:bookmarkEnd w:id="29"/>
      <w:hyperlink w:anchor="fn5">
        <w:r>
          <w:rPr>
            <w:rFonts w:eastAsia="source sans 3" w:cs="source sans 3" w:ascii="source sans 3" w:hAnsi="source sans 3"/>
            <w:color w:val="#000"/>
            <w:sz w:val="21"/>
            <w:u w:val="single"/>
            <w:vertAlign w:val="superscript"/>
          </w:rPr>
          <w:t xml:space="preserve">[5]</w:t>
        </w:r>
      </w:hyperlink>
    </w:p>
    <w:p>
      <w:pPr>
        <w:numPr>
          <w:ilvl w:val="0"/>
          <w:numId w:val="3"/>
        </w:numPr>
        <w:spacing w:line="360" w:before="105" w:after="105" w:lineRule="auto"/>
      </w:pPr>
      <w:r>
        <w:rPr>
          <w:rFonts w:eastAsia="source serif 4" w:cs="source serif 4" w:ascii="source serif 4" w:hAnsi="source serif 4"/>
          <w:color w:val="000000"/>
          <w:sz w:val="21"/>
        </w:rPr>
        <w:t xml:space="preserve">Sequence deviation: rollback executed before validation, missing prerequisite steps, or direct production change without documented pre-check.</w:t>
      </w:r>
    </w:p>
    <w:p>
      <w:pPr>
        <w:numPr>
          <w:ilvl w:val="0"/>
          <w:numId w:val="3"/>
        </w:numPr>
        <w:spacing w:line="360" w:before="105" w:after="105" w:lineRule="auto"/>
      </w:pPr>
      <w:r>
        <w:rPr>
          <w:rFonts w:eastAsia="source serif 4" w:cs="source serif 4" w:ascii="source serif 4" w:hAnsi="source serif 4"/>
          <w:color w:val="000000"/>
          <w:sz w:val="21"/>
        </w:rPr>
        <w:t xml:space="preserve">Approval deviation: no linked approved CRQ, wrong assignment group, or emergency-change behavior without emergency record context.</w:t>
      </w:r>
      <w:bookmarkStart w:id="30" w:name="fnref2_2"/>
      <w:bookmarkEnd w:id="30"/>
      <w:hyperlink w:anchor="fn2">
        <w:r>
          <w:rPr>
            <w:rFonts w:eastAsia="source sans 3" w:cs="source sans 3" w:ascii="source sans 3" w:hAnsi="source sans 3"/>
            <w:color w:val="#000"/>
            <w:sz w:val="21"/>
            <w:u w:val="single"/>
            <w:vertAlign w:val="superscript"/>
          </w:rPr>
          <w:t xml:space="preserve">[2]</w:t>
        </w:r>
      </w:hyperlink>
      <w:bookmarkStart w:id="31" w:name="fnref3_3"/>
      <w:bookmarkEnd w:id="31"/>
      <w:hyperlink w:anchor="fn3">
        <w:r>
          <w:rPr>
            <w:rFonts w:eastAsia="source sans 3" w:cs="source sans 3" w:ascii="source sans 3" w:hAnsi="source sans 3"/>
            <w:color w:val="#000"/>
            <w:sz w:val="21"/>
            <w:u w:val="single"/>
            <w:vertAlign w:val="superscript"/>
          </w:rPr>
          <w:t xml:space="preserve">[3]</w:t>
        </w:r>
      </w:hyperlink>
    </w:p>
    <w:p>
      <w:pPr>
        <w:numPr>
          <w:ilvl w:val="0"/>
          <w:numId w:val="3"/>
        </w:numPr>
        <w:spacing w:line="360" w:before="105" w:after="105" w:lineRule="auto"/>
      </w:pPr>
      <w:r>
        <w:rPr>
          <w:rFonts w:eastAsia="source serif 4" w:cs="source serif 4" w:ascii="source serif 4" w:hAnsi="source serif 4"/>
          <w:color w:val="000000"/>
          <w:sz w:val="21"/>
        </w:rPr>
        <w:t xml:space="preserve">Risk escalation: combine CyberArk risky-session context with change anomalies to raise priority, since CyberArk surfaces risk-oriented monitoring features in session review workflows.</w:t>
      </w:r>
      <w:bookmarkStart w:id="32" w:name="fnref4_5"/>
      <w:bookmarkEnd w:id="32"/>
      <w:hyperlink w:anchor="fn4">
        <w:r>
          <w:rPr>
            <w:rFonts w:eastAsia="source sans 3" w:cs="source sans 3" w:ascii="source sans 3" w:hAnsi="source sans 3"/>
            <w:color w:val="#000"/>
            <w:sz w:val="21"/>
            <w:u w:val="single"/>
            <w:vertAlign w:val="superscript"/>
          </w:rPr>
          <w:t xml:space="preserve">[4]</w:t>
        </w:r>
      </w:hyperlink>
    </w:p>
    <w:p>
      <w:pPr>
        <w:spacing w:line="360" w:before="315" w:after="105" w:lineRule="auto"/>
        <w:ind w:left="-30"/>
        <w:jc w:val="left"/>
      </w:pPr>
      <w:bookmarkStart w:id="33" w:name="control_design"/>
      <w:r>
        <w:rPr>
          <w:rFonts w:eastAsia="source serif 4" w:cs="source serif 4" w:ascii="source serif 4" w:hAnsi="source serif 4"/>
          <w:b/>
          <w:color w:val="000000"/>
          <w:sz w:val="24"/>
        </w:rPr>
        <w:t xml:space="preserve">Control design</w:t>
      </w:r>
      <w:bookmarkEnd w:id="33"/>
    </w:p>
    <w:p>
      <w:pPr>
        <w:spacing w:line="360" w:after="210" w:lineRule="auto"/>
      </w:pPr>
      <w:r>
        <w:rPr>
          <w:rFonts w:eastAsia="source serif 4" w:cs="source serif 4" w:ascii="source serif 4" w:hAnsi="source serif 4"/>
          <w:color w:val="000000"/>
        </w:rPr>
        <w:t xml:space="preserve">For financial-services environments, keep the control explainable and auditable. ServiceNow’s change AI features are useful for improving change quality and summarization, but the actual compliance control should output explicit evidence such as “ticket allowed service restart on host A during 22:00–23:00; session executed local admin creation on host B at 23:17,” not just an opaque model score.</w:t>
      </w:r>
      <w:bookmarkStart w:id="34" w:name="fnref6_1"/>
      <w:bookmarkEnd w:id="34"/>
      <w:hyperlink w:anchor="fn6">
        <w:r>
          <w:rPr>
            <w:rFonts w:eastAsia="source sans 3" w:cs="source sans 3" w:ascii="source sans 3" w:hAnsi="source sans 3"/>
            <w:color w:val="#000"/>
            <w:u w:val="single"/>
            <w:vertAlign w:val="superscript"/>
          </w:rPr>
          <w:t xml:space="preserve">[6]</w:t>
        </w:r>
      </w:hyperlink>
      <w:bookmarkStart w:id="35" w:name="fnref9"/>
      <w:bookmarkEnd w:id="35"/>
      <w:hyperlink w:anchor="fn9">
        <w:r>
          <w:rPr>
            <w:rFonts w:eastAsia="source sans 3" w:cs="source sans 3" w:ascii="source sans 3" w:hAnsi="source sans 3"/>
            <w:color w:val="#000"/>
            <w:u w:val="single"/>
            <w:vertAlign w:val="superscript"/>
          </w:rPr>
          <w:t xml:space="preserve">[9]</w:t>
        </w:r>
      </w:hyperlink>
      <w:bookmarkStart w:id="36" w:name="fnref2_3"/>
      <w:bookmarkEnd w:id="36"/>
      <w:hyperlink w:anchor="fn2">
        <w:r>
          <w:rPr>
            <w:rFonts w:eastAsia="source sans 3" w:cs="source sans 3" w:ascii="source sans 3" w:hAnsi="source sans 3"/>
            <w:color w:val="#000"/>
            <w:u w:val="single"/>
            <w:vertAlign w:val="superscript"/>
          </w:rPr>
          <w:t xml:space="preserve">[2]</w:t>
        </w:r>
      </w:hyperlink>
    </w:p>
    <w:p>
      <w:pPr>
        <w:spacing w:line="360" w:after="210" w:lineRule="auto"/>
      </w:pPr>
      <w:r>
        <w:rPr>
          <w:rFonts w:eastAsia="source serif 4" w:cs="source serif 4" w:ascii="source serif 4" w:hAnsi="source serif 4"/>
          <w:color w:val="000000"/>
        </w:rPr>
        <w:t xml:space="preserve">A practical scoring model:</w:t>
      </w:r>
    </w:p>
    <w:p>
      <w:pPr>
        <w:numPr>
          <w:ilvl w:val="0"/>
          <w:numId w:val="4"/>
        </w:numPr>
        <w:spacing w:line="360" w:before="105" w:after="105" w:lineRule="auto"/>
      </w:pPr>
      <w:r>
        <w:rPr>
          <w:rFonts w:eastAsia="source serif 4" w:cs="source serif 4" w:ascii="source serif 4" w:hAnsi="source serif 4"/>
          <w:color w:val="000000"/>
          <w:sz w:val="21"/>
        </w:rPr>
        <w:t xml:space="preserve">0–30: informational mismatch, likely documentation drift.</w:t>
      </w:r>
    </w:p>
    <w:p>
      <w:pPr>
        <w:numPr>
          <w:ilvl w:val="0"/>
          <w:numId w:val="4"/>
        </w:numPr>
        <w:spacing w:line="360" w:before="105" w:after="105" w:lineRule="auto"/>
      </w:pPr>
      <w:r>
        <w:rPr>
          <w:rFonts w:eastAsia="source serif 4" w:cs="source serif 4" w:ascii="source serif 4" w:hAnsi="source serif 4"/>
          <w:color w:val="000000"/>
          <w:sz w:val="21"/>
        </w:rPr>
        <w:t xml:space="preserve">31–70: reviewer attention required, possible unauthorized or incomplete change.</w:t>
      </w:r>
    </w:p>
    <w:p>
      <w:pPr>
        <w:numPr>
          <w:ilvl w:val="0"/>
          <w:numId w:val="4"/>
        </w:numPr>
        <w:spacing w:line="360" w:before="105" w:after="105" w:lineRule="auto"/>
      </w:pPr>
      <w:r>
        <w:rPr>
          <w:rFonts w:eastAsia="source serif 4" w:cs="source serif 4" w:ascii="source serif 4" w:hAnsi="source serif 4"/>
          <w:color w:val="000000"/>
          <w:sz w:val="21"/>
        </w:rPr>
        <w:t xml:space="preserve">71–100: probable policy breach, open incident/task automatically and send to SIEM.</w:t>
      </w:r>
    </w:p>
    <w:p>
      <w:pPr>
        <w:spacing w:line="360" w:after="210" w:lineRule="auto"/>
      </w:pPr>
      <w:r>
        <w:rPr>
          <w:rFonts w:eastAsia="source serif 4" w:cs="source serif 4" w:ascii="source serif 4" w:hAnsi="source serif 4"/>
          <w:color w:val="000000"/>
        </w:rPr>
        <w:t xml:space="preserve">Evidence bundle per alert:</w:t>
      </w:r>
    </w:p>
    <w:p>
      <w:pPr>
        <w:numPr>
          <w:ilvl w:val="0"/>
          <w:numId w:val="5"/>
        </w:numPr>
        <w:spacing w:line="360" w:before="105" w:after="105" w:lineRule="auto"/>
      </w:pPr>
      <w:r>
        <w:rPr>
          <w:rFonts w:eastAsia="source serif 4" w:cs="source serif 4" w:ascii="source serif 4" w:hAnsi="source serif 4"/>
          <w:color w:val="000000"/>
          <w:sz w:val="21"/>
        </w:rPr>
        <w:t xml:space="preserve">CRQ snapshot.</w:t>
      </w:r>
    </w:p>
    <w:p>
      <w:pPr>
        <w:numPr>
          <w:ilvl w:val="0"/>
          <w:numId w:val="5"/>
        </w:numPr>
        <w:spacing w:line="360" w:before="105" w:after="105" w:lineRule="auto"/>
      </w:pPr>
      <w:r>
        <w:rPr>
          <w:rFonts w:eastAsia="source serif 4" w:cs="source serif 4" w:ascii="source serif 4" w:hAnsi="source serif 4"/>
          <w:color w:val="000000"/>
          <w:sz w:val="21"/>
        </w:rPr>
        <w:t xml:space="preserve">Session metadata.</w:t>
      </w:r>
    </w:p>
    <w:p>
      <w:pPr>
        <w:numPr>
          <w:ilvl w:val="0"/>
          <w:numId w:val="5"/>
        </w:numPr>
        <w:spacing w:line="360" w:before="105" w:after="105" w:lineRule="auto"/>
      </w:pPr>
      <w:r>
        <w:rPr>
          <w:rFonts w:eastAsia="source serif 4" w:cs="source serif 4" w:ascii="source serif 4" w:hAnsi="source serif 4"/>
          <w:color w:val="000000"/>
          <w:sz w:val="21"/>
        </w:rPr>
        <w:t xml:space="preserve">Command/event excerpts.</w:t>
      </w:r>
    </w:p>
    <w:p>
      <w:pPr>
        <w:numPr>
          <w:ilvl w:val="0"/>
          <w:numId w:val="5"/>
        </w:numPr>
        <w:spacing w:line="360" w:before="105" w:after="105" w:lineRule="auto"/>
      </w:pPr>
      <w:r>
        <w:rPr>
          <w:rFonts w:eastAsia="source serif 4" w:cs="source serif 4" w:ascii="source serif 4" w:hAnsi="source serif 4"/>
          <w:color w:val="000000"/>
          <w:sz w:val="21"/>
        </w:rPr>
        <w:t xml:space="preserve">Timeline markers into the PSM recording.</w:t>
      </w:r>
    </w:p>
    <w:p>
      <w:pPr>
        <w:numPr>
          <w:ilvl w:val="0"/>
          <w:numId w:val="5"/>
        </w:numPr>
        <w:spacing w:line="360" w:before="105" w:after="105" w:lineRule="auto"/>
      </w:pPr>
      <w:r>
        <w:rPr>
          <w:rFonts w:eastAsia="source serif 4" w:cs="source serif 4" w:ascii="source serif 4" w:hAnsi="source serif 4"/>
          <w:color w:val="000000"/>
          <w:sz w:val="21"/>
        </w:rPr>
        <w:t xml:space="preserve">AI explanation with confidence and rule IDs.</w:t>
      </w:r>
    </w:p>
    <w:p>
      <w:pPr>
        <w:spacing w:line="360" w:before="315" w:after="105" w:lineRule="auto"/>
        <w:ind w:left="-30"/>
        <w:jc w:val="left"/>
      </w:pPr>
      <w:bookmarkStart w:id="37" w:name="implementation_phases"/>
      <w:r>
        <w:rPr>
          <w:rFonts w:eastAsia="source serif 4" w:cs="source serif 4" w:ascii="source serif 4" w:hAnsi="source serif 4"/>
          <w:b/>
          <w:color w:val="000000"/>
          <w:sz w:val="24"/>
        </w:rPr>
        <w:t xml:space="preserve">Implementation phases</w:t>
      </w:r>
      <w:bookmarkEnd w:id="37"/>
    </w:p>
    <w:p>
      <w:pPr>
        <w:spacing w:line="360" w:after="210" w:lineRule="auto"/>
      </w:pPr>
      <w:r>
        <w:rPr>
          <w:rFonts w:eastAsia="source serif 4" w:cs="source serif 4" w:ascii="source serif 4" w:hAnsi="source serif 4"/>
          <w:color w:val="000000"/>
        </w:rPr>
        <w:t xml:space="preserve">Start without computer vision. CyberArk already supports text recordings, command/event logging, and searchable activity timelines, so phase 1 should compare structured evidence to ticket content; phase 2 can add video or screen-analysis only for GUI-heavy workflows where text evidence is weak.</w:t>
      </w:r>
      <w:bookmarkStart w:id="38" w:name="fnref1_6"/>
      <w:bookmarkEnd w:id="38"/>
      <w:hyperlink w:anchor="fn1">
        <w:r>
          <w:rPr>
            <w:rFonts w:eastAsia="source sans 3" w:cs="source sans 3" w:ascii="source sans 3" w:hAnsi="source sans 3"/>
            <w:color w:val="#000"/>
            <w:u w:val="single"/>
            <w:vertAlign w:val="superscript"/>
          </w:rPr>
          <w:t xml:space="preserve">[1]</w:t>
        </w:r>
      </w:hyperlink>
      <w:bookmarkStart w:id="39" w:name="fnref7_1"/>
      <w:bookmarkEnd w:id="39"/>
      <w:hyperlink w:anchor="fn7">
        <w:r>
          <w:rPr>
            <w:rFonts w:eastAsia="source sans 3" w:cs="source sans 3" w:ascii="source sans 3" w:hAnsi="source sans 3"/>
            <w:color w:val="#000"/>
            <w:u w:val="single"/>
            <w:vertAlign w:val="superscript"/>
          </w:rPr>
          <w:t xml:space="preserve">[7]</w:t>
        </w:r>
      </w:hyperlink>
      <w:bookmarkStart w:id="40" w:name="fnref5_6"/>
      <w:bookmarkEnd w:id="40"/>
      <w:hyperlink w:anchor="fn5">
        <w:r>
          <w:rPr>
            <w:rFonts w:eastAsia="source sans 3" w:cs="source sans 3" w:ascii="source sans 3" w:hAnsi="source sans 3"/>
            <w:color w:val="#000"/>
            <w:u w:val="single"/>
            <w:vertAlign w:val="superscript"/>
          </w:rPr>
          <w:t xml:space="preserve">[5]</w:t>
        </w:r>
      </w:hyperlink>
    </w:p>
    <w:p>
      <w:pPr>
        <w:spacing w:line="360" w:after="210" w:lineRule="auto"/>
      </w:pPr>
      <w:r>
        <w:rPr>
          <w:rFonts w:eastAsia="source serif 4" w:cs="source serif 4" w:ascii="source serif 4" w:hAnsi="source serif 4"/>
          <w:color w:val="000000"/>
        </w:rPr>
        <w:t xml:space="preserve">Suggested rollout:</w:t>
      </w:r>
    </w:p>
    <w:p>
      <w:pPr>
        <w:numPr>
          <w:ilvl w:val="0"/>
          <w:numId w:val="6"/>
        </w:numPr>
        <w:spacing w:line="360" w:before="105" w:after="105" w:lineRule="auto"/>
      </w:pPr>
      <w:r>
        <w:rPr>
          <w:rFonts w:eastAsia="source serif 4" w:cs="source serif 4" w:ascii="source serif 4" w:hAnsi="source serif 4"/>
          <w:color w:val="000000"/>
          <w:sz w:val="21"/>
        </w:rPr>
        <w:t xml:space="preserve">Phase 1: match CRQ to session, validate target, time, account, and command/event patterns.</w:t>
      </w:r>
    </w:p>
    <w:p>
      <w:pPr>
        <w:numPr>
          <w:ilvl w:val="0"/>
          <w:numId w:val="6"/>
        </w:numPr>
        <w:spacing w:line="360" w:before="105" w:after="105" w:lineRule="auto"/>
      </w:pPr>
      <w:r>
        <w:rPr>
          <w:rFonts w:eastAsia="source serif 4" w:cs="source serif 4" w:ascii="source serif 4" w:hAnsi="source serif 4"/>
          <w:color w:val="000000"/>
          <w:sz w:val="21"/>
        </w:rPr>
        <w:t xml:space="preserve">Phase 2: use AI to convert implementation plans into expected action graphs and detect semantic mismatches.</w:t>
      </w:r>
    </w:p>
    <w:p>
      <w:pPr>
        <w:numPr>
          <w:ilvl w:val="0"/>
          <w:numId w:val="6"/>
        </w:numPr>
        <w:spacing w:line="360" w:before="105" w:after="105" w:lineRule="auto"/>
      </w:pPr>
      <w:r>
        <w:rPr>
          <w:rFonts w:eastAsia="source serif 4" w:cs="source serif 4" w:ascii="source serif 4" w:hAnsi="source serif 4"/>
          <w:color w:val="000000"/>
          <w:sz w:val="21"/>
        </w:rPr>
        <w:t xml:space="preserve">Phase 3: add selective video review, such as OCR or UI-state validation for RDP sessions with little command-line evidence.</w:t>
      </w:r>
    </w:p>
    <w:p>
      <w:pPr>
        <w:numPr>
          <w:ilvl w:val="0"/>
          <w:numId w:val="6"/>
        </w:numPr>
        <w:spacing w:line="360" w:before="105" w:after="105" w:lineRule="auto"/>
      </w:pPr>
      <w:r>
        <w:rPr>
          <w:rFonts w:eastAsia="source serif 4" w:cs="source serif 4" w:ascii="source serif 4" w:hAnsi="source serif 4"/>
          <w:color w:val="000000"/>
          <w:sz w:val="21"/>
        </w:rPr>
        <w:t xml:space="preserve">Phase 4: feed closed investigations back into the model to tune false positives and distinguish standard admin variance from true unauthorized behavior.</w:t>
      </w:r>
    </w:p>
    <w:p>
      <w:pPr>
        <w:spacing w:line="360" w:after="210" w:lineRule="auto"/>
      </w:pPr>
      <w:r>
        <w:rPr>
          <w:rFonts w:eastAsia="source serif 4" w:cs="source serif 4" w:ascii="source serif 4" w:hAnsi="source serif 4"/>
          <w:color w:val="000000"/>
        </w:rPr>
        <w:t xml:space="preserve">Would you like the next step as a detailed component diagram with specific Azure services, APIs, and data schema fields for each integration point?</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1" w:name="fn1"/>
    <w:bookmarkEnd w:id="41"/>
    <w:p>
      <w:pPr>
        <w:numPr>
          <w:ilvl w:val="0"/>
          <w:numId w:val="8"/>
        </w:numPr>
        <w:spacing w:line="360" w:after="210" w:lineRule="auto"/>
      </w:pPr>
      <w:hyperlink r:id="rId6">
        <w:r>
          <w:rPr>
            <w:rFonts w:eastAsia="source sans 3" w:cs="source sans 3" w:ascii="source sans 3" w:hAnsi="source sans 3"/>
            <w:color w:val="#000"/>
            <w:sz w:val="18"/>
            <w:u w:val="single"/>
          </w:rPr>
          <w:t xml:space="preserve">https://docs.cyberark.com/privilege-cloud-standard/latest/en/content/pasimp/configure-recordings-and-audits-in-psm.htm</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2" w:name="fn2"/>
    <w:bookmarkEnd w:id="42"/>
    <w:p>
      <w:pPr>
        <w:numPr>
          <w:ilvl w:val="0"/>
          <w:numId w:val="8"/>
        </w:numPr>
        <w:spacing w:line="360" w:after="210" w:lineRule="auto"/>
      </w:pPr>
      <w:hyperlink r:id="rId7">
        <w:r>
          <w:rPr>
            <w:rFonts w:eastAsia="source sans 3" w:cs="source sans 3" w:ascii="source sans 3" w:hAnsi="source sans 3"/>
            <w:color w:val="#000"/>
            <w:sz w:val="18"/>
            <w:u w:val="single"/>
          </w:rPr>
          <w:t xml:space="preserve">https://www.servicenow.com/docs/r/zurich/it-service-management/now-assist-for-it-service-management-itsm/now-assist-itsm-aiagents-assess-quality-change-request-workflow.html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3" w:name="fn3"/>
    <w:bookmarkEnd w:id="43"/>
    <w:p>
      <w:pPr>
        <w:numPr>
          <w:ilvl w:val="0"/>
          <w:numId w:val="8"/>
        </w:numPr>
        <w:spacing w:line="360" w:after="210" w:lineRule="auto"/>
      </w:pPr>
      <w:hyperlink r:id="rId8">
        <w:r>
          <w:rPr>
            <w:rFonts w:eastAsia="source sans 3" w:cs="source sans 3" w:ascii="source sans 3" w:hAnsi="source sans 3"/>
            <w:color w:val="#000"/>
            <w:sz w:val="18"/>
            <w:u w:val="single"/>
          </w:rPr>
          <w:t xml:space="preserve">https://www.servicenow.com/docs/r/it-service-management/now-assist-for-it-service-management-itsm/using-agentic-workflows.html?contentId=wZm</w:t>
        </w:r>
      </w:hyperlink>
      <w:r>
        <w:rPr>
          <w:rFonts w:eastAsia="source serif 4" w:cs="source serif 4" w:ascii="source serif 4" w:hAnsi="source serif 4"/>
          <w:color w:val="000000"/>
          <w:sz w:val="18"/>
          <w:vertAlign w:val="subscript"/>
        </w:rPr>
        <w:t xml:space="preserve">qvdMfEL</w:t>
      </w:r>
      <w:r>
        <w:rPr>
          <w:rFonts w:eastAsia="source serif 4" w:cs="source serif 4" w:ascii="source serif 4" w:hAnsi="source serif 4"/>
          <w:color w:val="000000"/>
          <w:sz w:val="18"/>
        </w:rPr>
        <w:t xml:space="preserve">N9WgZUGDLw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4" w:name="fn4"/>
    <w:bookmarkEnd w:id="44"/>
    <w:p>
      <w:pPr>
        <w:numPr>
          <w:ilvl w:val="0"/>
          <w:numId w:val="8"/>
        </w:numPr>
        <w:spacing w:line="360" w:after="210" w:lineRule="auto"/>
      </w:pPr>
      <w:hyperlink r:id="rId9">
        <w:r>
          <w:rPr>
            <w:rFonts w:eastAsia="source sans 3" w:cs="source sans 3" w:ascii="source sans 3" w:hAnsi="source sans 3"/>
            <w:color w:val="#000"/>
            <w:sz w:val="18"/>
            <w:u w:val="single"/>
          </w:rPr>
          <w:t xml:space="preserve">https://www.youtube.com/watch?v=XRLsZrke6Ug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5" w:name="fn5"/>
    <w:bookmarkEnd w:id="45"/>
    <w:p>
      <w:pPr>
        <w:numPr>
          <w:ilvl w:val="0"/>
          <w:numId w:val="8"/>
        </w:numPr>
        <w:spacing w:line="360" w:after="210" w:lineRule="auto"/>
      </w:pPr>
      <w:hyperlink r:id="rId10">
        <w:r>
          <w:rPr>
            <w:rFonts w:eastAsia="source sans 3" w:cs="source sans 3" w:ascii="source sans 3" w:hAnsi="source sans 3"/>
            <w:color w:val="#000"/>
            <w:sz w:val="18"/>
            <w:u w:val="single"/>
          </w:rPr>
          <w:t xml:space="preserve">https://docs.cyberark.com/pam-self-hosted/latest/en/content/pasimp/monitoring-live-sessions.htm</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6" w:name="fn6"/>
    <w:bookmarkEnd w:id="46"/>
    <w:p>
      <w:pPr>
        <w:numPr>
          <w:ilvl w:val="0"/>
          <w:numId w:val="8"/>
        </w:numPr>
        <w:spacing w:line="360" w:after="210" w:lineRule="auto"/>
      </w:pPr>
      <w:hyperlink r:id="rId11">
        <w:r>
          <w:rPr>
            <w:rFonts w:eastAsia="source sans 3" w:cs="source sans 3" w:ascii="source sans 3" w:hAnsi="source sans 3"/>
            <w:color w:val="#000"/>
            <w:sz w:val="18"/>
            <w:u w:val="single"/>
          </w:rPr>
          <w:t xml:space="preserve">https://www.servicenow.com/ai/use-cases/change-management.html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7" w:name="fn7"/>
    <w:bookmarkEnd w:id="47"/>
    <w:p>
      <w:pPr>
        <w:numPr>
          <w:ilvl w:val="0"/>
          <w:numId w:val="8"/>
        </w:numPr>
        <w:spacing w:line="360" w:after="210" w:lineRule="auto"/>
      </w:pPr>
      <w:hyperlink r:id="rId12">
        <w:r>
          <w:rPr>
            <w:rFonts w:eastAsia="source sans 3" w:cs="source sans 3" w:ascii="source sans 3" w:hAnsi="source sans 3"/>
            <w:color w:val="#000"/>
            <w:sz w:val="18"/>
            <w:u w:val="single"/>
          </w:rPr>
          <w:t xml:space="preserve">https://medium.com/@malhar.vora/cyberark-psm-privileged-session-workflow-df0e14b72946</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8" w:name="fn8"/>
    <w:bookmarkEnd w:id="48"/>
    <w:p>
      <w:pPr>
        <w:numPr>
          <w:ilvl w:val="0"/>
          <w:numId w:val="8"/>
        </w:numPr>
        <w:spacing w:line="360" w:after="210" w:lineRule="auto"/>
      </w:pPr>
      <w:hyperlink r:id="rId13">
        <w:r>
          <w:rPr>
            <w:rFonts w:eastAsia="source sans 3" w:cs="source sans 3" w:ascii="source sans 3" w:hAnsi="source sans 3"/>
            <w:color w:val="#000"/>
            <w:sz w:val="18"/>
            <w:u w:val="single"/>
          </w:rPr>
          <w:t xml:space="preserve">https://docs.cyberark.com/pam-self-hosted/11.3/en/content/newui/newui-monitoring-privileged-sessions.htm</w:t>
        </w:r>
      </w:hyperlink>
      <w:r>
        <w:rPr>
          <w:rFonts w:eastAsia="source serif 4" w:cs="source serif 4" w:ascii="source serif 4" w:hAnsi="source serif 4"/>
          <w:color w:val="000000"/>
          <w:sz w:val="18"/>
        </w:rPr>
        <w:t xml:space="preserve"> </w:t>
      </w:r>
    </w:p>
    <w:bookmarkStart w:id="49" w:name="fn9"/>
    <w:bookmarkEnd w:id="49"/>
    <w:p>
      <w:pPr>
        <w:numPr>
          <w:ilvl w:val="0"/>
          <w:numId w:val="8"/>
        </w:numPr>
        <w:spacing w:line="360" w:after="210" w:lineRule="auto"/>
      </w:pPr>
      <w:hyperlink r:id="rId14">
        <w:r>
          <w:rPr>
            <w:rFonts w:eastAsia="source sans 3" w:cs="source sans 3" w:ascii="source sans 3" w:hAnsi="source sans 3"/>
            <w:color w:val="#000"/>
            <w:sz w:val="18"/>
            <w:u w:val="single"/>
          </w:rPr>
          <w:t xml:space="preserve">https://www.servicenow.com/docs/r/it-service-management/change-management/change-mgmt-intelligent-solutions.html</w:t>
        </w:r>
      </w:hyperlink>
      <w:r>
        <w:rPr>
          <w:rFonts w:eastAsia="source serif 4" w:cs="source serif 4" w:ascii="source serif 4" w:hAnsi="source serif 4"/>
          <w:color w:val="000000"/>
          <w:sz w:val="18"/>
        </w:rPr>
        <w:t xml:space="preserve"> </w:t>
      </w:r>
    </w:p>
    <w:bookmarkStart w:id="50" w:name="fn10"/>
    <w:bookmarkEnd w:id="50"/>
    <w:p>
      <w:pPr>
        <w:numPr>
          <w:ilvl w:val="0"/>
          <w:numId w:val="8"/>
        </w:numPr>
        <w:spacing w:line="360" w:after="210" w:lineRule="auto"/>
      </w:pPr>
      <w:hyperlink r:id="rId15">
        <w:r>
          <w:rPr>
            <w:rFonts w:eastAsia="source sans 3" w:cs="source sans 3" w:ascii="source sans 3" w:hAnsi="source sans 3"/>
            <w:color w:val="#000"/>
            <w:sz w:val="18"/>
            <w:u w:val="single"/>
          </w:rPr>
          <w:t xml:space="preserve">https://store.servicenow.com/store/app/3752b3ae1ba46a50a85b16db234bcb46</w:t>
        </w:r>
      </w:hyperlink>
      <w:r>
        <w:rPr>
          <w:rFonts w:eastAsia="source serif 4" w:cs="source serif 4" w:ascii="source serif 4" w:hAnsi="source serif 4"/>
          <w:color w:val="000000"/>
          <w:sz w:val="18"/>
        </w:rPr>
        <w:t xml:space="preserve"> </w:t>
      </w:r>
    </w:p>
    <w:bookmarkStart w:id="51" w:name="fn11"/>
    <w:bookmarkEnd w:id="51"/>
    <w:p>
      <w:pPr>
        <w:numPr>
          <w:ilvl w:val="0"/>
          <w:numId w:val="8"/>
        </w:numPr>
        <w:spacing w:line="360" w:after="210" w:lineRule="auto"/>
      </w:pPr>
      <w:hyperlink r:id="rId16">
        <w:r>
          <w:rPr>
            <w:rFonts w:eastAsia="source sans 3" w:cs="source sans 3" w:ascii="source sans 3" w:hAnsi="source sans 3"/>
            <w:color w:val="#000"/>
            <w:sz w:val="18"/>
            <w:u w:val="single"/>
          </w:rPr>
          <w:t xml:space="preserve">https://www.youtube.com/watch?v=4bAIEBcvcJw</w:t>
        </w:r>
      </w:hyperlink>
      <w:r>
        <w:rPr>
          <w:rFonts w:eastAsia="source serif 4" w:cs="source serif 4" w:ascii="source serif 4" w:hAnsi="source serif 4"/>
          <w:color w:val="000000"/>
          <w:sz w:val="18"/>
        </w:rPr>
        <w:t xml:space="preserve"> </w:t>
      </w:r>
    </w:p>
    <w:bookmarkStart w:id="52" w:name="fn12"/>
    <w:bookmarkEnd w:id="52"/>
    <w:p>
      <w:pPr>
        <w:numPr>
          <w:ilvl w:val="0"/>
          <w:numId w:val="8"/>
        </w:numPr>
        <w:spacing w:line="360" w:after="210" w:lineRule="auto"/>
      </w:pPr>
      <w:hyperlink r:id="rId17">
        <w:r>
          <w:rPr>
            <w:rFonts w:eastAsia="source sans 3" w:cs="source sans 3" w:ascii="source sans 3" w:hAnsi="source sans 3"/>
            <w:color w:val="#000"/>
            <w:sz w:val="18"/>
            <w:u w:val="single"/>
          </w:rPr>
          <w:t xml:space="preserve">https://www.youtube.com/watch?v=HccIS3D_BfY</w:t>
        </w:r>
      </w:hyperlink>
      <w:r>
        <w:rPr>
          <w:rFonts w:eastAsia="source serif 4" w:cs="source serif 4" w:ascii="source serif 4" w:hAnsi="source serif 4"/>
          <w:color w:val="000000"/>
          <w:sz w:val="18"/>
        </w:rPr>
        <w:t xml:space="preserve"> </w:t>
      </w:r>
    </w:p>
    <w:bookmarkStart w:id="53" w:name="fn13"/>
    <w:bookmarkEnd w:id="53"/>
    <w:p>
      <w:pPr>
        <w:numPr>
          <w:ilvl w:val="0"/>
          <w:numId w:val="8"/>
        </w:numPr>
        <w:spacing w:line="360" w:after="210" w:lineRule="auto"/>
      </w:pPr>
      <w:hyperlink r:id="rId18">
        <w:r>
          <w:rPr>
            <w:rFonts w:eastAsia="source sans 3" w:cs="source sans 3" w:ascii="source sans 3" w:hAnsi="source sans 3"/>
            <w:color w:val="#000"/>
            <w:sz w:val="18"/>
            <w:u w:val="single"/>
          </w:rPr>
          <w:t xml:space="preserve">https://www.scribd.com/document/782672461/12-PAS-Essentials-PSM</w:t>
        </w:r>
      </w:hyperlink>
      <w:r>
        <w:rPr>
          <w:rFonts w:eastAsia="source serif 4" w:cs="source serif 4" w:ascii="source serif 4" w:hAnsi="source serif 4"/>
          <w:color w:val="000000"/>
          <w:sz w:val="18"/>
        </w:rPr>
        <w:t xml:space="preserve"> </w:t>
      </w:r>
    </w:p>
    <w:bookmarkStart w:id="54" w:name="fn14"/>
    <w:bookmarkEnd w:id="54"/>
    <w:p>
      <w:pPr>
        <w:numPr>
          <w:ilvl w:val="0"/>
          <w:numId w:val="8"/>
        </w:numPr>
        <w:spacing w:line="360" w:after="210" w:lineRule="auto"/>
      </w:pPr>
      <w:hyperlink r:id="rId19">
        <w:r>
          <w:rPr>
            <w:rFonts w:eastAsia="source sans 3" w:cs="source sans 3" w:ascii="source sans 3" w:hAnsi="source sans 3"/>
            <w:color w:val="#000"/>
            <w:sz w:val="18"/>
            <w:u w:val="single"/>
          </w:rPr>
          <w:t xml:space="preserve">https://www.servicenow.com/products/change-management.html</w:t>
        </w:r>
      </w:hyperlink>
      <w:r>
        <w:rPr>
          <w:rFonts w:eastAsia="source serif 4" w:cs="source serif 4" w:ascii="source serif 4" w:hAnsi="source serif 4"/>
          <w:color w:val="000000"/>
          <w:sz w:val="18"/>
        </w:rPr>
        <w:t xml:space="preserve"> </w:t>
      </w:r>
    </w:p>
    <w:bookmarkStart w:id="55" w:name="fn15"/>
    <w:bookmarkEnd w:id="55"/>
    <w:p>
      <w:pPr>
        <w:numPr>
          <w:ilvl w:val="0"/>
          <w:numId w:val="8"/>
        </w:numPr>
        <w:spacing w:line="360" w:after="210" w:lineRule="auto"/>
      </w:pPr>
      <w:hyperlink r:id="rId20">
        <w:r>
          <w:rPr>
            <w:rFonts w:eastAsia="source sans 3" w:cs="source sans 3" w:ascii="source sans 3" w:hAnsi="source sans 3"/>
            <w:color w:val="#000"/>
            <w:sz w:val="18"/>
            <w:u w:val="single"/>
          </w:rPr>
          <w:t xml:space="preserve">https://ai.techclick.in/blog_cyberark_psm_session_management</w:t>
        </w:r>
      </w:hyperlink>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abstractNum>
  <w:abstractNum w:abstractNumId="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hi-IN"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hi-IN"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9749c4c5e19cf1d62cddf713dab6d15567e9f8f.png" TargetMode="Internal"/><Relationship Id="rId6" Type="http://schemas.openxmlformats.org/officeDocument/2006/relationships/hyperlink" Target="https://docs.cyberark.com/privilege-cloud-standard/latest/en/content/pasimp/configure-recordings-and-audits-in-psm.htm" TargetMode="External"/><Relationship Id="rId7" Type="http://schemas.openxmlformats.org/officeDocument/2006/relationships/hyperlink" Target="https://www.servicenow.com/docs/r/zurich/it-service-management/now-assist-for-it-service-management-itsm/now-assist-itsm-aiagents-assess-quality-change-request-workflow.html" TargetMode="External"/><Relationship Id="rId8" Type="http://schemas.openxmlformats.org/officeDocument/2006/relationships/hyperlink" Target="https://www.servicenow.com/docs/r/it-service-management/now-assist-for-it-service-management-itsm/using-agentic-workflows.html?contentId=wZm" TargetMode="External"/><Relationship Id="rId9" Type="http://schemas.openxmlformats.org/officeDocument/2006/relationships/hyperlink" Target="https://www.youtube.com/watch?v=XRLsZrke6Ug" TargetMode="External"/><Relationship Id="rId10" Type="http://schemas.openxmlformats.org/officeDocument/2006/relationships/hyperlink" Target="https://docs.cyberark.com/pam-self-hosted/latest/en/content/pasimp/monitoring-live-sessions.htm" TargetMode="External"/><Relationship Id="rId11" Type="http://schemas.openxmlformats.org/officeDocument/2006/relationships/hyperlink" Target="https://www.servicenow.com/ai/use-cases/change-management.html" TargetMode="External"/><Relationship Id="rId12" Type="http://schemas.openxmlformats.org/officeDocument/2006/relationships/hyperlink" Target="https://medium.com/@malhar.vora/cyberark-psm-privileged-session-workflow-df0e14b72946" TargetMode="External"/><Relationship Id="rId13" Type="http://schemas.openxmlformats.org/officeDocument/2006/relationships/hyperlink" Target="https://docs.cyberark.com/pam-self-hosted/11.3/en/content/newui/newui-monitoring-privileged-sessions.htm" TargetMode="External"/><Relationship Id="rId14" Type="http://schemas.openxmlformats.org/officeDocument/2006/relationships/hyperlink" Target="https://www.servicenow.com/docs/r/it-service-management/change-management/change-mgmt-intelligent-solutions.html" TargetMode="External"/><Relationship Id="rId15" Type="http://schemas.openxmlformats.org/officeDocument/2006/relationships/hyperlink" Target="https://store.servicenow.com/store/app/3752b3ae1ba46a50a85b16db234bcb46" TargetMode="External"/><Relationship Id="rId16" Type="http://schemas.openxmlformats.org/officeDocument/2006/relationships/hyperlink" Target="https://www.youtube.com/watch?v=4bAIEBcvcJw" TargetMode="External"/><Relationship Id="rId17" Type="http://schemas.openxmlformats.org/officeDocument/2006/relationships/hyperlink" Target="https://www.youtube.com/watch?v=HccIS3D_BfY" TargetMode="External"/><Relationship Id="rId18" Type="http://schemas.openxmlformats.org/officeDocument/2006/relationships/hyperlink" Target="https://www.scribd.com/document/782672461/12-PAS-Essentials-PSM" TargetMode="External"/><Relationship Id="rId19" Type="http://schemas.openxmlformats.org/officeDocument/2006/relationships/hyperlink" Target="https://www.servicenow.com/products/change-management.html" TargetMode="External"/><Relationship Id="rId20" Type="http://schemas.openxmlformats.org/officeDocument/2006/relationships/hyperlink" Target="https://ai.techclick.in/blog_cyberark_psm_session_managemen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2026-08-03T15:31:50.866Z</dcterms:created>
  <dcterms:modified xsi:type="dcterms:W3CDTF">2026-08-03T15:31:50.866Z</dcterms:modified>
</cp:coreProperties>
</file>