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C9700A"/>
          <w:spacing w:val="30"/>
          <w:sz w:val="22"/>
          <w:szCs w:val="22"/>
        </w:rPr>
        <w:t xml:space="preserve">PROCEDURE MANUAL</w:t>
      </w:r>
    </w:p>
    <w:p>
      <w:pPr>
        <w:spacing w:after="0" w:before="200"/>
      </w:pPr>
      <w:r>
        <w:rPr>
          <w:rFonts w:ascii="Cambria" w:cs="Cambria" w:eastAsia="Cambria" w:hAnsi="Cambria"/>
          <w:b/>
          <w:bCs/>
          <w:color w:val="1E2761"/>
          <w:sz w:val="52"/>
          <w:szCs w:val="52"/>
        </w:rPr>
        <w:t xml:space="preserve">CyberArk Privileged Access &amp; PSM Session Recording Review</w:t>
      </w:r>
    </w:p>
    <w:p>
      <w:pPr>
        <w:spacing w:after="0" w:before="260"/>
      </w:pPr>
      <w:r>
        <w:rPr>
          <w:rFonts w:ascii="Calibri" w:cs="Calibri" w:eastAsia="Calibri" w:hAnsi="Calibri"/>
          <w:i/>
          <w:iCs/>
          <w:color w:val="5B6484"/>
          <w:sz w:val="24"/>
          <w:szCs w:val="24"/>
        </w:rPr>
        <w:t xml:space="preserve">Periodic entitlement review and privileged session (PSM) video / recording review procedures</w:t>
      </w:r>
    </w:p>
    <w:p>
      <w:pPr>
        <w:spacing w:after="600"/>
      </w:pP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3000"/>
        <w:gridCol w:w="6350"/>
      </w:tblGrid>
      <w:tr>
        <w:trPr>
          <w:tblHeader/>
        </w:trPr>
        <w:tc>
          <w:tcPr>
            <w:tcW w:type="dxa" w:w="30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Field</w:t>
            </w:r>
          </w:p>
        </w:tc>
        <w:tc>
          <w:tcPr>
            <w:tcW w:type="dxa" w:w="63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r>
      <w:tr>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Document Owner</w:t>
            </w:r>
          </w:p>
        </w:tc>
        <w:tc>
          <w:tcPr>
            <w:tcW w:type="dxa" w:w="63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Identity &amp; Access Management / PAM Team</w:t>
            </w:r>
          </w:p>
        </w:tc>
      </w:tr>
      <w:tr>
        <w:tc>
          <w:tcPr>
            <w:tcW w:type="dxa" w:w="3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Applies To</w:t>
            </w:r>
          </w:p>
        </w:tc>
        <w:tc>
          <w:tcPr>
            <w:tcW w:type="dxa" w:w="63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All CyberArk PAM administrators, safe owners, access reviewers, and security auditors</w:t>
            </w:r>
          </w:p>
        </w:tc>
      </w:tr>
      <w:tr>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Classification</w:t>
            </w:r>
          </w:p>
        </w:tc>
        <w:tc>
          <w:tcPr>
            <w:tcW w:type="dxa" w:w="63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Internal — Confidential</w:t>
            </w:r>
          </w:p>
        </w:tc>
      </w:tr>
      <w:tr>
        <w:tc>
          <w:tcPr>
            <w:tcW w:type="dxa" w:w="3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Version</w:t>
            </w:r>
          </w:p>
        </w:tc>
        <w:tc>
          <w:tcPr>
            <w:tcW w:type="dxa" w:w="63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1.0</w:t>
            </w:r>
          </w:p>
        </w:tc>
      </w:tr>
      <w:tr>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Effective Date</w:t>
            </w:r>
          </w:p>
        </w:tc>
        <w:tc>
          <w:tcPr>
            <w:tcW w:type="dxa" w:w="63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 Effective Date]</w:t>
            </w:r>
          </w:p>
        </w:tc>
      </w:tr>
      <w:tr>
        <w:tc>
          <w:tcPr>
            <w:tcW w:type="dxa" w:w="3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Next Review Date</w:t>
            </w:r>
          </w:p>
        </w:tc>
        <w:tc>
          <w:tcPr>
            <w:tcW w:type="dxa" w:w="63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 Date — recommended annually or upon major CyberArk upgrade]</w:t>
            </w:r>
          </w:p>
        </w:tc>
      </w:tr>
    </w:tbl>
    <w:p>
      <w:r>
        <w:br w:type="page"/>
      </w:r>
    </w:p>
    <w:p>
      <w:pPr>
        <w:spacing w:after="200"/>
      </w:pPr>
      <w:r>
        <w:rPr>
          <w:rFonts w:ascii="Cambria" w:cs="Cambria" w:eastAsia="Cambria" w:hAnsi="Cambria"/>
          <w:b/>
          <w:bCs/>
          <w:color w:val="1E2761"/>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Cambria" w:cs="Cambria" w:eastAsia="Cambria" w:hAnsi="Cambria"/>
          <w:b/>
          <w:bCs/>
          <w:color w:val="1E2761"/>
          <w:sz w:val="30"/>
          <w:szCs w:val="30"/>
        </w:rPr>
        <w:t xml:space="preserve">1. Purpose</w:t>
      </w:r>
    </w:p>
    <w:p>
      <w:pPr>
        <w:spacing w:after="160" w:line="276"/>
      </w:pPr>
      <w:r>
        <w:rPr>
          <w:rFonts w:ascii="Calibri" w:cs="Calibri" w:eastAsia="Calibri" w:hAnsi="Calibri"/>
          <w:b w:val="false"/>
          <w:bCs w:val="false"/>
          <w:i w:val="false"/>
          <w:iCs w:val="false"/>
          <w:color w:val="20264A"/>
          <w:sz w:val="21"/>
          <w:szCs w:val="21"/>
        </w:rPr>
        <w:t xml:space="preserve">This manual defines the standard operating procedure for reviewing privileged access granted through CyberArk Privileged Access Management (PAM), and for reviewing Privileged Session Manager (PSM) session recordings — both video and text/keystroke logs — to confirm that privileged activity is authorized, necessary, and consistent with approved change or access requests.</w:t>
      </w:r>
    </w:p>
    <w:p>
      <w:pPr>
        <w:spacing w:after="160" w:line="276"/>
      </w:pPr>
      <w:r>
        <w:rPr>
          <w:rFonts w:ascii="Calibri" w:cs="Calibri" w:eastAsia="Calibri" w:hAnsi="Calibri"/>
          <w:b w:val="false"/>
          <w:bCs w:val="false"/>
          <w:i w:val="false"/>
          <w:iCs w:val="false"/>
          <w:color w:val="20264A"/>
          <w:sz w:val="21"/>
          <w:szCs w:val="21"/>
        </w:rPr>
        <w:t xml:space="preserve">The manual covers two related but distinct review disciplines:</w:t>
      </w:r>
    </w:p>
    <w:p>
      <w:pPr>
        <w:pStyle w:val="ListParagraph"/>
        <w:numPr>
          <w:ilvl w:val="0"/>
          <w:numId w:val="2"/>
        </w:numPr>
        <w:spacing w:after="90" w:line="268"/>
      </w:pPr>
      <w:r>
        <w:rPr>
          <w:rFonts w:ascii="Calibri" w:cs="Calibri" w:eastAsia="Calibri" w:hAnsi="Calibri"/>
          <w:color w:val="20264A"/>
          <w:sz w:val="21"/>
          <w:szCs w:val="21"/>
        </w:rPr>
        <w:t xml:space="preserve">Access (entitlement) review — periodically confirming that existing privileged account ownership, safe membership, and permission grants remain appropriate.</w:t>
      </w:r>
    </w:p>
    <w:p>
      <w:pPr>
        <w:pStyle w:val="ListParagraph"/>
        <w:numPr>
          <w:ilvl w:val="0"/>
          <w:numId w:val="2"/>
        </w:numPr>
        <w:spacing w:after="90" w:line="268"/>
      </w:pPr>
      <w:r>
        <w:rPr>
          <w:rFonts w:ascii="Calibri" w:cs="Calibri" w:eastAsia="Calibri" w:hAnsi="Calibri"/>
          <w:color w:val="20264A"/>
          <w:sz w:val="21"/>
          <w:szCs w:val="21"/>
        </w:rPr>
        <w:t xml:space="preserve">Session recording review — examining what a privileged user actually did during a PSM-brokered session, and validating it against the associated change ticket or runbook, where one exists.</w:t>
      </w:r>
    </w:p>
    <w:tbl>
      <w:tblPr>
        <w:tblW w:type="pct" w:w="100%"/>
        <w:tblBorders>
          <w:top w:val="single" w:color="C9700A" w:sz="4"/>
          <w:left w:val="single" w:color="C9700A" w:sz="4"/>
          <w:bottom w:val="single" w:color="C9700A" w:sz="4"/>
          <w:right w:val="single" w:color="C9700A" w:sz="4"/>
          <w:insideH w:val="none" w:color="FFFFFF" w:sz="0"/>
          <w:insideV w:val="none" w:color="FFFFFF" w:sz="0"/>
        </w:tblBorders>
      </w:tblPr>
      <w:tblGrid>
        <w:gridCol w:w="100"/>
      </w:tblGrid>
      <w:tr>
        <w:tc>
          <w:tcPr>
            <w:shd w:fill="EEF1F8" w:val="clear"/>
            <w:tcMar>
              <w:top w:type="dxa" w:w="160"/>
              <w:left w:type="dxa" w:w="200"/>
              <w:bottom w:type="dxa" w:w="160"/>
              <w:right w:type="dxa" w:w="200"/>
            </w:tcMar>
          </w:tcPr>
          <w:p>
            <w:pPr>
              <w:spacing w:after="60"/>
            </w:pPr>
            <w:r>
              <w:rPr>
                <w:rFonts w:ascii="Calibri" w:cs="Calibri" w:eastAsia="Calibri" w:hAnsi="Calibri"/>
                <w:b/>
                <w:bCs/>
                <w:color w:val="1E2761"/>
                <w:sz w:val="21"/>
                <w:szCs w:val="21"/>
              </w:rPr>
              <w:t xml:space="preserve">Why both matter</w:t>
            </w:r>
          </w:p>
          <w:p>
            <w:pPr>
              <w:spacing w:after="0"/>
            </w:pPr>
            <w:r>
              <w:rPr>
                <w:rFonts w:ascii="Calibri" w:cs="Calibri" w:eastAsia="Calibri" w:hAnsi="Calibri"/>
                <w:color w:val="20264A"/>
                <w:sz w:val="20"/>
                <w:szCs w:val="20"/>
              </w:rPr>
              <w:t xml:space="preserve">Entitlement review answers "should this person still have this access?" Session recording review answers "did they use that access appropriately?" A mature PAM control environment requires both — reviewing only entitlements misses misuse of access that was never revoked; reviewing only sessions without governing entitlements allows access sprawl to go unchecked.</w:t>
            </w:r>
          </w:p>
        </w:tc>
      </w:tr>
    </w:tbl>
    <w:p>
      <w:pPr>
        <w:pStyle w:val="Heading1"/>
        <w:spacing w:after="200" w:before="480"/>
      </w:pPr>
      <w:r>
        <w:rPr>
          <w:rFonts w:ascii="Cambria" w:cs="Cambria" w:eastAsia="Cambria" w:hAnsi="Cambria"/>
          <w:b/>
          <w:bCs/>
          <w:color w:val="1E2761"/>
          <w:sz w:val="30"/>
          <w:szCs w:val="30"/>
        </w:rPr>
        <w:t xml:space="preserve">2. Scope</w:t>
      </w:r>
    </w:p>
    <w:p>
      <w:pPr>
        <w:spacing w:after="160" w:line="276"/>
      </w:pPr>
      <w:r>
        <w:rPr>
          <w:rFonts w:ascii="Calibri" w:cs="Calibri" w:eastAsia="Calibri" w:hAnsi="Calibri"/>
          <w:b w:val="false"/>
          <w:bCs w:val="false"/>
          <w:i w:val="false"/>
          <w:iCs w:val="false"/>
          <w:color w:val="20264A"/>
          <w:sz w:val="21"/>
          <w:szCs w:val="21"/>
        </w:rPr>
        <w:t xml:space="preserve">This procedure applies to all Safes, privileged accounts, and PSM-brokered sessions (RDP, SSH, database, and web-based connection components) managed within the organization’s CyberArk PAM Self-Hosted or Privilege Cloud environment. It applies to:</w:t>
      </w:r>
    </w:p>
    <w:p>
      <w:pPr>
        <w:pStyle w:val="ListParagraph"/>
        <w:numPr>
          <w:ilvl w:val="0"/>
          <w:numId w:val="2"/>
        </w:numPr>
        <w:spacing w:after="90" w:line="268"/>
      </w:pPr>
      <w:r>
        <w:rPr>
          <w:rFonts w:ascii="Calibri" w:cs="Calibri" w:eastAsia="Calibri" w:hAnsi="Calibri"/>
          <w:color w:val="20264A"/>
          <w:sz w:val="21"/>
          <w:szCs w:val="21"/>
        </w:rPr>
        <w:t xml:space="preserve">Standing privileged accounts (domain admin, local admin, database, network device, application, and service accounts) vaulted in CyberArk.</w:t>
      </w:r>
    </w:p>
    <w:p>
      <w:pPr>
        <w:pStyle w:val="ListParagraph"/>
        <w:numPr>
          <w:ilvl w:val="0"/>
          <w:numId w:val="2"/>
        </w:numPr>
        <w:spacing w:after="90" w:line="268"/>
      </w:pPr>
      <w:r>
        <w:rPr>
          <w:rFonts w:ascii="Calibri" w:cs="Calibri" w:eastAsia="Calibri" w:hAnsi="Calibri"/>
          <w:color w:val="20264A"/>
          <w:sz w:val="21"/>
          <w:szCs w:val="21"/>
        </w:rPr>
        <w:t xml:space="preserve">Break-glass / emergency access accounts.</w:t>
      </w:r>
    </w:p>
    <w:p>
      <w:pPr>
        <w:pStyle w:val="ListParagraph"/>
        <w:numPr>
          <w:ilvl w:val="0"/>
          <w:numId w:val="2"/>
        </w:numPr>
        <w:spacing w:after="90" w:line="268"/>
      </w:pPr>
      <w:r>
        <w:rPr>
          <w:rFonts w:ascii="Calibri" w:cs="Calibri" w:eastAsia="Calibri" w:hAnsi="Calibri"/>
          <w:color w:val="20264A"/>
          <w:sz w:val="21"/>
          <w:szCs w:val="21"/>
        </w:rPr>
        <w:t xml:space="preserve">All sessions brokered through PSM or PSM for SSH where video and/or text recording is enabled.</w:t>
      </w:r>
    </w:p>
    <w:p>
      <w:pPr>
        <w:pStyle w:val="ListParagraph"/>
        <w:numPr>
          <w:ilvl w:val="0"/>
          <w:numId w:val="2"/>
        </w:numPr>
        <w:spacing w:after="90" w:line="268"/>
      </w:pPr>
      <w:r>
        <w:rPr>
          <w:rFonts w:ascii="Calibri" w:cs="Calibri" w:eastAsia="Calibri" w:hAnsi="Calibri"/>
          <w:color w:val="20264A"/>
          <w:sz w:val="21"/>
          <w:szCs w:val="21"/>
        </w:rPr>
        <w:t xml:space="preserve">Third-party and vendor privileged access provisioned through CyberArk.</w:t>
      </w:r>
    </w:p>
    <w:p>
      <w:pPr>
        <w:spacing w:after="160" w:line="276"/>
      </w:pPr>
      <w:r>
        <w:rPr>
          <w:rFonts w:ascii="Calibri" w:cs="Calibri" w:eastAsia="Calibri" w:hAnsi="Calibri"/>
          <w:b w:val="false"/>
          <w:bCs w:val="false"/>
          <w:i w:val="false"/>
          <w:iCs w:val="false"/>
          <w:color w:val="20264A"/>
          <w:sz w:val="21"/>
          <w:szCs w:val="21"/>
        </w:rPr>
        <w:t xml:space="preserve">Out of scope: application-to-application password management (CCP/CP) traffic with no interactive session, and non-privileged, standard user account access reviews (covered under the general IAM access review procedure).</w:t>
      </w:r>
    </w:p>
    <w:p>
      <w:pPr>
        <w:pStyle w:val="Heading1"/>
        <w:spacing w:after="200" w:before="480"/>
      </w:pPr>
      <w:r>
        <w:rPr>
          <w:rFonts w:ascii="Cambria" w:cs="Cambria" w:eastAsia="Cambria" w:hAnsi="Cambria"/>
          <w:b/>
          <w:bCs/>
          <w:color w:val="1E2761"/>
          <w:sz w:val="30"/>
          <w:szCs w:val="30"/>
        </w:rPr>
        <w:t xml:space="preserve">3. Definitions &amp; Acronyms</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4675"/>
        <w:gridCol w:w="4675"/>
      </w:tblGrid>
      <w:tr>
        <w:trPr>
          <w:tblHeader/>
        </w:trPr>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PAM</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Privileged Access Management — the CyberArk platform used to vault, rotate, and broker access to privileged credentials.</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PVWA</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Password Vault Web Access — the primary web interface for CyberArk administration, account access, and reporting.</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PSM</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Privileged Session Manager — the RDP/GUI session proxy that isolates the end user from the credential and records the session.</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PSM for SSH (PSMP)</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The Linux-based component that proxies and records SSH sessions in the same way PSM does for RDP.</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Safe</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 CyberArk container that stores one or more privileged accounts and controls access to them via Safe Member permissions.</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Safe Member</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 user or group granted one or more permissions (e.g., UseAccounts, RetrieveAccounts, ListAccounts) on a Safe.</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Session Recording</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The AVI video and/or text/keystroke log captured by PSM/PSMP for a privileged session.</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Runbook</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The documented, approved sequence of steps for a change, typically attached to or described within a ServiceNow change/task record.</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PTA</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Privileged Threat Analytics — CyberArk’s risk-scoring engine for privileged session and account behavior.</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Certifier</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The individual accountable for reviewing and attesting to (certifying or revoking) a specific access grant.</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Break-glass Account</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An emergency-use privileged account intended for exceptional circumstances, subject to heightened review.</w:t>
            </w:r>
          </w:p>
        </w:tc>
      </w:tr>
    </w:tbl>
    <w:p>
      <w:pPr>
        <w:pStyle w:val="Heading1"/>
        <w:spacing w:after="200" w:before="480"/>
      </w:pPr>
      <w:r>
        <w:rPr>
          <w:rFonts w:ascii="Cambria" w:cs="Cambria" w:eastAsia="Cambria" w:hAnsi="Cambria"/>
          <w:b/>
          <w:bCs/>
          <w:color w:val="1E2761"/>
          <w:sz w:val="30"/>
          <w:szCs w:val="30"/>
        </w:rPr>
        <w:t xml:space="preserve">4. Roles &amp; Responsibilities</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4675"/>
        <w:gridCol w:w="4675"/>
      </w:tblGrid>
      <w:tr>
        <w:trPr>
          <w:tblHeader/>
        </w:trPr>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Responsibility</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Safe Owner / Business Owner</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Accountable for the accuracy of Safe membership and for certifying that each member’s access remains justified.</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PAM Administrator</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Maintains the CyberArk environment, generates entitlement and recording reports, and executes access changes resulting from review decisions.</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Access Reviewer (Certifier)</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Performs the periodic entitlement review and records certify / revoke decisions for accounts they are accountable for.</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Security Analyst / SOC</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Performs PSM session recording reviews, investigates flagged sessions, and escalates confirmed policy violations.</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Change Manager</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Ensures every privileged change is backed by an approved ServiceNow change/task with a documented runbook, for correlation during session review.</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Internal Audit / Compliance</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Independently samples completed reviews for quality assurance and reports on control effectiveness.</w:t>
            </w:r>
          </w:p>
        </w:tc>
      </w:tr>
    </w:tbl>
    <w:p>
      <w:pPr>
        <w:pStyle w:val="Heading1"/>
        <w:spacing w:after="200" w:before="480"/>
      </w:pPr>
      <w:r>
        <w:rPr>
          <w:rFonts w:ascii="Cambria" w:cs="Cambria" w:eastAsia="Cambria" w:hAnsi="Cambria"/>
          <w:b/>
          <w:bCs/>
          <w:color w:val="1E2761"/>
          <w:sz w:val="30"/>
          <w:szCs w:val="30"/>
        </w:rPr>
        <w:t xml:space="preserve">5. Review Types, Triggers &amp; Frequency</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3400"/>
        <w:gridCol w:w="3000"/>
        <w:gridCol w:w="2950"/>
      </w:tblGrid>
      <w:tr>
        <w:trPr>
          <w:tblHeader/>
        </w:trPr>
        <w:tc>
          <w:tcPr>
            <w:tcW w:type="dxa" w:w="34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Review Type</w:t>
            </w:r>
          </w:p>
        </w:tc>
        <w:tc>
          <w:tcPr>
            <w:tcW w:type="dxa" w:w="30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Trigger</w:t>
            </w:r>
          </w:p>
        </w:tc>
        <w:tc>
          <w:tcPr>
            <w:tcW w:type="dxa" w:w="29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Minimum Frequency</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Standing privileged account entitlement review</w:t>
            </w:r>
          </w:p>
        </w:tc>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Scheduled</w:t>
            </w:r>
          </w:p>
        </w:tc>
        <w:tc>
          <w:tcPr>
            <w:tcW w:type="dxa" w:w="29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Quarterly</w:t>
            </w:r>
          </w:p>
        </w:tc>
      </w:tr>
      <w:tr>
        <w:tc>
          <w:tcPr>
            <w:tcW w:type="dxa" w:w="34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Break-glass account review</w:t>
            </w:r>
          </w:p>
        </w:tc>
        <w:tc>
          <w:tcPr>
            <w:tcW w:type="dxa" w:w="3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Scheduled + post-use</w:t>
            </w:r>
          </w:p>
        </w:tc>
        <w:tc>
          <w:tcPr>
            <w:tcW w:type="dxa" w:w="29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Monthly, and within 24 hours of each use</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Joiner / Mover / Leaver-driven review</w:t>
            </w:r>
          </w:p>
        </w:tc>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HR event</w:t>
            </w:r>
          </w:p>
        </w:tc>
        <w:tc>
          <w:tcPr>
            <w:tcW w:type="dxa" w:w="29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Within 5 business days of the event</w:t>
            </w:r>
          </w:p>
        </w:tc>
      </w:tr>
      <w:tr>
        <w:tc>
          <w:tcPr>
            <w:tcW w:type="dxa" w:w="34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PSM session recording review — risk-based sample</w:t>
            </w:r>
          </w:p>
        </w:tc>
        <w:tc>
          <w:tcPr>
            <w:tcW w:type="dxa" w:w="3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Scheduled + PTA risk score</w:t>
            </w:r>
          </w:p>
        </w:tc>
        <w:tc>
          <w:tcPr>
            <w:tcW w:type="dxa" w:w="29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Weekly sampling of highest-risk sessions</w:t>
            </w:r>
          </w:p>
        </w:tc>
      </w:tr>
      <w:tr>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PSM session recording review — change-linked</w:t>
            </w:r>
          </w:p>
        </w:tc>
        <w:tc>
          <w:tcPr>
            <w:tcW w:type="dxa" w:w="3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ServiceNow change closure</w:t>
            </w:r>
          </w:p>
        </w:tc>
        <w:tc>
          <w:tcPr>
            <w:tcW w:type="dxa" w:w="29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Within 5 business days of change closure</w:t>
            </w:r>
          </w:p>
        </w:tc>
      </w:tr>
      <w:tr>
        <w:tc>
          <w:tcPr>
            <w:tcW w:type="dxa" w:w="34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PSM session recording review — full population</w:t>
            </w:r>
          </w:p>
        </w:tc>
        <w:tc>
          <w:tcPr>
            <w:tcW w:type="dxa" w:w="3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Regulatory / audit requirement</w:t>
            </w:r>
          </w:p>
        </w:tc>
        <w:tc>
          <w:tcPr>
            <w:tcW w:type="dxa" w:w="29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As mandated (typically annual, scoped by audit)</w:t>
            </w:r>
          </w:p>
        </w:tc>
      </w:tr>
    </w:tbl>
    <w:p>
      <w:r>
        <w:br w:type="page"/>
      </w:r>
    </w:p>
    <w:p>
      <w:pPr>
        <w:pStyle w:val="Heading1"/>
        <w:spacing w:after="200" w:before="480"/>
      </w:pPr>
      <w:r>
        <w:rPr>
          <w:rFonts w:ascii="Cambria" w:cs="Cambria" w:eastAsia="Cambria" w:hAnsi="Cambria"/>
          <w:b/>
          <w:bCs/>
          <w:color w:val="1E2761"/>
          <w:sz w:val="30"/>
          <w:szCs w:val="30"/>
        </w:rPr>
        <w:t xml:space="preserve">6. Prerequisites</w:t>
      </w:r>
    </w:p>
    <w:p>
      <w:pPr>
        <w:spacing w:after="160" w:line="276"/>
      </w:pPr>
      <w:r>
        <w:rPr>
          <w:rFonts w:ascii="Calibri" w:cs="Calibri" w:eastAsia="Calibri" w:hAnsi="Calibri"/>
          <w:b w:val="false"/>
          <w:bCs w:val="false"/>
          <w:i w:val="false"/>
          <w:iCs w:val="false"/>
          <w:color w:val="20264A"/>
          <w:sz w:val="21"/>
          <w:szCs w:val="21"/>
        </w:rPr>
        <w:t xml:space="preserve">Before beginning either review procedure, confirm the following:</w:t>
      </w:r>
    </w:p>
    <w:p>
      <w:pPr>
        <w:pStyle w:val="ListParagraph"/>
        <w:numPr>
          <w:ilvl w:val="0"/>
          <w:numId w:val="2"/>
        </w:numPr>
        <w:spacing w:after="90" w:line="268"/>
      </w:pPr>
      <w:r>
        <w:rPr>
          <w:rFonts w:ascii="Calibri" w:cs="Calibri" w:eastAsia="Calibri" w:hAnsi="Calibri"/>
          <w:color w:val="20264A"/>
          <w:sz w:val="21"/>
          <w:szCs w:val="21"/>
        </w:rPr>
        <w:t xml:space="preserve">You hold the PVWA authorizations required to view Safe members and generate reports (minimum: "List accounts" and "View Safe Members" on in-scope Safes; report generation requires membership in the PVWA Monitoring / Reports group).</w:t>
      </w:r>
    </w:p>
    <w:p>
      <w:pPr>
        <w:pStyle w:val="ListParagraph"/>
        <w:numPr>
          <w:ilvl w:val="0"/>
          <w:numId w:val="2"/>
        </w:numPr>
        <w:spacing w:after="90" w:line="268"/>
      </w:pPr>
      <w:r>
        <w:rPr>
          <w:rFonts w:ascii="Calibri" w:cs="Calibri" w:eastAsia="Calibri" w:hAnsi="Calibri"/>
          <w:color w:val="20264A"/>
          <w:sz w:val="21"/>
          <w:szCs w:val="21"/>
        </w:rPr>
        <w:t xml:space="preserve">You hold "View Audit" authorization, or membership in the Auditors group, if you will be viewing session recordings.</w:t>
      </w:r>
    </w:p>
    <w:p>
      <w:pPr>
        <w:pStyle w:val="ListParagraph"/>
        <w:numPr>
          <w:ilvl w:val="0"/>
          <w:numId w:val="2"/>
        </w:numPr>
        <w:spacing w:after="90" w:line="268"/>
      </w:pPr>
      <w:r>
        <w:rPr>
          <w:rFonts w:ascii="Calibri" w:cs="Calibri" w:eastAsia="Calibri" w:hAnsi="Calibri"/>
          <w:color w:val="20264A"/>
          <w:sz w:val="21"/>
          <w:szCs w:val="21"/>
        </w:rPr>
        <w:t xml:space="preserve">You have access to the corresponding ServiceNow instance to pull change tasks and runbook content for correlation.</w:t>
      </w:r>
    </w:p>
    <w:p>
      <w:pPr>
        <w:pStyle w:val="ListParagraph"/>
        <w:numPr>
          <w:ilvl w:val="0"/>
          <w:numId w:val="2"/>
        </w:numPr>
        <w:spacing w:after="90" w:line="268"/>
      </w:pPr>
      <w:r>
        <w:rPr>
          <w:rFonts w:ascii="Calibri" w:cs="Calibri" w:eastAsia="Calibri" w:hAnsi="Calibri"/>
          <w:color w:val="20264A"/>
          <w:sz w:val="21"/>
          <w:szCs w:val="21"/>
        </w:rPr>
        <w:t xml:space="preserve">You have the current Escalation Contact Matrix (Appendix D) on hand for the review period.</w:t>
      </w:r>
    </w:p>
    <w:p>
      <w:pPr>
        <w:pStyle w:val="ListParagraph"/>
        <w:numPr>
          <w:ilvl w:val="0"/>
          <w:numId w:val="2"/>
        </w:numPr>
        <w:spacing w:after="90" w:line="268"/>
      </w:pPr>
      <w:r>
        <w:rPr>
          <w:rFonts w:ascii="Calibri" w:cs="Calibri" w:eastAsia="Calibri" w:hAnsi="Calibri"/>
          <w:color w:val="20264A"/>
          <w:sz w:val="21"/>
          <w:szCs w:val="21"/>
        </w:rPr>
        <w:t xml:space="preserve">Prior period review evidence is available for continuity checks (repeat exceptions, previously accepted risk, etc.).</w:t>
      </w:r>
    </w:p>
    <w:p>
      <w:pPr>
        <w:pStyle w:val="Heading1"/>
        <w:spacing w:after="200" w:before="480"/>
      </w:pPr>
      <w:r>
        <w:rPr>
          <w:rFonts w:ascii="Cambria" w:cs="Cambria" w:eastAsia="Cambria" w:hAnsi="Cambria"/>
          <w:b/>
          <w:bCs/>
          <w:color w:val="1E2761"/>
          <w:sz w:val="30"/>
          <w:szCs w:val="30"/>
        </w:rPr>
        <w:t xml:space="preserve">7. Part A — Privileged Access (Entitlement) Review Procedure</w:t>
      </w:r>
    </w:p>
    <w:p>
      <w:pPr>
        <w:spacing w:after="160" w:line="276"/>
      </w:pPr>
      <w:r>
        <w:rPr>
          <w:rFonts w:ascii="Calibri" w:cs="Calibri" w:eastAsia="Calibri" w:hAnsi="Calibri"/>
          <w:b w:val="false"/>
          <w:bCs w:val="false"/>
          <w:i w:val="false"/>
          <w:iCs w:val="false"/>
          <w:color w:val="20264A"/>
          <w:sz w:val="21"/>
          <w:szCs w:val="21"/>
        </w:rPr>
        <w:t xml:space="preserve">This procedure confirms that existing Safe membership, account ownership, and permission levels remain necessary and appropriate.</w:t>
      </w:r>
    </w:p>
    <w:p>
      <w:pPr>
        <w:pStyle w:val="Heading2"/>
        <w:spacing w:after="140" w:before="320"/>
      </w:pPr>
      <w:r>
        <w:rPr>
          <w:rFonts w:ascii="Cambria" w:cs="Cambria" w:eastAsia="Cambria" w:hAnsi="Cambria"/>
          <w:b/>
          <w:bCs/>
          <w:color w:val="1E2761"/>
          <w:sz w:val="24"/>
          <w:szCs w:val="24"/>
        </w:rPr>
        <w:t xml:space="preserve">7.1 Prepare the Review Population</w:t>
      </w:r>
    </w:p>
    <w:p>
      <w:pPr>
        <w:spacing w:after="120" w:line="276"/>
      </w:pPr>
      <w:r>
        <w:rPr>
          <w:rFonts w:ascii="Calibri" w:cs="Calibri" w:eastAsia="Calibri" w:hAnsi="Calibri"/>
          <w:b/>
          <w:bCs/>
          <w:color w:val="1E2761"/>
          <w:sz w:val="21"/>
          <w:szCs w:val="21"/>
        </w:rPr>
        <w:t xml:space="preserve">Step 1.  </w:t>
      </w:r>
      <w:r>
        <w:rPr>
          <w:rFonts w:ascii="Calibri" w:cs="Calibri" w:eastAsia="Calibri" w:hAnsi="Calibri"/>
          <w:color w:val="20264A"/>
          <w:sz w:val="21"/>
          <w:szCs w:val="21"/>
        </w:rPr>
        <w:t xml:space="preserve">In PVWA, go to Reports and generate the Privileged Accounts report, scoped to the Safes in the current review cycle. This lists every vaulted account and its platform.</w:t>
      </w:r>
    </w:p>
    <w:p>
      <w:pPr>
        <w:spacing w:after="120" w:line="276"/>
      </w:pPr>
      <w:r>
        <w:rPr>
          <w:rFonts w:ascii="Calibri" w:cs="Calibri" w:eastAsia="Calibri" w:hAnsi="Calibri"/>
          <w:b/>
          <w:bCs/>
          <w:color w:val="1E2761"/>
          <w:sz w:val="21"/>
          <w:szCs w:val="21"/>
        </w:rPr>
        <w:t xml:space="preserve">Step 2.  </w:t>
      </w:r>
      <w:r>
        <w:rPr>
          <w:rFonts w:ascii="Calibri" w:cs="Calibri" w:eastAsia="Calibri" w:hAnsi="Calibri"/>
          <w:color w:val="20264A"/>
          <w:sz w:val="21"/>
          <w:szCs w:val="21"/>
        </w:rPr>
        <w:t xml:space="preserve">Generate the Safe Members / Entitlement report for the same scope. This lists every user and group with membership on each Safe and the specific permissions granted (UseAccounts, RetrieveAccounts, ListAccounts, ManageSafeMembers, etc.).</w:t>
      </w:r>
    </w:p>
    <w:p>
      <w:pPr>
        <w:spacing w:after="120" w:line="276"/>
      </w:pPr>
      <w:r>
        <w:rPr>
          <w:rFonts w:ascii="Calibri" w:cs="Calibri" w:eastAsia="Calibri" w:hAnsi="Calibri"/>
          <w:b/>
          <w:bCs/>
          <w:color w:val="1E2761"/>
          <w:sz w:val="21"/>
          <w:szCs w:val="21"/>
        </w:rPr>
        <w:t xml:space="preserve">Step 3.  </w:t>
      </w:r>
      <w:r>
        <w:rPr>
          <w:rFonts w:ascii="Calibri" w:cs="Calibri" w:eastAsia="Calibri" w:hAnsi="Calibri"/>
          <w:color w:val="20264A"/>
          <w:sz w:val="21"/>
          <w:szCs w:val="21"/>
        </w:rPr>
        <w:t xml:space="preserve">Cross-reference the member list against current HR / directory status to identify any members who have left the organization or changed roles since the last review.</w:t>
      </w:r>
    </w:p>
    <w:p>
      <w:pPr>
        <w:pStyle w:val="Heading2"/>
        <w:spacing w:after="140" w:before="320"/>
      </w:pPr>
      <w:r>
        <w:rPr>
          <w:rFonts w:ascii="Cambria" w:cs="Cambria" w:eastAsia="Cambria" w:hAnsi="Cambria"/>
          <w:b/>
          <w:bCs/>
          <w:color w:val="1E2761"/>
          <w:sz w:val="24"/>
          <w:szCs w:val="24"/>
        </w:rPr>
        <w:t xml:space="preserve">7.2 Review Each Safe and Account</w:t>
      </w:r>
    </w:p>
    <w:p>
      <w:pPr>
        <w:pStyle w:val="ListParagraph"/>
        <w:numPr>
          <w:ilvl w:val="0"/>
          <w:numId w:val="3"/>
        </w:numPr>
        <w:spacing w:after="90" w:line="268"/>
      </w:pPr>
      <w:r>
        <w:rPr>
          <w:rFonts w:ascii="Calibri" w:cs="Calibri" w:eastAsia="Calibri" w:hAnsi="Calibri"/>
          <w:color w:val="20264A"/>
          <w:sz w:val="21"/>
          <w:szCs w:val="21"/>
        </w:rPr>
        <w:t xml:space="preserve">Confirm the Safe still has an assigned, active Business/Safe Owner.</w:t>
      </w:r>
    </w:p>
    <w:p>
      <w:pPr>
        <w:pStyle w:val="ListParagraph"/>
        <w:numPr>
          <w:ilvl w:val="0"/>
          <w:numId w:val="3"/>
        </w:numPr>
        <w:spacing w:after="90" w:line="268"/>
      </w:pPr>
      <w:r>
        <w:rPr>
          <w:rFonts w:ascii="Calibri" w:cs="Calibri" w:eastAsia="Calibri" w:hAnsi="Calibri"/>
          <w:color w:val="20264A"/>
          <w:sz w:val="21"/>
          <w:szCs w:val="21"/>
        </w:rPr>
        <w:t xml:space="preserve">For each member, confirm the business justification for their access is still valid — cross-check against their current job function, not just historical approval.</w:t>
      </w:r>
    </w:p>
    <w:p>
      <w:pPr>
        <w:pStyle w:val="ListParagraph"/>
        <w:numPr>
          <w:ilvl w:val="0"/>
          <w:numId w:val="3"/>
        </w:numPr>
        <w:spacing w:after="90" w:line="268"/>
      </w:pPr>
      <w:r>
        <w:rPr>
          <w:rFonts w:ascii="Calibri" w:cs="Calibri" w:eastAsia="Calibri" w:hAnsi="Calibri"/>
          <w:color w:val="20264A"/>
          <w:sz w:val="21"/>
          <w:szCs w:val="21"/>
        </w:rPr>
        <w:t xml:space="preserve">Verify permission granularity: confirm UseAccounts is granted for interactive/PSM-brokered use, and that RetrieveAccounts (plaintext credential exposure) is restricted to the minimum named individuals who genuinely require break-glass password retrieval.</w:t>
      </w:r>
    </w:p>
    <w:p>
      <w:pPr>
        <w:pStyle w:val="ListParagraph"/>
        <w:numPr>
          <w:ilvl w:val="0"/>
          <w:numId w:val="3"/>
        </w:numPr>
        <w:spacing w:after="90" w:line="268"/>
      </w:pPr>
      <w:r>
        <w:rPr>
          <w:rFonts w:ascii="Calibri" w:cs="Calibri" w:eastAsia="Calibri" w:hAnsi="Calibri"/>
          <w:color w:val="20264A"/>
          <w:sz w:val="21"/>
          <w:szCs w:val="21"/>
        </w:rPr>
        <w:t xml:space="preserve">Confirm dual-control / OTP (one-time password) requirements are still correctly configured on the Safe’s Master Policy for sensitive accounts.</w:t>
      </w:r>
    </w:p>
    <w:p>
      <w:pPr>
        <w:pStyle w:val="ListParagraph"/>
        <w:numPr>
          <w:ilvl w:val="0"/>
          <w:numId w:val="3"/>
        </w:numPr>
        <w:spacing w:after="90" w:line="268"/>
      </w:pPr>
      <w:r>
        <w:rPr>
          <w:rFonts w:ascii="Calibri" w:cs="Calibri" w:eastAsia="Calibri" w:hAnsi="Calibri"/>
          <w:color w:val="20264A"/>
          <w:sz w:val="21"/>
          <w:szCs w:val="21"/>
        </w:rPr>
        <w:t xml:space="preserve">Identify and flag any orphaned accounts (no confirmed owner), shared accounts without individual accountability mapping, or accounts with no recorded activity in the review period that may be candidates for decommissioning.</w:t>
      </w:r>
    </w:p>
    <w:p>
      <w:pPr>
        <w:pStyle w:val="Heading2"/>
        <w:spacing w:after="140" w:before="320"/>
      </w:pPr>
      <w:r>
        <w:rPr>
          <w:rFonts w:ascii="Cambria" w:cs="Cambria" w:eastAsia="Cambria" w:hAnsi="Cambria"/>
          <w:b/>
          <w:bCs/>
          <w:color w:val="1E2761"/>
          <w:sz w:val="24"/>
          <w:szCs w:val="24"/>
        </w:rPr>
        <w:t xml:space="preserve">7.3 Certify or Flag</w:t>
      </w:r>
    </w:p>
    <w:p>
      <w:pPr>
        <w:spacing w:after="160" w:line="276"/>
      </w:pPr>
      <w:r>
        <w:rPr>
          <w:rFonts w:ascii="Calibri" w:cs="Calibri" w:eastAsia="Calibri" w:hAnsi="Calibri"/>
          <w:b w:val="false"/>
          <w:bCs w:val="false"/>
          <w:i w:val="false"/>
          <w:iCs w:val="false"/>
          <w:color w:val="20264A"/>
          <w:sz w:val="21"/>
          <w:szCs w:val="21"/>
        </w:rPr>
        <w:t xml:space="preserve">For every member/account combination reviewed, record one of the following outcomes:</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1800"/>
        <w:gridCol w:w="3400"/>
        <w:gridCol w:w="4150"/>
      </w:tblGrid>
      <w:tr>
        <w:trPr>
          <w:tblHeader/>
        </w:trPr>
        <w:tc>
          <w:tcPr>
            <w:tcW w:type="dxa" w:w="18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Outcome</w:t>
            </w:r>
          </w:p>
        </w:tc>
        <w:tc>
          <w:tcPr>
            <w:tcW w:type="dxa" w:w="34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w:t>
            </w:r>
          </w:p>
        </w:tc>
        <w:tc>
          <w:tcPr>
            <w:tcW w:type="dxa" w:w="41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Required Action</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Certified</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Access remains necessary and correctly scoped.</w:t>
            </w:r>
          </w:p>
        </w:tc>
        <w:tc>
          <w:tcPr>
            <w:tcW w:type="dxa" w:w="41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No action; record certifier name and date.</w:t>
            </w:r>
          </w:p>
        </w:tc>
      </w:tr>
      <w:tr>
        <w:tc>
          <w:tcPr>
            <w:tcW w:type="dxa" w:w="18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Modify</w:t>
            </w:r>
          </w:p>
        </w:tc>
        <w:tc>
          <w:tcPr>
            <w:tcW w:type="dxa" w:w="34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Access is needed but at a different permission level.</w:t>
            </w:r>
          </w:p>
        </w:tc>
        <w:tc>
          <w:tcPr>
            <w:tcW w:type="dxa" w:w="41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PAM Administrator adjusts Safe Member permissions; re-certify next cycle.</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Revoke</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Access is no longer required.</w:t>
            </w:r>
          </w:p>
        </w:tc>
        <w:tc>
          <w:tcPr>
            <w:tcW w:type="dxa" w:w="41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PAM Administrator removes Safe membership within 5 business days; confirm removal.</w:t>
            </w:r>
          </w:p>
        </w:tc>
      </w:tr>
      <w:tr>
        <w:tc>
          <w:tcPr>
            <w:tcW w:type="dxa" w:w="18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Escalate</w:t>
            </w:r>
          </w:p>
        </w:tc>
        <w:tc>
          <w:tcPr>
            <w:tcW w:type="dxa" w:w="34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Ownership or justification cannot be determined.</w:t>
            </w:r>
          </w:p>
        </w:tc>
        <w:tc>
          <w:tcPr>
            <w:tcW w:type="dxa" w:w="41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Route to Safe Owner and Security Analyst per Section 9.</w:t>
            </w:r>
          </w:p>
        </w:tc>
      </w:tr>
    </w:tbl>
    <w:p>
      <w:pPr>
        <w:pStyle w:val="Heading2"/>
        <w:spacing w:after="140" w:before="320"/>
      </w:pPr>
      <w:r>
        <w:rPr>
          <w:rFonts w:ascii="Cambria" w:cs="Cambria" w:eastAsia="Cambria" w:hAnsi="Cambria"/>
          <w:b/>
          <w:bCs/>
          <w:color w:val="1E2761"/>
          <w:sz w:val="24"/>
          <w:szCs w:val="24"/>
        </w:rPr>
        <w:t xml:space="preserve">7.4 Document the Decision</w:t>
      </w:r>
    </w:p>
    <w:p>
      <w:pPr>
        <w:spacing w:after="160" w:line="276"/>
      </w:pPr>
      <w:r>
        <w:rPr>
          <w:rFonts w:ascii="Calibri" w:cs="Calibri" w:eastAsia="Calibri" w:hAnsi="Calibri"/>
          <w:b w:val="false"/>
          <w:bCs w:val="false"/>
          <w:i w:val="false"/>
          <w:iCs w:val="false"/>
          <w:color w:val="20264A"/>
          <w:sz w:val="21"/>
          <w:szCs w:val="21"/>
        </w:rPr>
        <w:t xml:space="preserve">Record every certify/modify/revoke/escalate decision in the review evidence log (Appendix A / D), including the certifier’s name, date, and justification text. Evidence must be retained per Section 12.</w:t>
      </w:r>
    </w:p>
    <w:p>
      <w:r>
        <w:br w:type="page"/>
      </w:r>
    </w:p>
    <w:p>
      <w:pPr>
        <w:pStyle w:val="Heading1"/>
        <w:spacing w:after="200" w:before="480"/>
      </w:pPr>
      <w:r>
        <w:rPr>
          <w:rFonts w:ascii="Cambria" w:cs="Cambria" w:eastAsia="Cambria" w:hAnsi="Cambria"/>
          <w:b/>
          <w:bCs/>
          <w:color w:val="1E2761"/>
          <w:sz w:val="30"/>
          <w:szCs w:val="30"/>
        </w:rPr>
        <w:t xml:space="preserve">8. Part B — CyberArk PSM Session Recording Review Procedure</w:t>
      </w:r>
    </w:p>
    <w:p>
      <w:pPr>
        <w:spacing w:after="160" w:line="276"/>
      </w:pPr>
      <w:r>
        <w:rPr>
          <w:rFonts w:ascii="Calibri" w:cs="Calibri" w:eastAsia="Calibri" w:hAnsi="Calibri"/>
          <w:b w:val="false"/>
          <w:bCs w:val="false"/>
          <w:i w:val="false"/>
          <w:iCs w:val="false"/>
          <w:color w:val="20264A"/>
          <w:sz w:val="21"/>
          <w:szCs w:val="21"/>
        </w:rPr>
        <w:t xml:space="preserve">This procedure governs the review of PSM session recordings — video for RDP/GUI sessions, and text/keystroke logs for SSH/console sessions — to confirm that privileged activity performed during the session matches what was authorized.</w:t>
      </w:r>
    </w:p>
    <w:p>
      <w:pPr>
        <w:pStyle w:val="Heading2"/>
        <w:spacing w:after="140" w:before="320"/>
      </w:pPr>
      <w:r>
        <w:rPr>
          <w:rFonts w:ascii="Cambria" w:cs="Cambria" w:eastAsia="Cambria" w:hAnsi="Cambria"/>
          <w:b/>
          <w:bCs/>
          <w:color w:val="1E2761"/>
          <w:sz w:val="24"/>
          <w:szCs w:val="24"/>
        </w:rPr>
        <w:t xml:space="preserve">8.1 Determine the Review Scope</w:t>
      </w:r>
    </w:p>
    <w:p>
      <w:pPr>
        <w:spacing w:after="160" w:line="276"/>
      </w:pPr>
      <w:r>
        <w:rPr>
          <w:rFonts w:ascii="Calibri" w:cs="Calibri" w:eastAsia="Calibri" w:hAnsi="Calibri"/>
          <w:b w:val="false"/>
          <w:bCs w:val="false"/>
          <w:i w:val="false"/>
          <w:iCs w:val="false"/>
          <w:color w:val="20264A"/>
          <w:sz w:val="21"/>
          <w:szCs w:val="21"/>
        </w:rPr>
        <w:t xml:space="preserve">Session recordings should be selected for review using a risk-based approach rather than pure random sampling wherever possible:</w:t>
      </w:r>
    </w:p>
    <w:p>
      <w:pPr>
        <w:pStyle w:val="ListParagraph"/>
        <w:numPr>
          <w:ilvl w:val="0"/>
          <w:numId w:val="2"/>
        </w:numPr>
        <w:spacing w:after="90" w:line="268"/>
      </w:pPr>
      <w:r>
        <w:rPr>
          <w:rFonts w:ascii="Calibri" w:cs="Calibri" w:eastAsia="Calibri" w:hAnsi="Calibri"/>
          <w:color w:val="20264A"/>
          <w:sz w:val="21"/>
          <w:szCs w:val="21"/>
        </w:rPr>
        <w:t xml:space="preserve">Sessions linked to a closed ServiceNow change or task (highest priority — enables direct runbook comparison).</w:t>
      </w:r>
    </w:p>
    <w:p>
      <w:pPr>
        <w:pStyle w:val="ListParagraph"/>
        <w:numPr>
          <w:ilvl w:val="0"/>
          <w:numId w:val="2"/>
        </w:numPr>
        <w:spacing w:after="90" w:line="268"/>
      </w:pPr>
      <w:r>
        <w:rPr>
          <w:rFonts w:ascii="Calibri" w:cs="Calibri" w:eastAsia="Calibri" w:hAnsi="Calibri"/>
          <w:color w:val="20264A"/>
          <w:sz w:val="21"/>
          <w:szCs w:val="21"/>
        </w:rPr>
        <w:t xml:space="preserve">Sessions with an elevated PTA (Privileged Threat Analytics) risk score.</w:t>
      </w:r>
    </w:p>
    <w:p>
      <w:pPr>
        <w:pStyle w:val="ListParagraph"/>
        <w:numPr>
          <w:ilvl w:val="0"/>
          <w:numId w:val="2"/>
        </w:numPr>
        <w:spacing w:after="90" w:line="268"/>
      </w:pPr>
      <w:r>
        <w:rPr>
          <w:rFonts w:ascii="Calibri" w:cs="Calibri" w:eastAsia="Calibri" w:hAnsi="Calibri"/>
          <w:color w:val="20264A"/>
          <w:sz w:val="21"/>
          <w:szCs w:val="21"/>
        </w:rPr>
        <w:t xml:space="preserve">Sessions on Tier-0 / crown-jewel systems (domain controllers, core databases, hypervisor management, key vaults).</w:t>
      </w:r>
    </w:p>
    <w:p>
      <w:pPr>
        <w:pStyle w:val="ListParagraph"/>
        <w:numPr>
          <w:ilvl w:val="0"/>
          <w:numId w:val="2"/>
        </w:numPr>
        <w:spacing w:after="90" w:line="268"/>
      </w:pPr>
      <w:r>
        <w:rPr>
          <w:rFonts w:ascii="Calibri" w:cs="Calibri" w:eastAsia="Calibri" w:hAnsi="Calibri"/>
          <w:color w:val="20264A"/>
          <w:sz w:val="21"/>
          <w:szCs w:val="21"/>
        </w:rPr>
        <w:t xml:space="preserve">Sessions using break-glass or emergency-access accounts.</w:t>
      </w:r>
    </w:p>
    <w:p>
      <w:pPr>
        <w:pStyle w:val="ListParagraph"/>
        <w:numPr>
          <w:ilvl w:val="0"/>
          <w:numId w:val="2"/>
        </w:numPr>
        <w:spacing w:after="90" w:line="268"/>
      </w:pPr>
      <w:r>
        <w:rPr>
          <w:rFonts w:ascii="Calibri" w:cs="Calibri" w:eastAsia="Calibri" w:hAnsi="Calibri"/>
          <w:color w:val="20264A"/>
          <w:sz w:val="21"/>
          <w:szCs w:val="21"/>
        </w:rPr>
        <w:t xml:space="preserve">A residual random sample of remaining sessions to maintain baseline coverage.</w:t>
      </w:r>
    </w:p>
    <w:p>
      <w:pPr>
        <w:pStyle w:val="Heading2"/>
        <w:spacing w:after="140" w:before="320"/>
      </w:pPr>
      <w:r>
        <w:rPr>
          <w:rFonts w:ascii="Cambria" w:cs="Cambria" w:eastAsia="Cambria" w:hAnsi="Cambria"/>
          <w:b/>
          <w:bCs/>
          <w:color w:val="1E2761"/>
          <w:sz w:val="24"/>
          <w:szCs w:val="24"/>
        </w:rPr>
        <w:t xml:space="preserve">8.2 Locate the Session Recording</w:t>
      </w:r>
    </w:p>
    <w:p>
      <w:pPr>
        <w:spacing w:after="120" w:line="276"/>
      </w:pPr>
      <w:r>
        <w:rPr>
          <w:rFonts w:ascii="Calibri" w:cs="Calibri" w:eastAsia="Calibri" w:hAnsi="Calibri"/>
          <w:b/>
          <w:bCs/>
          <w:color w:val="1E2761"/>
          <w:sz w:val="21"/>
          <w:szCs w:val="21"/>
        </w:rPr>
        <w:t xml:space="preserve">Option A — PVWA:  </w:t>
      </w:r>
      <w:r>
        <w:rPr>
          <w:rFonts w:ascii="Calibri" w:cs="Calibri" w:eastAsia="Calibri" w:hAnsi="Calibri"/>
          <w:color w:val="20264A"/>
          <w:sz w:val="21"/>
          <w:szCs w:val="21"/>
        </w:rPr>
        <w:t xml:space="preserve">Navigate to the account’s Account Details page, or to Monitor &gt; Session Monitoring, and filter by account, target system, user, and date range. Sessions with available recordings are marked with a recording icon.</w:t>
      </w:r>
    </w:p>
    <w:p>
      <w:pPr>
        <w:spacing w:after="120" w:line="276"/>
      </w:pPr>
      <w:r>
        <w:rPr>
          <w:rFonts w:ascii="Calibri" w:cs="Calibri" w:eastAsia="Calibri" w:hAnsi="Calibri"/>
          <w:b/>
          <w:bCs/>
          <w:color w:val="1E2761"/>
          <w:sz w:val="21"/>
          <w:szCs w:val="21"/>
        </w:rPr>
        <w:t xml:space="preserve">Option B — REST API:  </w:t>
      </w:r>
      <w:r>
        <w:rPr>
          <w:rFonts w:ascii="Calibri" w:cs="Calibri" w:eastAsia="Calibri" w:hAnsi="Calibri"/>
          <w:color w:val="20264A"/>
          <w:sz w:val="21"/>
          <w:szCs w:val="21"/>
        </w:rPr>
        <w:t xml:space="preserve">Authenticate via POST /PasswordVault/API/auth/CyberArk/Logon, then call GET /PasswordVault/API/Recordings with FromTime/ToTime, UserName, and related filters. Use Limit/Offset pagination for investigations spanning more than one page of results — this is the only practical method for bulk retrieval across more than ~100 sessions.</w:t>
      </w:r>
    </w:p>
    <w:p>
      <w:pPr>
        <w:spacing w:after="160" w:line="276"/>
      </w:pPr>
      <w:r>
        <w:rPr>
          <w:rFonts w:ascii="Calibri" w:cs="Calibri" w:eastAsia="Calibri" w:hAnsi="Calibri"/>
          <w:i/>
          <w:iCs/>
          <w:color w:val="5B6484"/>
          <w:sz w:val="20"/>
          <w:szCs w:val="20"/>
        </w:rPr>
        <w:t xml:space="preserve">Note: SSH text search requires the recording indexer to be explicitly configured on the PSM server. Confirm with the PAM Administrator whether text-search is enabled before assuming keyword search will surface all relevant SSH sessions.</w:t>
      </w:r>
    </w:p>
    <w:p>
      <w:pPr>
        <w:pStyle w:val="Heading2"/>
        <w:spacing w:after="140" w:before="320"/>
      </w:pPr>
      <w:r>
        <w:rPr>
          <w:rFonts w:ascii="Cambria" w:cs="Cambria" w:eastAsia="Cambria" w:hAnsi="Cambria"/>
          <w:b/>
          <w:bCs/>
          <w:color w:val="1E2761"/>
          <w:sz w:val="24"/>
          <w:szCs w:val="24"/>
        </w:rPr>
        <w:t xml:space="preserve">8.3 Review Session Metadata First</w:t>
      </w:r>
    </w:p>
    <w:p>
      <w:pPr>
        <w:spacing w:after="160" w:line="276"/>
      </w:pPr>
      <w:r>
        <w:rPr>
          <w:rFonts w:ascii="Calibri" w:cs="Calibri" w:eastAsia="Calibri" w:hAnsi="Calibri"/>
          <w:b w:val="false"/>
          <w:bCs w:val="false"/>
          <w:i w:val="false"/>
          <w:iCs w:val="false"/>
          <w:color w:val="20264A"/>
          <w:sz w:val="21"/>
          <w:szCs w:val="21"/>
        </w:rPr>
        <w:t xml:space="preserve">Before opening the recording itself, review the session header information to orient the review:</w:t>
      </w:r>
    </w:p>
    <w:p>
      <w:pPr>
        <w:pStyle w:val="ListParagraph"/>
        <w:numPr>
          <w:ilvl w:val="0"/>
          <w:numId w:val="2"/>
        </w:numPr>
        <w:spacing w:after="90" w:line="268"/>
      </w:pPr>
      <w:r>
        <w:rPr>
          <w:rFonts w:ascii="Calibri" w:cs="Calibri" w:eastAsia="Calibri" w:hAnsi="Calibri"/>
          <w:color w:val="20264A"/>
          <w:sz w:val="21"/>
          <w:szCs w:val="21"/>
        </w:rPr>
        <w:t xml:space="preserve">User (vault user) and target account used.</w:t>
      </w:r>
    </w:p>
    <w:p>
      <w:pPr>
        <w:pStyle w:val="ListParagraph"/>
        <w:numPr>
          <w:ilvl w:val="0"/>
          <w:numId w:val="2"/>
        </w:numPr>
        <w:spacing w:after="90" w:line="268"/>
      </w:pPr>
      <w:r>
        <w:rPr>
          <w:rFonts w:ascii="Calibri" w:cs="Calibri" w:eastAsia="Calibri" w:hAnsi="Calibri"/>
          <w:color w:val="20264A"/>
          <w:sz w:val="21"/>
          <w:szCs w:val="21"/>
        </w:rPr>
        <w:t xml:space="preserve">Source IP / originating workstation.</w:t>
      </w:r>
    </w:p>
    <w:p>
      <w:pPr>
        <w:pStyle w:val="ListParagraph"/>
        <w:numPr>
          <w:ilvl w:val="0"/>
          <w:numId w:val="2"/>
        </w:numPr>
        <w:spacing w:after="90" w:line="268"/>
      </w:pPr>
      <w:r>
        <w:rPr>
          <w:rFonts w:ascii="Calibri" w:cs="Calibri" w:eastAsia="Calibri" w:hAnsi="Calibri"/>
          <w:color w:val="20264A"/>
          <w:sz w:val="21"/>
          <w:szCs w:val="21"/>
        </w:rPr>
        <w:t xml:space="preserve">Target system / hostname.</w:t>
      </w:r>
    </w:p>
    <w:p>
      <w:pPr>
        <w:pStyle w:val="ListParagraph"/>
        <w:numPr>
          <w:ilvl w:val="0"/>
          <w:numId w:val="2"/>
        </w:numPr>
        <w:spacing w:after="90" w:line="268"/>
      </w:pPr>
      <w:r>
        <w:rPr>
          <w:rFonts w:ascii="Calibri" w:cs="Calibri" w:eastAsia="Calibri" w:hAnsi="Calibri"/>
          <w:color w:val="20264A"/>
          <w:sz w:val="21"/>
          <w:szCs w:val="21"/>
        </w:rPr>
        <w:t xml:space="preserve">Session start time, end time, and duration.</w:t>
      </w:r>
    </w:p>
    <w:p>
      <w:pPr>
        <w:pStyle w:val="ListParagraph"/>
        <w:numPr>
          <w:ilvl w:val="0"/>
          <w:numId w:val="2"/>
        </w:numPr>
        <w:spacing w:after="90" w:line="268"/>
      </w:pPr>
      <w:r>
        <w:rPr>
          <w:rFonts w:ascii="Calibri" w:cs="Calibri" w:eastAsia="Calibri" w:hAnsi="Calibri"/>
          <w:color w:val="20264A"/>
          <w:sz w:val="21"/>
          <w:szCs w:val="21"/>
        </w:rPr>
        <w:t xml:space="preserve">Any associated PTA risk score or flags already raised by CyberArk.</w:t>
      </w:r>
    </w:p>
    <w:p>
      <w:pPr>
        <w:pStyle w:val="ListParagraph"/>
        <w:numPr>
          <w:ilvl w:val="0"/>
          <w:numId w:val="2"/>
        </w:numPr>
        <w:spacing w:after="90" w:line="268"/>
      </w:pPr>
      <w:r>
        <w:rPr>
          <w:rFonts w:ascii="Calibri" w:cs="Calibri" w:eastAsia="Calibri" w:hAnsi="Calibri"/>
          <w:color w:val="20264A"/>
          <w:sz w:val="21"/>
          <w:szCs w:val="21"/>
        </w:rPr>
        <w:t xml:space="preserve">The "reason for access" field entered at checkout, if the platform requires one — this often contains the ticket/change number.</w:t>
      </w:r>
    </w:p>
    <w:p>
      <w:pPr>
        <w:pStyle w:val="Heading2"/>
        <w:spacing w:after="140" w:before="320"/>
      </w:pPr>
      <w:r>
        <w:rPr>
          <w:rFonts w:ascii="Cambria" w:cs="Cambria" w:eastAsia="Cambria" w:hAnsi="Cambria"/>
          <w:b/>
          <w:bCs/>
          <w:color w:val="1E2761"/>
          <w:sz w:val="24"/>
          <w:szCs w:val="24"/>
        </w:rPr>
        <w:t xml:space="preserve">8.4 Review the Video Recording (RDP / GUI Sessions)</w:t>
      </w:r>
    </w:p>
    <w:p>
      <w:pPr>
        <w:spacing w:after="120" w:line="276"/>
      </w:pPr>
      <w:r>
        <w:rPr>
          <w:rFonts w:ascii="Calibri" w:cs="Calibri" w:eastAsia="Calibri" w:hAnsi="Calibri"/>
          <w:b/>
          <w:bCs/>
          <w:color w:val="1E2761"/>
          <w:sz w:val="21"/>
          <w:szCs w:val="21"/>
        </w:rPr>
        <w:t xml:space="preserve">Step 1.  </w:t>
      </w:r>
      <w:r>
        <w:rPr>
          <w:rFonts w:ascii="Calibri" w:cs="Calibri" w:eastAsia="Calibri" w:hAnsi="Calibri"/>
          <w:color w:val="20264A"/>
          <w:sz w:val="21"/>
          <w:szCs w:val="21"/>
        </w:rPr>
        <w:t xml:space="preserve">Open the recording from the Account Details or Session Monitoring page. Recordings play as an AVI file, by default through the built-in PVWA player (or Windows Media Player with the PSM codec for files exceeding 2GB, which split into session_id.vid.part_N).</w:t>
      </w:r>
    </w:p>
    <w:p>
      <w:pPr>
        <w:spacing w:after="120" w:line="276"/>
      </w:pPr>
      <w:r>
        <w:rPr>
          <w:rFonts w:ascii="Calibri" w:cs="Calibri" w:eastAsia="Calibri" w:hAnsi="Calibri"/>
          <w:b/>
          <w:bCs/>
          <w:color w:val="1E2761"/>
          <w:sz w:val="21"/>
          <w:szCs w:val="21"/>
        </w:rPr>
        <w:t xml:space="preserve">Step 2.  </w:t>
      </w:r>
      <w:r>
        <w:rPr>
          <w:rFonts w:ascii="Calibri" w:cs="Calibri" w:eastAsia="Calibri" w:hAnsi="Calibri"/>
          <w:color w:val="20264A"/>
          <w:sz w:val="21"/>
          <w:szCs w:val="21"/>
        </w:rPr>
        <w:t xml:space="preserve">Use variable playback speed to move quickly through idle periods, but always play significant activity (application launches, command execution, configuration screens, file transfers) at normal or reduced speed — do not skim through the actual change work.</w:t>
      </w:r>
    </w:p>
    <w:p>
      <w:pPr>
        <w:spacing w:after="120" w:line="276"/>
      </w:pPr>
      <w:r>
        <w:rPr>
          <w:rFonts w:ascii="Calibri" w:cs="Calibri" w:eastAsia="Calibri" w:hAnsi="Calibri"/>
          <w:b/>
          <w:bCs/>
          <w:color w:val="1E2761"/>
          <w:sz w:val="21"/>
          <w:szCs w:val="21"/>
        </w:rPr>
        <w:t xml:space="preserve">Step 3.  </w:t>
      </w:r>
      <w:r>
        <w:rPr>
          <w:rFonts w:ascii="Calibri" w:cs="Calibri" w:eastAsia="Calibri" w:hAnsi="Calibri"/>
          <w:color w:val="20264A"/>
          <w:sz w:val="21"/>
          <w:szCs w:val="21"/>
        </w:rPr>
        <w:t xml:space="preserve">Note the timestamp of every distinct action: applications or consoles opened, commands typed, configuration changes made, files accessed or transferred, and any credentials or sensitive data visible on screen.</w:t>
      </w:r>
    </w:p>
    <w:p>
      <w:pPr>
        <w:spacing w:after="120" w:line="276"/>
      </w:pPr>
      <w:r>
        <w:rPr>
          <w:rFonts w:ascii="Calibri" w:cs="Calibri" w:eastAsia="Calibri" w:hAnsi="Calibri"/>
          <w:b/>
          <w:bCs/>
          <w:color w:val="1E2761"/>
          <w:sz w:val="21"/>
          <w:szCs w:val="21"/>
        </w:rPr>
        <w:t xml:space="preserve">Step 4.  </w:t>
      </w:r>
      <w:r>
        <w:rPr>
          <w:rFonts w:ascii="Calibri" w:cs="Calibri" w:eastAsia="Calibri" w:hAnsi="Calibri"/>
          <w:color w:val="20264A"/>
          <w:sz w:val="21"/>
          <w:szCs w:val="21"/>
        </w:rPr>
        <w:t xml:space="preserve">Pay particular attention to session start and end: confirm the user connected to the intended target only, and that the session was properly closed (not left open/idle for an extended period, which may itself warrant a finding).</w:t>
      </w:r>
    </w:p>
    <w:p>
      <w:pPr>
        <w:spacing w:after="120" w:line="276"/>
      </w:pPr>
      <w:r>
        <w:rPr>
          <w:rFonts w:ascii="Calibri" w:cs="Calibri" w:eastAsia="Calibri" w:hAnsi="Calibri"/>
          <w:b/>
          <w:bCs/>
          <w:color w:val="1E2761"/>
          <w:sz w:val="21"/>
          <w:szCs w:val="21"/>
        </w:rPr>
        <w:t xml:space="preserve">Step 5.  </w:t>
      </w:r>
      <w:r>
        <w:rPr>
          <w:rFonts w:ascii="Calibri" w:cs="Calibri" w:eastAsia="Calibri" w:hAnsi="Calibri"/>
          <w:color w:val="20264A"/>
          <w:sz w:val="21"/>
          <w:szCs w:val="21"/>
        </w:rPr>
        <w:t xml:space="preserve">If the review is change-linked, build a simple timestamped action list as you watch — this is what gets compared against the runbook in Section 8.6.</w:t>
      </w: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EEF1F8" w:val="clear"/>
            <w:tcMar>
              <w:top w:type="dxa" w:w="160"/>
              <w:left w:type="dxa" w:w="200"/>
              <w:bottom w:type="dxa" w:w="160"/>
              <w:right w:type="dxa" w:w="200"/>
            </w:tcMar>
          </w:tcPr>
          <w:p>
            <w:pPr>
              <w:spacing w:after="60"/>
            </w:pPr>
            <w:r>
              <w:rPr>
                <w:rFonts w:ascii="Calibri" w:cs="Calibri" w:eastAsia="Calibri" w:hAnsi="Calibri"/>
                <w:b/>
                <w:bCs/>
                <w:color w:val="1E2761"/>
                <w:sz w:val="21"/>
                <w:szCs w:val="21"/>
              </w:rPr>
              <w:t xml:space="preserve">Practical tip</w:t>
            </w:r>
          </w:p>
          <w:p>
            <w:pPr>
              <w:spacing w:after="0"/>
            </w:pPr>
            <w:r>
              <w:rPr>
                <w:rFonts w:ascii="Calibri" w:cs="Calibri" w:eastAsia="Calibri" w:hAnsi="Calibri"/>
                <w:color w:val="20264A"/>
                <w:sz w:val="20"/>
                <w:szCs w:val="20"/>
              </w:rPr>
              <w:t xml:space="preserve">Reviewing full video end-to-end is time-consuming. For change-linked reviews, use the runbook as your checklist while watching: pause the recording at each point where the runbook says an action should occur and confirm it happened as described, rather than reviewing the video in isolation and reconstructing the sequence afterward.</w:t>
            </w:r>
          </w:p>
        </w:tc>
      </w:tr>
    </w:tbl>
    <w:p>
      <w:pPr>
        <w:pStyle w:val="Heading2"/>
        <w:spacing w:after="140" w:before="320"/>
      </w:pPr>
      <w:r>
        <w:rPr>
          <w:rFonts w:ascii="Cambria" w:cs="Cambria" w:eastAsia="Cambria" w:hAnsi="Cambria"/>
          <w:b/>
          <w:bCs/>
          <w:color w:val="1E2761"/>
          <w:sz w:val="24"/>
          <w:szCs w:val="24"/>
        </w:rPr>
        <w:t xml:space="preserve">8.5 Review the Text / Keystroke Log (SSH / Console Sessions)</w:t>
      </w:r>
    </w:p>
    <w:p>
      <w:pPr>
        <w:spacing w:after="120" w:line="276"/>
      </w:pPr>
      <w:r>
        <w:rPr>
          <w:rFonts w:ascii="Calibri" w:cs="Calibri" w:eastAsia="Calibri" w:hAnsi="Calibri"/>
          <w:b/>
          <w:bCs/>
          <w:color w:val="1E2761"/>
          <w:sz w:val="21"/>
          <w:szCs w:val="21"/>
        </w:rPr>
        <w:t xml:space="preserve">Step 1.  </w:t>
      </w:r>
      <w:r>
        <w:rPr>
          <w:rFonts w:ascii="Calibri" w:cs="Calibri" w:eastAsia="Calibri" w:hAnsi="Calibri"/>
          <w:color w:val="20264A"/>
          <w:sz w:val="21"/>
          <w:szCs w:val="21"/>
        </w:rPr>
        <w:t xml:space="preserve">Open the text recording associated with the session. This is typically faster and more reliable to review than video, since it is a literal, searchable log of commands entered.</w:t>
      </w:r>
    </w:p>
    <w:p>
      <w:pPr>
        <w:spacing w:after="120" w:line="276"/>
      </w:pPr>
      <w:r>
        <w:rPr>
          <w:rFonts w:ascii="Calibri" w:cs="Calibri" w:eastAsia="Calibri" w:hAnsi="Calibri"/>
          <w:b/>
          <w:bCs/>
          <w:color w:val="1E2761"/>
          <w:sz w:val="21"/>
          <w:szCs w:val="21"/>
        </w:rPr>
        <w:t xml:space="preserve">Step 2.  </w:t>
      </w:r>
      <w:r>
        <w:rPr>
          <w:rFonts w:ascii="Calibri" w:cs="Calibri" w:eastAsia="Calibri" w:hAnsi="Calibri"/>
          <w:color w:val="20264A"/>
          <w:sz w:val="21"/>
          <w:szCs w:val="21"/>
        </w:rPr>
        <w:t xml:space="preserve">Filter out session noise — shell prompts, tab-completion artifacts, backspaces, and repeated redraws — to identify the discrete commands actually executed.</w:t>
      </w:r>
    </w:p>
    <w:p>
      <w:pPr>
        <w:spacing w:after="120" w:line="276"/>
      </w:pPr>
      <w:r>
        <w:rPr>
          <w:rFonts w:ascii="Calibri" w:cs="Calibri" w:eastAsia="Calibri" w:hAnsi="Calibri"/>
          <w:b/>
          <w:bCs/>
          <w:color w:val="1E2761"/>
          <w:sz w:val="21"/>
          <w:szCs w:val="21"/>
        </w:rPr>
        <w:t xml:space="preserve">Step 3.  </w:t>
      </w:r>
      <w:r>
        <w:rPr>
          <w:rFonts w:ascii="Calibri" w:cs="Calibri" w:eastAsia="Calibri" w:hAnsi="Calibri"/>
          <w:color w:val="20264A"/>
          <w:sz w:val="21"/>
          <w:szCs w:val="21"/>
        </w:rPr>
        <w:t xml:space="preserve">Build the timestamped command list for comparison against the runbook, exactly as in the video path.</w:t>
      </w:r>
    </w:p>
    <w:p>
      <w:pPr>
        <w:spacing w:after="120" w:line="276"/>
      </w:pPr>
      <w:r>
        <w:rPr>
          <w:rFonts w:ascii="Calibri" w:cs="Calibri" w:eastAsia="Calibri" w:hAnsi="Calibri"/>
          <w:b/>
          <w:bCs/>
          <w:color w:val="1E2761"/>
          <w:sz w:val="21"/>
          <w:szCs w:val="21"/>
        </w:rPr>
        <w:t xml:space="preserve">Step 4.  </w:t>
      </w:r>
      <w:r>
        <w:rPr>
          <w:rFonts w:ascii="Calibri" w:cs="Calibri" w:eastAsia="Calibri" w:hAnsi="Calibri"/>
          <w:color w:val="20264A"/>
          <w:sz w:val="21"/>
          <w:szCs w:val="21"/>
        </w:rPr>
        <w:t xml:space="preserve">Flag any command that performs a destructive, privilege-escalating, or data-exfiltration-capable action (e.g., user/account creation, firewall rule changes, mass file transfer, log clearing, disabling of security tooling) for closer scrutiny regardless of runbook match.</w:t>
      </w:r>
    </w:p>
    <w:p>
      <w:pPr>
        <w:pStyle w:val="Heading2"/>
        <w:spacing w:after="140" w:before="320"/>
      </w:pPr>
      <w:r>
        <w:rPr>
          <w:rFonts w:ascii="Cambria" w:cs="Cambria" w:eastAsia="Cambria" w:hAnsi="Cambria"/>
          <w:b/>
          <w:bCs/>
          <w:color w:val="1E2761"/>
          <w:sz w:val="24"/>
          <w:szCs w:val="24"/>
        </w:rPr>
        <w:t xml:space="preserve">8.6 Cross-Reference Against the ServiceNow Runbook</w:t>
      </w:r>
    </w:p>
    <w:p>
      <w:pPr>
        <w:spacing w:after="160" w:line="276"/>
      </w:pPr>
      <w:r>
        <w:rPr>
          <w:rFonts w:ascii="Calibri" w:cs="Calibri" w:eastAsia="Calibri" w:hAnsi="Calibri"/>
          <w:b w:val="false"/>
          <w:bCs w:val="false"/>
          <w:i w:val="false"/>
          <w:iCs w:val="false"/>
          <w:color w:val="20264A"/>
          <w:sz w:val="21"/>
          <w:szCs w:val="21"/>
        </w:rPr>
        <w:t xml:space="preserve">For any session associated with a change, task, or standard operating procedure:</w:t>
      </w:r>
    </w:p>
    <w:p>
      <w:pPr>
        <w:pStyle w:val="ListParagraph"/>
        <w:numPr>
          <w:ilvl w:val="0"/>
          <w:numId w:val="4"/>
        </w:numPr>
        <w:spacing w:after="90" w:line="268"/>
      </w:pPr>
      <w:r>
        <w:rPr>
          <w:rFonts w:ascii="Calibri" w:cs="Calibri" w:eastAsia="Calibri" w:hAnsi="Calibri"/>
          <w:color w:val="20264A"/>
          <w:sz w:val="21"/>
          <w:szCs w:val="21"/>
        </w:rPr>
        <w:t xml:space="preserve">Retrieve the approved runbook steps from the linked ServiceNow change/task record.</w:t>
      </w:r>
    </w:p>
    <w:p>
      <w:pPr>
        <w:pStyle w:val="ListParagraph"/>
        <w:numPr>
          <w:ilvl w:val="0"/>
          <w:numId w:val="4"/>
        </w:numPr>
        <w:spacing w:after="90" w:line="268"/>
      </w:pPr>
      <w:r>
        <w:rPr>
          <w:rFonts w:ascii="Calibri" w:cs="Calibri" w:eastAsia="Calibri" w:hAnsi="Calibri"/>
          <w:color w:val="20264A"/>
          <w:sz w:val="21"/>
          <w:szCs w:val="21"/>
        </w:rPr>
        <w:t xml:space="preserve">Compare the timestamped action list built in 8.4/8.5 against each runbook step in sequence.</w:t>
      </w:r>
    </w:p>
    <w:p>
      <w:pPr>
        <w:pStyle w:val="ListParagraph"/>
        <w:numPr>
          <w:ilvl w:val="0"/>
          <w:numId w:val="4"/>
        </w:numPr>
        <w:spacing w:after="90" w:line="268"/>
      </w:pPr>
      <w:r>
        <w:rPr>
          <w:rFonts w:ascii="Calibri" w:cs="Calibri" w:eastAsia="Calibri" w:hAnsi="Calibri"/>
          <w:color w:val="20264A"/>
          <w:sz w:val="21"/>
          <w:szCs w:val="21"/>
        </w:rPr>
        <w:t xml:space="preserve">Classify each runbook step as Matched, Missing (expected but not observed), or the session action as Unauthorized/Extra (observed but not in the runbook).</w:t>
      </w:r>
    </w:p>
    <w:p>
      <w:pPr>
        <w:pStyle w:val="ListParagraph"/>
        <w:numPr>
          <w:ilvl w:val="0"/>
          <w:numId w:val="4"/>
        </w:numPr>
        <w:spacing w:after="90" w:line="268"/>
      </w:pPr>
      <w:r>
        <w:rPr>
          <w:rFonts w:ascii="Calibri" w:cs="Calibri" w:eastAsia="Calibri" w:hAnsi="Calibri"/>
          <w:color w:val="20264A"/>
          <w:sz w:val="21"/>
          <w:szCs w:val="21"/>
        </w:rPr>
        <w:t xml:space="preserve">Note any material deviation in sequence, target system, or command parameters even where the general action matches (e.g., runbook specifies a maintenance-window restart of a specific service, but the session shows a different service was restarted).</w:t>
      </w:r>
    </w:p>
    <w:p>
      <w:pPr>
        <w:spacing w:after="160" w:line="276"/>
      </w:pPr>
      <w:r>
        <w:rPr>
          <w:rFonts w:ascii="Calibri" w:cs="Calibri" w:eastAsia="Calibri" w:hAnsi="Calibri"/>
          <w:b w:val="false"/>
          <w:bCs w:val="false"/>
          <w:i w:val="false"/>
          <w:iCs w:val="false"/>
          <w:color w:val="20264A"/>
          <w:sz w:val="21"/>
          <w:szCs w:val="21"/>
        </w:rPr>
        <w:t xml:space="preserve">Where an AI-assisted comparison tool is used to pre-screen sessions (see the companion architecture proposal), treat its output as a first-pass triage: confirm every "Unauthorized/Extra" and "Missing" flag manually before recording it as a finding.</w:t>
      </w:r>
    </w:p>
    <w:p>
      <w:pPr>
        <w:pStyle w:val="Heading2"/>
        <w:spacing w:after="140" w:before="320"/>
      </w:pPr>
      <w:r>
        <w:rPr>
          <w:rFonts w:ascii="Cambria" w:cs="Cambria" w:eastAsia="Cambria" w:hAnsi="Cambria"/>
          <w:b/>
          <w:bCs/>
          <w:color w:val="1E2761"/>
          <w:sz w:val="24"/>
          <w:szCs w:val="24"/>
        </w:rPr>
        <w:t xml:space="preserve">8.7 Red Flag Indicators</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4675"/>
        <w:gridCol w:w="4675"/>
      </w:tblGrid>
      <w:tr>
        <w:trPr>
          <w:tblHeader/>
        </w:trPr>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Indicator</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Scope</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Actions performed on a system, account, or database outside the runbook or change scope.</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Privilege</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Creation of new privileged accounts, group membership changes, or permission escalation not called for in the runbook.</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Data handling</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Bulk file transfer, database export, or copying of data to removable/external locations.</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Tampering</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Disabling or modifying logging, monitoring, or security agents during the session.</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Timing</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Session activity significantly before the approved change window opens or after it closes.</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Session hygiene</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Credentials or secrets visible in plaintext on screen where avoidable; session left connected and idle for an extended period.</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Behavioral</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Unusually long session duration, or a session pattern that does not match the user’s historical baseline (informed by PTA risk scoring where available).</w:t>
            </w:r>
          </w:p>
        </w:tc>
      </w:tr>
    </w:tbl>
    <w:p>
      <w:pPr>
        <w:pStyle w:val="Heading2"/>
        <w:spacing w:after="140" w:before="320"/>
      </w:pPr>
      <w:r>
        <w:rPr>
          <w:rFonts w:ascii="Cambria" w:cs="Cambria" w:eastAsia="Cambria" w:hAnsi="Cambria"/>
          <w:b/>
          <w:bCs/>
          <w:color w:val="1E2761"/>
          <w:sz w:val="24"/>
          <w:szCs w:val="24"/>
        </w:rPr>
        <w:t xml:space="preserve">8.8 Record the Outcome</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2000"/>
        <w:gridCol w:w="4200"/>
        <w:gridCol w:w="3150"/>
      </w:tblGrid>
      <w:tr>
        <w:trPr>
          <w:tblHeader/>
        </w:trPr>
        <w:tc>
          <w:tcPr>
            <w:tcW w:type="dxa" w:w="20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Outcome</w:t>
            </w:r>
          </w:p>
        </w:tc>
        <w:tc>
          <w:tcPr>
            <w:tcW w:type="dxa" w:w="42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c>
          <w:tcPr>
            <w:tcW w:type="dxa" w:w="31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Action</w:t>
            </w:r>
          </w:p>
        </w:tc>
      </w:tr>
      <w:tr>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Pass</w:t>
            </w:r>
          </w:p>
        </w:tc>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All observed activity matches the runbook / is within authorized scope.</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Record reviewer name, date, and evidence reference; close review.</w:t>
            </w:r>
          </w:p>
        </w:tc>
      </w:tr>
      <w:tr>
        <w:tc>
          <w:tcPr>
            <w:tcW w:type="dxa" w:w="20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Minor exception</w:t>
            </w:r>
          </w:p>
        </w:tc>
        <w:tc>
          <w:tcPr>
            <w:tcW w:type="dxa" w:w="42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Immaterial deviation (e.g., timing, sequence) with no security impact.</w:t>
            </w:r>
          </w:p>
        </w:tc>
        <w:tc>
          <w:tcPr>
            <w:tcW w:type="dxa" w:w="31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Document and note in the exception log; no escalation required.</w:t>
            </w:r>
          </w:p>
        </w:tc>
      </w:tr>
      <w:tr>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Flag for escalation</w:t>
            </w:r>
          </w:p>
        </w:tc>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Unauthorized or unexplained activity, or a red flag indicator observed.</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Escalate immediately per Section 9; preserve evidence.</w:t>
            </w:r>
          </w:p>
        </w:tc>
      </w:tr>
    </w:tbl>
    <w:p>
      <w:r>
        <w:br w:type="page"/>
      </w:r>
    </w:p>
    <w:p>
      <w:pPr>
        <w:pStyle w:val="Heading1"/>
        <w:spacing w:after="200" w:before="480"/>
      </w:pPr>
      <w:r>
        <w:rPr>
          <w:rFonts w:ascii="Cambria" w:cs="Cambria" w:eastAsia="Cambria" w:hAnsi="Cambria"/>
          <w:b/>
          <w:bCs/>
          <w:color w:val="1E2761"/>
          <w:sz w:val="30"/>
          <w:szCs w:val="30"/>
        </w:rPr>
        <w:t xml:space="preserve">9. Escalation &amp; Incident Handling</w:t>
      </w:r>
    </w:p>
    <w:p>
      <w:pPr>
        <w:spacing w:after="120" w:line="276"/>
      </w:pPr>
      <w:r>
        <w:rPr>
          <w:rFonts w:ascii="Calibri" w:cs="Calibri" w:eastAsia="Calibri" w:hAnsi="Calibri"/>
          <w:b/>
          <w:bCs/>
          <w:color w:val="1E2761"/>
          <w:sz w:val="21"/>
          <w:szCs w:val="21"/>
        </w:rPr>
        <w:t xml:space="preserve">Step 1.  </w:t>
      </w:r>
      <w:r>
        <w:rPr>
          <w:rFonts w:ascii="Calibri" w:cs="Calibri" w:eastAsia="Calibri" w:hAnsi="Calibri"/>
          <w:color w:val="20264A"/>
          <w:sz w:val="21"/>
          <w:szCs w:val="21"/>
        </w:rPr>
        <w:t xml:space="preserve">Any session or entitlement finding classified as "Flag for escalation" must be reported to the Security Analyst / SOC and the relevant Safe Owner within 4 business hours of identification.</w:t>
      </w:r>
    </w:p>
    <w:p>
      <w:pPr>
        <w:spacing w:after="120" w:line="276"/>
      </w:pPr>
      <w:r>
        <w:rPr>
          <w:rFonts w:ascii="Calibri" w:cs="Calibri" w:eastAsia="Calibri" w:hAnsi="Calibri"/>
          <w:b/>
          <w:bCs/>
          <w:color w:val="1E2761"/>
          <w:sz w:val="21"/>
          <w:szCs w:val="21"/>
        </w:rPr>
        <w:t xml:space="preserve">Step 2.  </w:t>
      </w:r>
      <w:r>
        <w:rPr>
          <w:rFonts w:ascii="Calibri" w:cs="Calibri" w:eastAsia="Calibri" w:hAnsi="Calibri"/>
          <w:color w:val="20264A"/>
          <w:sz w:val="21"/>
          <w:szCs w:val="21"/>
        </w:rPr>
        <w:t xml:space="preserve">Preserve the original recording, metadata, and the reviewer’s timestamped action list as evidence; do not rely on summaries alone once an escalation is opened.</w:t>
      </w:r>
    </w:p>
    <w:p>
      <w:pPr>
        <w:spacing w:after="120" w:line="276"/>
      </w:pPr>
      <w:r>
        <w:rPr>
          <w:rFonts w:ascii="Calibri" w:cs="Calibri" w:eastAsia="Calibri" w:hAnsi="Calibri"/>
          <w:b/>
          <w:bCs/>
          <w:color w:val="1E2761"/>
          <w:sz w:val="21"/>
          <w:szCs w:val="21"/>
        </w:rPr>
        <w:t xml:space="preserve">Step 3.  </w:t>
      </w:r>
      <w:r>
        <w:rPr>
          <w:rFonts w:ascii="Calibri" w:cs="Calibri" w:eastAsia="Calibri" w:hAnsi="Calibri"/>
          <w:color w:val="20264A"/>
          <w:sz w:val="21"/>
          <w:szCs w:val="21"/>
        </w:rPr>
        <w:t xml:space="preserve">The Security Analyst confirms whether the finding constitutes a security incident. If so, hand off to the Incident Response process; if not, document as a closed exception with rationale.</w:t>
      </w:r>
    </w:p>
    <w:p>
      <w:pPr>
        <w:spacing w:after="120" w:line="276"/>
      </w:pPr>
      <w:r>
        <w:rPr>
          <w:rFonts w:ascii="Calibri" w:cs="Calibri" w:eastAsia="Calibri" w:hAnsi="Calibri"/>
          <w:b/>
          <w:bCs/>
          <w:color w:val="1E2761"/>
          <w:sz w:val="21"/>
          <w:szCs w:val="21"/>
        </w:rPr>
        <w:t xml:space="preserve">Step 4.  </w:t>
      </w:r>
      <w:r>
        <w:rPr>
          <w:rFonts w:ascii="Calibri" w:cs="Calibri" w:eastAsia="Calibri" w:hAnsi="Calibri"/>
          <w:color w:val="20264A"/>
          <w:sz w:val="21"/>
          <w:szCs w:val="21"/>
        </w:rPr>
        <w:t xml:space="preserve">Where a live or ongoing session is identified as suspicious during review, use PVWA’s live session monitoring capability to shadow, suspend, or terminate the session in real time rather than waiting for the recording review cycle.</w:t>
      </w:r>
    </w:p>
    <w:p>
      <w:pPr>
        <w:spacing w:after="120" w:line="276"/>
      </w:pPr>
      <w:r>
        <w:rPr>
          <w:rFonts w:ascii="Calibri" w:cs="Calibri" w:eastAsia="Calibri" w:hAnsi="Calibri"/>
          <w:b/>
          <w:bCs/>
          <w:color w:val="1E2761"/>
          <w:sz w:val="21"/>
          <w:szCs w:val="21"/>
        </w:rPr>
        <w:t xml:space="preserve">Step 5.  </w:t>
      </w:r>
      <w:r>
        <w:rPr>
          <w:rFonts w:ascii="Calibri" w:cs="Calibri" w:eastAsia="Calibri" w:hAnsi="Calibri"/>
          <w:color w:val="20264A"/>
          <w:sz w:val="21"/>
          <w:szCs w:val="21"/>
        </w:rPr>
        <w:t xml:space="preserve">All escalations and their resolutions are logged in the Escalation Register and reported in the periodic metrics summary (Section 11).</w:t>
      </w:r>
    </w:p>
    <w:p>
      <w:pPr>
        <w:pStyle w:val="Heading1"/>
        <w:spacing w:after="200" w:before="480"/>
      </w:pPr>
      <w:r>
        <w:rPr>
          <w:rFonts w:ascii="Cambria" w:cs="Cambria" w:eastAsia="Cambria" w:hAnsi="Cambria"/>
          <w:b/>
          <w:bCs/>
          <w:color w:val="1E2761"/>
          <w:sz w:val="30"/>
          <w:szCs w:val="30"/>
        </w:rPr>
        <w:t xml:space="preserve">10. Documentation &amp; Evidence Requirements</w:t>
      </w:r>
    </w:p>
    <w:p>
      <w:pPr>
        <w:spacing w:after="160" w:line="276"/>
      </w:pPr>
      <w:r>
        <w:rPr>
          <w:rFonts w:ascii="Calibri" w:cs="Calibri" w:eastAsia="Calibri" w:hAnsi="Calibri"/>
          <w:b w:val="false"/>
          <w:bCs w:val="false"/>
          <w:i w:val="false"/>
          <w:iCs w:val="false"/>
          <w:color w:val="20264A"/>
          <w:sz w:val="21"/>
          <w:szCs w:val="21"/>
        </w:rPr>
        <w:t xml:space="preserve">Every review — entitlement or session — must produce auditable evidence sufficient for an independent third party to reconstruct the review decision. At minimum, retain:</w:t>
      </w:r>
    </w:p>
    <w:p>
      <w:pPr>
        <w:pStyle w:val="ListParagraph"/>
        <w:numPr>
          <w:ilvl w:val="0"/>
          <w:numId w:val="2"/>
        </w:numPr>
        <w:spacing w:after="90" w:line="268"/>
      </w:pPr>
      <w:r>
        <w:rPr>
          <w:rFonts w:ascii="Calibri" w:cs="Calibri" w:eastAsia="Calibri" w:hAnsi="Calibri"/>
          <w:color w:val="20264A"/>
          <w:sz w:val="21"/>
          <w:szCs w:val="21"/>
        </w:rPr>
        <w:t xml:space="preserve">Reviewer identity and date of review.</w:t>
      </w:r>
    </w:p>
    <w:p>
      <w:pPr>
        <w:pStyle w:val="ListParagraph"/>
        <w:numPr>
          <w:ilvl w:val="0"/>
          <w:numId w:val="2"/>
        </w:numPr>
        <w:spacing w:after="90" w:line="268"/>
      </w:pPr>
      <w:r>
        <w:rPr>
          <w:rFonts w:ascii="Calibri" w:cs="Calibri" w:eastAsia="Calibri" w:hAnsi="Calibri"/>
          <w:color w:val="20264A"/>
          <w:sz w:val="21"/>
          <w:szCs w:val="21"/>
        </w:rPr>
        <w:t xml:space="preserve">Scope and population reviewed (report exports, session ID lists).</w:t>
      </w:r>
    </w:p>
    <w:p>
      <w:pPr>
        <w:pStyle w:val="ListParagraph"/>
        <w:numPr>
          <w:ilvl w:val="0"/>
          <w:numId w:val="2"/>
        </w:numPr>
        <w:spacing w:after="90" w:line="268"/>
      </w:pPr>
      <w:r>
        <w:rPr>
          <w:rFonts w:ascii="Calibri" w:cs="Calibri" w:eastAsia="Calibri" w:hAnsi="Calibri"/>
          <w:color w:val="20264A"/>
          <w:sz w:val="21"/>
          <w:szCs w:val="21"/>
        </w:rPr>
        <w:t xml:space="preserve">For session reviews: the session ID, linked change/task number, and the timestamped action comparison.</w:t>
      </w:r>
    </w:p>
    <w:p>
      <w:pPr>
        <w:pStyle w:val="ListParagraph"/>
        <w:numPr>
          <w:ilvl w:val="0"/>
          <w:numId w:val="2"/>
        </w:numPr>
        <w:spacing w:after="90" w:line="268"/>
      </w:pPr>
      <w:r>
        <w:rPr>
          <w:rFonts w:ascii="Calibri" w:cs="Calibri" w:eastAsia="Calibri" w:hAnsi="Calibri"/>
          <w:color w:val="20264A"/>
          <w:sz w:val="21"/>
          <w:szCs w:val="21"/>
        </w:rPr>
        <w:t xml:space="preserve">The outcome and justification for every certify / revoke / flag decision.</w:t>
      </w:r>
    </w:p>
    <w:p>
      <w:pPr>
        <w:pStyle w:val="ListParagraph"/>
        <w:numPr>
          <w:ilvl w:val="0"/>
          <w:numId w:val="2"/>
        </w:numPr>
        <w:spacing w:after="90" w:line="268"/>
      </w:pPr>
      <w:r>
        <w:rPr>
          <w:rFonts w:ascii="Calibri" w:cs="Calibri" w:eastAsia="Calibri" w:hAnsi="Calibri"/>
          <w:color w:val="20264A"/>
          <w:sz w:val="21"/>
          <w:szCs w:val="21"/>
        </w:rPr>
        <w:t xml:space="preserve">Evidence of remediation for any revoke or escalation outcome (e.g., confirmation the Safe membership was removed).</w:t>
      </w:r>
    </w:p>
    <w:p>
      <w:pPr>
        <w:pStyle w:val="Heading1"/>
        <w:spacing w:after="200" w:before="480"/>
      </w:pPr>
      <w:r>
        <w:rPr>
          <w:rFonts w:ascii="Cambria" w:cs="Cambria" w:eastAsia="Cambria" w:hAnsi="Cambria"/>
          <w:b/>
          <w:bCs/>
          <w:color w:val="1E2761"/>
          <w:sz w:val="30"/>
          <w:szCs w:val="30"/>
        </w:rPr>
        <w:t xml:space="preserve">11. Quality Assurance &amp; Reporting</w:t>
      </w:r>
    </w:p>
    <w:p>
      <w:pPr>
        <w:spacing w:after="160" w:line="276"/>
      </w:pPr>
      <w:r>
        <w:rPr>
          <w:rFonts w:ascii="Calibri" w:cs="Calibri" w:eastAsia="Calibri" w:hAnsi="Calibri"/>
          <w:b w:val="false"/>
          <w:bCs w:val="false"/>
          <w:i w:val="false"/>
          <w:iCs w:val="false"/>
          <w:color w:val="20264A"/>
          <w:sz w:val="21"/>
          <w:szCs w:val="21"/>
        </w:rPr>
        <w:t xml:space="preserve">Internal Audit or a designated second-line function independently samples completed reviews each quarter to confirm review quality and consistency. Sampling should target a mix of routine "Pass" outcomes and all "Flag for escalation" outcomes.</w:t>
      </w:r>
    </w:p>
    <w:p>
      <w:pPr>
        <w:spacing w:after="160" w:line="276"/>
      </w:pPr>
      <w:r>
        <w:rPr>
          <w:rFonts w:ascii="Calibri" w:cs="Calibri" w:eastAsia="Calibri" w:hAnsi="Calibri"/>
          <w:b w:val="false"/>
          <w:bCs w:val="false"/>
          <w:i w:val="false"/>
          <w:iCs w:val="false"/>
          <w:color w:val="20264A"/>
          <w:sz w:val="21"/>
          <w:szCs w:val="21"/>
        </w:rPr>
        <w:t xml:space="preserve">A summary report is produced each cycle covering: population reviewed, certify/modify/revoke counts, session reviews completed against target sample size, findings raised, and average time-to-escalation.</w:t>
      </w:r>
    </w:p>
    <w:p>
      <w:pPr>
        <w:pStyle w:val="Heading1"/>
        <w:spacing w:after="200" w:before="480"/>
      </w:pPr>
      <w:r>
        <w:rPr>
          <w:rFonts w:ascii="Cambria" w:cs="Cambria" w:eastAsia="Cambria" w:hAnsi="Cambria"/>
          <w:b/>
          <w:bCs/>
          <w:color w:val="1E2761"/>
          <w:sz w:val="30"/>
          <w:szCs w:val="30"/>
        </w:rPr>
        <w:t xml:space="preserve">12. Records Retention</w:t>
      </w:r>
    </w:p>
    <w:p>
      <w:pPr>
        <w:spacing w:after="160" w:line="276"/>
      </w:pPr>
      <w:r>
        <w:rPr>
          <w:rFonts w:ascii="Calibri" w:cs="Calibri" w:eastAsia="Calibri" w:hAnsi="Calibri"/>
          <w:b w:val="false"/>
          <w:bCs w:val="false"/>
          <w:i w:val="false"/>
          <w:iCs w:val="false"/>
          <w:color w:val="20264A"/>
          <w:sz w:val="21"/>
          <w:szCs w:val="21"/>
        </w:rPr>
        <w:t xml:space="preserve">Review evidence, session recordings, and associated logs are retained in accordance with the organization’s records retention policy and applicable regulatory requirements. Where no longer requirement applies, the CyberArk default Safe retention period governs automatic deletion of recordings and reports; any evidence needed beyond that period must be exported and archived separately before expiry.</w:t>
      </w:r>
    </w:p>
    <w:p>
      <w:pPr>
        <w:pStyle w:val="Heading1"/>
        <w:spacing w:after="200" w:before="480"/>
      </w:pPr>
      <w:r>
        <w:rPr>
          <w:rFonts w:ascii="Cambria" w:cs="Cambria" w:eastAsia="Cambria" w:hAnsi="Cambria"/>
          <w:b/>
          <w:bCs/>
          <w:color w:val="1E2761"/>
          <w:sz w:val="30"/>
          <w:szCs w:val="30"/>
        </w:rPr>
        <w:t xml:space="preserve">13. Non-Compliance &amp; Remediation</w:t>
      </w:r>
    </w:p>
    <w:p>
      <w:pPr>
        <w:spacing w:after="160" w:line="276"/>
      </w:pPr>
      <w:r>
        <w:rPr>
          <w:rFonts w:ascii="Calibri" w:cs="Calibri" w:eastAsia="Calibri" w:hAnsi="Calibri"/>
          <w:b w:val="false"/>
          <w:bCs w:val="false"/>
          <w:i w:val="false"/>
          <w:iCs w:val="false"/>
          <w:color w:val="20264A"/>
          <w:sz w:val="21"/>
          <w:szCs w:val="21"/>
        </w:rPr>
        <w:t xml:space="preserve">Failure to complete a scheduled review within its required frequency (Section 5) is itself a control gap and must be logged and reported to the PAM Administrator and Compliance function. Repeated missed reviews for a given Safe Owner or reviewer should trigger a management escalation and, where appropriate, temporary reassignment of certification responsibility.</w:t>
      </w:r>
    </w:p>
    <w:p>
      <w:r>
        <w:br w:type="page"/>
      </w:r>
    </w:p>
    <w:p>
      <w:pPr>
        <w:pStyle w:val="Heading1"/>
        <w:spacing w:after="200" w:before="480"/>
      </w:pPr>
      <w:r>
        <w:rPr>
          <w:rFonts w:ascii="Cambria" w:cs="Cambria" w:eastAsia="Cambria" w:hAnsi="Cambria"/>
          <w:b/>
          <w:bCs/>
          <w:color w:val="1E2761"/>
          <w:sz w:val="30"/>
          <w:szCs w:val="30"/>
        </w:rPr>
        <w:t xml:space="preserve">Appendix A — Entitlement Review Checklist</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500"/>
        <w:gridCol w:w="8850"/>
      </w:tblGrid>
      <w:tr>
        <w:trPr>
          <w:tblHeader/>
        </w:trPr>
        <w:tc>
          <w:tcPr>
            <w:tcW w:type="dxa" w:w="5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88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Checklist Item</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Privileged Accounts report generated for in-scope Safes</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Safe Members / Entitlement report generated for in-scope Safes</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Member list cross-checked against current HR/directory status</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Each Safe has a confirmed, active Safe Owner</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RetrieveAccounts permission reviewed and restricted to named individuals only</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Dual-control / OTP settings confirmed on Master Policy for sensitive accounts</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Orphaned or shared accounts identified and flagged</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Certify / Modify / Revoke / Escalate recorded for every member</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Revocations confirmed as executed within 5 business days</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Evidence log completed and filed per Section 10</w:t>
            </w:r>
          </w:p>
        </w:tc>
      </w:tr>
    </w:tbl>
    <w:p>
      <w:pPr>
        <w:pStyle w:val="Heading1"/>
        <w:spacing w:after="200" w:before="480"/>
      </w:pPr>
      <w:r>
        <w:rPr>
          <w:rFonts w:ascii="Cambria" w:cs="Cambria" w:eastAsia="Cambria" w:hAnsi="Cambria"/>
          <w:b/>
          <w:bCs/>
          <w:color w:val="1E2761"/>
          <w:sz w:val="30"/>
          <w:szCs w:val="30"/>
        </w:rPr>
        <w:t xml:space="preserve">Appendix B — PSM Session Recording Review Checklist</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500"/>
        <w:gridCol w:w="8850"/>
      </w:tblGrid>
      <w:tr>
        <w:trPr>
          <w:tblHeader/>
        </w:trPr>
        <w:tc>
          <w:tcPr>
            <w:tcW w:type="dxa" w:w="5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88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Checklist Item</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Review scope selected using risk-based prioritization (Section 8.1)</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Session located via PVWA or REST API and metadata reviewed first</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Linked ServiceNow change/task and runbook retrieved (if applicable)</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Full recording (video or text log) reviewed, not just sampled clips</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Timestamped action list built from the recording</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Action list compared against runbook steps: matched / missing / unauthorized</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Red flag indicators checked (Section 8.7)</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Outcome recorded: Pass / Minor exception / Flag for escalation</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Evidence preserved for any flagged session</w:t>
            </w:r>
          </w:p>
        </w:tc>
      </w:tr>
      <w:tr>
        <w:tc>
          <w:tcPr>
            <w:tcW w:type="dxa" w:w="50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w:t>
            </w:r>
          </w:p>
        </w:tc>
        <w:tc>
          <w:tcPr>
            <w:tcW w:type="dxa" w:w="8850"/>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Escalation raised within 4 business hours where required</w:t>
            </w:r>
          </w:p>
        </w:tc>
      </w:tr>
    </w:tbl>
    <w:p>
      <w:pPr>
        <w:pStyle w:val="Heading1"/>
        <w:spacing w:after="200" w:before="480"/>
      </w:pPr>
      <w:r>
        <w:rPr>
          <w:rFonts w:ascii="Cambria" w:cs="Cambria" w:eastAsia="Cambria" w:hAnsi="Cambria"/>
          <w:b/>
          <w:bCs/>
          <w:color w:val="1E2761"/>
          <w:sz w:val="30"/>
          <w:szCs w:val="30"/>
        </w:rPr>
        <w:t xml:space="preserve">Appendix C — Red Flag Quick Reference</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4675"/>
        <w:gridCol w:w="4675"/>
      </w:tblGrid>
      <w:tr>
        <w:trPr>
          <w:tblHeader/>
        </w:trPr>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4675"/>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Indicator</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Scope</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Activity outside the approved system, account, or change window.</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Privilege</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Unplanned privileged account or group creation/modification.</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Data handling</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Bulk export, transfer, or copy of data to external locations.</w:t>
            </w:r>
          </w:p>
        </w:tc>
      </w:tr>
      <w:tr>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Tampering</w:t>
            </w:r>
          </w:p>
        </w:tc>
        <w:tc>
          <w:tcPr>
            <w:tcW w:type="dxa" w:w="4675"/>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Logging, monitoring, or security agents disabled or altered.</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Behavioral</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Duration or pattern inconsistent with the user’s historical baseline.</w:t>
            </w:r>
          </w:p>
        </w:tc>
      </w:tr>
    </w:tbl>
    <w:p>
      <w:pPr>
        <w:pStyle w:val="Heading1"/>
        <w:spacing w:after="200" w:before="480"/>
      </w:pPr>
      <w:r>
        <w:rPr>
          <w:rFonts w:ascii="Cambria" w:cs="Cambria" w:eastAsia="Cambria" w:hAnsi="Cambria"/>
          <w:b/>
          <w:bCs/>
          <w:color w:val="1E2761"/>
          <w:sz w:val="30"/>
          <w:szCs w:val="30"/>
        </w:rPr>
        <w:t xml:space="preserve">Appendix D — Escalation Contact Matrix (Template)</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3116"/>
        <w:gridCol w:w="3116"/>
        <w:gridCol w:w="3116"/>
      </w:tblGrid>
      <w:tr>
        <w:trPr>
          <w:tblHeader/>
        </w:trPr>
        <w:tc>
          <w:tcPr>
            <w:tcW w:type="dxa" w:w="3116"/>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3116"/>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Name</w:t>
            </w:r>
          </w:p>
        </w:tc>
        <w:tc>
          <w:tcPr>
            <w:tcW w:type="dxa" w:w="3116"/>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Contact</w:t>
            </w:r>
          </w:p>
        </w:tc>
      </w:tr>
      <w:tr>
        <w:tc>
          <w:tcPr>
            <w:tcW w:type="dxa" w:w="3116"/>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PAM Administrator</w:t>
            </w:r>
          </w:p>
        </w:tc>
        <w:tc>
          <w:tcPr>
            <w:tcW w:type="dxa" w:w="3116"/>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c>
          <w:tcPr>
            <w:tcW w:type="dxa" w:w="3116"/>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r>
      <w:tr>
        <w:tc>
          <w:tcPr>
            <w:tcW w:type="dxa" w:w="3116"/>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Security Analyst / SOC Lead</w:t>
            </w:r>
          </w:p>
        </w:tc>
        <w:tc>
          <w:tcPr>
            <w:tcW w:type="dxa" w:w="3116"/>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c>
          <w:tcPr>
            <w:tcW w:type="dxa" w:w="3116"/>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r>
      <w:tr>
        <w:tc>
          <w:tcPr>
            <w:tcW w:type="dxa" w:w="3116"/>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Change Manager</w:t>
            </w:r>
          </w:p>
        </w:tc>
        <w:tc>
          <w:tcPr>
            <w:tcW w:type="dxa" w:w="3116"/>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c>
          <w:tcPr>
            <w:tcW w:type="dxa" w:w="3116"/>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r>
      <w:tr>
        <w:tc>
          <w:tcPr>
            <w:tcW w:type="dxa" w:w="3116"/>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Compliance / Internal Audit</w:t>
            </w:r>
          </w:p>
        </w:tc>
        <w:tc>
          <w:tcPr>
            <w:tcW w:type="dxa" w:w="3116"/>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c>
          <w:tcPr>
            <w:tcW w:type="dxa" w:w="3116"/>
            <w:shd w:fill="EEF1F8"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w:t>
            </w:r>
          </w:p>
        </w:tc>
      </w:tr>
    </w:tbl>
    <w:p>
      <w:pPr>
        <w:pStyle w:val="Heading1"/>
        <w:spacing w:after="200" w:before="480"/>
      </w:pPr>
      <w:r>
        <w:rPr>
          <w:rFonts w:ascii="Cambria" w:cs="Cambria" w:eastAsia="Cambria" w:hAnsi="Cambria"/>
          <w:b/>
          <w:bCs/>
          <w:color w:val="1E2761"/>
          <w:sz w:val="30"/>
          <w:szCs w:val="30"/>
        </w:rPr>
        <w:t xml:space="preserve">Appendix E — Revision History</w:t>
      </w:r>
    </w:p>
    <w:tbl>
      <w:tblPr>
        <w:tblW w:type="dxa" w:w="9350"/>
        <w:tblBorders>
          <w:top w:val="single" w:color="C7CCE0" w:sz="2"/>
          <w:left w:val="single" w:color="C7CCE0" w:sz="2"/>
          <w:bottom w:val="single" w:color="C7CCE0" w:sz="2"/>
          <w:right w:val="single" w:color="C7CCE0" w:sz="2"/>
          <w:insideH w:val="single" w:color="C7CCE0" w:sz="2"/>
          <w:insideV w:val="single" w:color="C7CCE0" w:sz="2"/>
        </w:tblBorders>
      </w:tblPr>
      <w:tblGrid>
        <w:gridCol w:w="1200"/>
        <w:gridCol w:w="1800"/>
        <w:gridCol w:w="2400"/>
        <w:gridCol w:w="3950"/>
      </w:tblGrid>
      <w:tr>
        <w:trPr>
          <w:tblHeader/>
        </w:trPr>
        <w:tc>
          <w:tcPr>
            <w:tcW w:type="dxa" w:w="12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Version</w:t>
            </w:r>
          </w:p>
        </w:tc>
        <w:tc>
          <w:tcPr>
            <w:tcW w:type="dxa" w:w="18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Date</w:t>
            </w:r>
          </w:p>
        </w:tc>
        <w:tc>
          <w:tcPr>
            <w:tcW w:type="dxa" w:w="240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Author</w:t>
            </w:r>
          </w:p>
        </w:tc>
        <w:tc>
          <w:tcPr>
            <w:tcW w:type="dxa" w:w="3950"/>
            <w:shd w:fill="1E276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Summary of Changes</w:t>
            </w:r>
          </w:p>
        </w:tc>
      </w:tr>
      <w:tr>
        <w:tc>
          <w:tcPr>
            <w:tcW w:type="dxa" w:w="12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1.0</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 Date]</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[Insert Name]</w:t>
            </w:r>
          </w:p>
        </w:tc>
        <w:tc>
          <w:tcPr>
            <w:tcW w:type="dxa" w:w="3950"/>
            <w:shd w:fill="FFFFFF" w:val="clear"/>
            <w:tcMar>
              <w:top w:type="dxa" w:w="90"/>
              <w:left w:type="dxa" w:w="120"/>
              <w:bottom w:type="dxa" w:w="90"/>
              <w:right w:type="dxa" w:w="120"/>
            </w:tcMar>
            <w:vAlign w:val="center"/>
          </w:tcPr>
          <w:p>
            <w:pPr>
              <w:spacing w:line="260"/>
            </w:pPr>
            <w:r>
              <w:rPr>
                <w:rFonts w:ascii="Calibri" w:cs="Calibri" w:eastAsia="Calibri" w:hAnsi="Calibri"/>
                <w:color w:val="20264A"/>
                <w:sz w:val="19"/>
                <w:szCs w:val="19"/>
              </w:rPr>
              <w:t xml:space="preserve">Initial issue.</w:t>
            </w:r>
          </w:p>
        </w:tc>
      </w:tr>
    </w:tbl>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84"/>
        <w:sz w:val="16"/>
        <w:szCs w:val="16"/>
      </w:rPr>
      <w:t xml:space="preserve">Page </w:t>
    </w:r>
    <w:r>
      <w:rPr>
        <w:rFonts w:ascii="Calibri" w:cs="Calibri" w:eastAsia="Calibri" w:hAnsi="Calibri"/>
        <w:color w:val="5B6484"/>
        <w:sz w:val="16"/>
        <w:szCs w:val="16"/>
      </w:rPr>
      <w:fldChar w:fldCharType="begin"/>
      <w:instrText xml:space="preserve">PAGE</w:instrText>
      <w:fldChar w:fldCharType="separate"/>
      <w:fldChar w:fldCharType="end"/>
    </w:r>
    <w:r>
      <w:rPr>
        <w:rFonts w:ascii="Calibri" w:cs="Calibri" w:eastAsia="Calibri" w:hAnsi="Calibri"/>
        <w:color w:val="5B6484"/>
        <w:sz w:val="16"/>
        <w:szCs w:val="16"/>
      </w:rPr>
      <w:t xml:space="preserve"> of </w:t>
    </w:r>
    <w:r>
      <w:rPr>
        <w:rFonts w:ascii="Calibri" w:cs="Calibri" w:eastAsia="Calibri" w:hAnsi="Calibri"/>
        <w:color w:val="5B648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E0" w:sz="4" w:space="4"/>
      </w:pBdr>
      <w:jc w:val="right"/>
    </w:pPr>
    <w:r>
      <w:rPr>
        <w:rFonts w:ascii="Calibri" w:cs="Calibri" w:eastAsia="Calibri" w:hAnsi="Calibri"/>
        <w:color w:val="5B6484"/>
        <w:sz w:val="16"/>
        <w:szCs w:val="16"/>
      </w:rPr>
      <w:t xml:space="preserve">CyberArk Privileged Access &amp; PSM Session Review — Procedure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1E2761"/>
      <w:sz w:val="30"/>
      <w:szCs w:val="30"/>
    </w:rPr>
  </w:style>
  <w:style w:type="paragraph" w:styleId="Heading2">
    <w:name w:val="Heading 2"/>
    <w:basedOn w:val="Normal"/>
    <w:next w:val="Normal"/>
    <w:qFormat/>
    <w:pPr>
      <w:spacing w:after="140" w:before="300"/>
      <w:outlineLvl w:val="1"/>
    </w:pPr>
    <w:rPr>
      <w:rFonts w:ascii="Cambria" w:cs="Cambria" w:eastAsia="Cambria" w:hAnsi="Cambria"/>
      <w:b/>
      <w:bCs/>
      <w:color w:val="1E2761"/>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026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CyberArk Privileged Access &amp; PSM Session Recording Review — Procedure Manual</dc:title>
  <dc:creator>PAM / IAM Team</dc:creator>
  <cp:lastModifiedBy>Un-named</cp:lastModifiedBy>
  <cp:revision>1</cp:revision>
  <dcterms:created xsi:type="dcterms:W3CDTF">2026-08-11T08:11:47.126Z</dcterms:created>
  <dcterms:modified xsi:type="dcterms:W3CDTF">2026-08-11T08:11:47.126Z</dcterms:modified>
</cp:coreProperties>
</file>

<file path=docProps/custom.xml><?xml version="1.0" encoding="utf-8"?>
<Properties xmlns="http://schemas.openxmlformats.org/officeDocument/2006/custom-properties" xmlns:vt="http://schemas.openxmlformats.org/officeDocument/2006/docPropsVTypes"/>
</file>