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source serif 4" w:cs="source serif 4" w:ascii="source serif 4" w:hAnsi="source serif 4"/>
          <w:color w:val="000000"/>
        </w:rPr>
        <w:drawing>
          <wp:inline distB="0" distL="0" distR="0" distT="0">
            <wp:extent cx="2420112" cy="609600"/>
            <wp:effectExtent b="0" l="0" r="0" t="0"/>
            <wp:docPr id="1" name="image-4bc5c993ab1b2265a37c5c30c59f703b9a875e64.png"/>
            <a:graphic>
              <a:graphicData uri="http://schemas.openxmlformats.org/drawingml/2006/picture">
                <pic:pic>
                  <pic:nvPicPr>
                    <pic:cNvPr id="1" name="image-4bc5c993ab1b2265a37c5c30c59f703b9a875e64.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want_to_explore_use_of_agentic_ai_bd0955"/>
      <w:r>
        <w:rPr>
          <w:rFonts w:eastAsia="source serif 4" w:cs="source serif 4" w:ascii="source serif 4" w:hAnsi="source serif 4"/>
          <w:b/>
          <w:color w:val="000000"/>
          <w:sz w:val="39"/>
        </w:rPr>
        <w:t xml:space="preserve">want to explore use of agentic AI for solving, optimizing, reducing cost for IT operations</w:t>
      </w:r>
      <w:bookmarkEnd w:id="0"/>
    </w:p>
    <w:p>
      <w:pPr>
        <w:spacing w:line="360" w:after="210" w:lineRule="auto"/>
      </w:pPr>
      <w:r>
        <w:rPr>
          <w:rFonts w:eastAsia="source serif 4" w:cs="source serif 4" w:ascii="source serif 4" w:hAnsi="source serif 4"/>
          <w:color w:val="000000"/>
        </w:rPr>
        <w:t xml:space="preserve">It functions we have services, desktop support, access control, windows, linux , sql, oracle database support. network operations, application support.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what are the best solutions out there for each track to assist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ease of integration with existing systems and process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existing tools used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SolarWinds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Oracle OEM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Splunk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IBM Instana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ServiceNow</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CyberArk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Database Access Monitoring</w:t>
      </w:r>
    </w:p>
    <w:p>
      <w:pPr>
        <w:spacing w:line="360" w:after="210" w:lineRule="auto"/>
      </w:pPr>
      <w:r>
        <w:rPr>
          <w:rFonts w:eastAsia="source serif 4" w:cs="source serif 4" w:ascii="source serif 4" w:hAnsi="source serif 4"/>
          <w:color w:val="000000"/>
        </w:rPr>
        <w:t xml:space="preserve">You’ll get the biggest value by using agentic AI as a “context broker” sitting between your existing observability stack (SolarWinds, Instana, Splunk, OEM) and ServiceNow, then layering specialized agents for service desk, network, and access control. The most pragmatic starting point for reducing MTTR/noise in a MAS‑regulated hybrid estate is a combined ServiceNow Now Assist + LogicMonitor Edwin AI pilot, with SolarWinds’ new AI agent used tactically on the network side.</w:t>
      </w:r>
      <w:bookmarkStart w:id="1" w:name="fnref1"/>
      <w:bookmarkEnd w:id="1"/>
      <w:hyperlink w:anchor="fn1">
        <w:r>
          <w:rPr>
            <w:rFonts w:eastAsia="source sans 3" w:cs="source sans 3" w:ascii="source sans 3" w:hAnsi="source sans 3"/>
            <w:color w:val="#000"/>
            <w:u w:val="single"/>
            <w:vertAlign w:val="superscript"/>
          </w:rPr>
          <w:t xml:space="preserve">[1]</w:t>
        </w:r>
      </w:hyperlink>
      <w:bookmarkStart w:id="2" w:name="fnref2"/>
      <w:bookmarkEnd w:id="2"/>
      <w:hyperlink w:anchor="fn2">
        <w:r>
          <w:rPr>
            <w:rFonts w:eastAsia="source sans 3" w:cs="source sans 3" w:ascii="source sans 3" w:hAnsi="source sans 3"/>
            <w:color w:val="#000"/>
            <w:u w:val="single"/>
            <w:vertAlign w:val="superscript"/>
          </w:rPr>
          <w:t xml:space="preserve">[2]</w:t>
        </w:r>
      </w:hyperlink>
      <w:bookmarkStart w:id="3" w:name="fnref3"/>
      <w:bookmarkEnd w:id="3"/>
      <w:hyperlink w:anchor="fn3">
        <w:r>
          <w:rPr>
            <w:rFonts w:eastAsia="source sans 3" w:cs="source sans 3" w:ascii="source sans 3" w:hAnsi="source sans 3"/>
            <w:color w:val="#000"/>
            <w:u w:val="single"/>
            <w:vertAlign w:val="superscript"/>
          </w:rPr>
          <w:t xml:space="preserve">[3]</w:t>
        </w:r>
      </w:hyperlink>
      <w:bookmarkStart w:id="4" w:name="fnref4"/>
      <w:bookmarkEnd w:id="4"/>
      <w:hyperlink w:anchor="fn4">
        <w:r>
          <w:rPr>
            <w:rFonts w:eastAsia="source sans 3" w:cs="source sans 3" w:ascii="source sans 3" w:hAnsi="source sans 3"/>
            <w:color w:val="#000"/>
            <w:u w:val="single"/>
            <w:vertAlign w:val="superscript"/>
          </w:rPr>
          <w:t xml:space="preserve">[4]</w:t>
        </w:r>
      </w:hyperlink>
      <w:bookmarkStart w:id="5" w:name="fnref5"/>
      <w:bookmarkEnd w:id="5"/>
      <w:hyperlink w:anchor="fn5">
        <w:r>
          <w:rPr>
            <w:rFonts w:eastAsia="source sans 3" w:cs="source sans 3" w:ascii="source sans 3" w:hAnsi="source sans 3"/>
            <w:color w:val="#000"/>
            <w:u w:val="single"/>
            <w:vertAlign w:val="superscript"/>
          </w:rPr>
          <w:t xml:space="preserve">[5]</w:t>
        </w:r>
      </w:hyperlink>
      <w:bookmarkStart w:id="6" w:name="fnref6"/>
      <w:bookmarkEnd w:id="6"/>
      <w:hyperlink w:anchor="fn6">
        <w:r>
          <w:rPr>
            <w:rFonts w:eastAsia="source sans 3" w:cs="source sans 3" w:ascii="source sans 3" w:hAnsi="source sans 3"/>
            <w:color w:val="#000"/>
            <w:u w:val="single"/>
            <w:vertAlign w:val="superscript"/>
          </w:rPr>
          <w:t xml:space="preserve">[6]</w:t>
        </w:r>
      </w:hyperlink>
      <w:bookmarkStart w:id="7" w:name="fnref7"/>
      <w:bookmarkEnd w:id="7"/>
      <w:hyperlink w:anchor="fn7">
        <w:r>
          <w:rPr>
            <w:rFonts w:eastAsia="source sans 3" w:cs="source sans 3" w:ascii="source sans 3" w:hAnsi="source sans 3"/>
            <w:color w:val="#000"/>
            <w:u w:val="single"/>
            <w:vertAlign w:val="superscript"/>
          </w:rPr>
          <w:t xml:space="preserve">[7]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guiding_principles"/>
      <w:r>
        <w:rPr>
          <w:rFonts w:eastAsia="source serif 4" w:cs="source serif 4" w:ascii="source serif 4" w:hAnsi="source serif 4"/>
          <w:b/>
          <w:color w:val="000000"/>
          <w:sz w:val="24"/>
        </w:rPr>
        <w:t xml:space="preserve">Guiding principles</w:t>
      </w:r>
      <w:bookmarkEnd w:id="8"/>
    </w:p>
    <w:p>
      <w:pPr>
        <w:numPr>
          <w:ilvl w:val="0"/>
          <w:numId w:val="1"/>
        </w:numPr>
        <w:spacing w:line="360" w:before="105" w:after="105" w:lineRule="auto"/>
      </w:pPr>
      <w:r>
        <w:rPr>
          <w:rFonts w:eastAsia="source serif 4" w:cs="source serif 4" w:ascii="source serif 4" w:hAnsi="source serif 4"/>
          <w:b/>
          <w:color w:val="000000"/>
          <w:sz w:val="21"/>
        </w:rPr>
        <w:t xml:space="preserve">Keep telemetry where it is, add AI at the workflow layer.</w:t>
      </w:r>
      <w:r>
        <w:rPr>
          <w:rFonts w:eastAsia="source serif 4" w:cs="source serif 4" w:ascii="source serif 4" w:hAnsi="source serif 4"/>
          <w:color w:val="000000"/>
          <w:sz w:val="21"/>
        </w:rPr>
        <w:t xml:space="preserve"> Agentic AI tools like Edwin AI and Now Assist are designed to consume metrics, events, logs and topology from multiple monitoring tools, then push enriched context back into incident workflows rather than replace your existing stack.</w:t>
      </w:r>
      <w:bookmarkStart w:id="9" w:name="fnref2_1"/>
      <w:bookmarkEnd w:id="9"/>
      <w:hyperlink w:anchor="fn2">
        <w:r>
          <w:rPr>
            <w:rFonts w:eastAsia="source sans 3" w:cs="source sans 3" w:ascii="source sans 3" w:hAnsi="source sans 3"/>
            <w:color w:val="#000"/>
            <w:sz w:val="21"/>
            <w:u w:val="single"/>
            <w:vertAlign w:val="superscript"/>
          </w:rPr>
          <w:t xml:space="preserve">[2]</w:t>
        </w:r>
      </w:hyperlink>
      <w:bookmarkStart w:id="10" w:name="fnref6_1"/>
      <w:bookmarkEnd w:id="10"/>
      <w:hyperlink w:anchor="fn6">
        <w:r>
          <w:rPr>
            <w:rFonts w:eastAsia="source sans 3" w:cs="source sans 3" w:ascii="source sans 3" w:hAnsi="source sans 3"/>
            <w:color w:val="#000"/>
            <w:sz w:val="21"/>
            <w:u w:val="single"/>
            <w:vertAlign w:val="superscript"/>
          </w:rPr>
          <w:t xml:space="preserve">[6]</w:t>
        </w:r>
      </w:hyperlink>
    </w:p>
    <w:p>
      <w:pPr>
        <w:numPr>
          <w:ilvl w:val="0"/>
          <w:numId w:val="1"/>
        </w:numPr>
        <w:spacing w:line="360" w:before="105" w:after="105" w:lineRule="auto"/>
      </w:pPr>
      <w:r>
        <w:rPr>
          <w:rFonts w:eastAsia="source serif 4" w:cs="source serif 4" w:ascii="source serif 4" w:hAnsi="source serif 4"/>
          <w:b/>
          <w:color w:val="000000"/>
          <w:sz w:val="21"/>
        </w:rPr>
        <w:t xml:space="preserve">Use agents for context + decisioning, not unrestricted automation.</w:t>
      </w:r>
      <w:r>
        <w:rPr>
          <w:rFonts w:eastAsia="source serif 4" w:cs="source serif 4" w:ascii="source serif 4" w:hAnsi="source serif 4"/>
          <w:color w:val="000000"/>
          <w:sz w:val="21"/>
        </w:rPr>
        <w:t xml:space="preserve"> ServiceNow’s Now Assist and Edwin AI integration uses orchestrators and OAuth‑secured APIs so AI agents operate inside governed workflows (Action Fabric) with clear guardrails—important for MAS TRM and PDPA.</w:t>
      </w:r>
      <w:bookmarkStart w:id="11" w:name="fnref3_1"/>
      <w:bookmarkEnd w:id="11"/>
      <w:hyperlink w:anchor="fn3">
        <w:r>
          <w:rPr>
            <w:rFonts w:eastAsia="source sans 3" w:cs="source sans 3" w:ascii="source sans 3" w:hAnsi="source sans 3"/>
            <w:color w:val="#000"/>
            <w:sz w:val="21"/>
            <w:u w:val="single"/>
            <w:vertAlign w:val="superscript"/>
          </w:rPr>
          <w:t xml:space="preserve">[3]</w:t>
        </w:r>
      </w:hyperlink>
      <w:bookmarkStart w:id="12" w:name="fnref6_2"/>
      <w:bookmarkEnd w:id="12"/>
      <w:hyperlink w:anchor="fn6">
        <w:r>
          <w:rPr>
            <w:rFonts w:eastAsia="source sans 3" w:cs="source sans 3" w:ascii="source sans 3" w:hAnsi="source sans 3"/>
            <w:color w:val="#000"/>
            <w:sz w:val="21"/>
            <w:u w:val="single"/>
            <w:vertAlign w:val="superscript"/>
          </w:rPr>
          <w:t xml:space="preserve">[6]</w:t>
        </w:r>
      </w:hyperlink>
    </w:p>
    <w:p>
      <w:pPr>
        <w:numPr>
          <w:ilvl w:val="0"/>
          <w:numId w:val="1"/>
        </w:numPr>
        <w:spacing w:line="360" w:before="105" w:after="105" w:lineRule="auto"/>
      </w:pPr>
      <w:r>
        <w:rPr>
          <w:rFonts w:eastAsia="source serif 4" w:cs="source serif 4" w:ascii="source serif 4" w:hAnsi="source serif 4"/>
          <w:b/>
          <w:color w:val="000000"/>
          <w:sz w:val="21"/>
        </w:rPr>
        <w:t xml:space="preserve">Start narrow (incidents + ServiceNow), then expand per track.</w:t>
      </w:r>
      <w:r>
        <w:rPr>
          <w:rFonts w:eastAsia="source serif 4" w:cs="source serif 4" w:ascii="source serif 4" w:hAnsi="source serif 4"/>
          <w:color w:val="000000"/>
          <w:sz w:val="21"/>
        </w:rPr>
        <w:t xml:space="preserve"> Industry guidance on agentic AIOps recommends starting with a single high‑friction domain (incident triage) and scaling across network, platform, and access only after KPIs (MTTR, noise, ticket deflection) are proven.</w:t>
      </w:r>
      <w:bookmarkStart w:id="13" w:name="fnref8"/>
      <w:bookmarkEnd w:id="13"/>
      <w:hyperlink w:anchor="fn8">
        <w:r>
          <w:rPr>
            <w:rFonts w:eastAsia="source sans 3" w:cs="source sans 3" w:ascii="source sans 3" w:hAnsi="source sans 3"/>
            <w:color w:val="#000"/>
            <w:sz w:val="21"/>
            <w:u w:val="single"/>
            <w:vertAlign w:val="superscript"/>
          </w:rPr>
          <w:t xml:space="preserve">[8]</w:t>
        </w:r>
      </w:hyperlink>
      <w:bookmarkStart w:id="14" w:name="fnref9"/>
      <w:bookmarkEnd w:id="14"/>
      <w:hyperlink w:anchor="fn9">
        <w:r>
          <w:rPr>
            <w:rFonts w:eastAsia="source sans 3" w:cs="source sans 3" w:ascii="source sans 3" w:hAnsi="source sans 3"/>
            <w:color w:val="#000"/>
            <w:sz w:val="21"/>
            <w:u w:val="single"/>
            <w:vertAlign w:val="superscript"/>
          </w:rPr>
          <w:t xml:space="preserve">[9]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priority_pilot_observability_servicenow"/>
      <w:r>
        <w:rPr>
          <w:rFonts w:eastAsia="source serif 4" w:cs="source serif 4" w:ascii="source serif 4" w:hAnsi="source serif 4"/>
          <w:b/>
          <w:color w:val="000000"/>
          <w:sz w:val="24"/>
        </w:rPr>
        <w:t xml:space="preserve">Priority pilot: Observability + ServiceNow</w:t>
      </w:r>
      <w:bookmarkEnd w:id="15"/>
    </w:p>
    <w:p>
      <w:pPr>
        <w:spacing w:line="360" w:after="210" w:lineRule="auto"/>
      </w:pPr>
      <w:r>
        <w:rPr>
          <w:rFonts w:eastAsia="source serif 4" w:cs="source serif 4" w:ascii="source serif 4" w:hAnsi="source serif 4"/>
          <w:color w:val="000000"/>
        </w:rPr>
        <w:t xml:space="preserve">For your stated first focus (monitoring/observability + ServiceNow workflows), the strongest agentic combination today is </w:t>
      </w:r>
      <w:r>
        <w:rPr>
          <w:rFonts w:eastAsia="source serif 4" w:cs="source serif 4" w:ascii="source serif 4" w:hAnsi="source serif 4"/>
          <w:b/>
          <w:color w:val="000000"/>
        </w:rPr>
        <w:t xml:space="preserve">LogicMonitor Edwin AI + ServiceNow Now Assist ITOM/ITSM</w:t>
      </w:r>
      <w:r>
        <w:rPr>
          <w:rFonts w:eastAsia="source serif 4" w:cs="source serif 4" w:ascii="source serif 4" w:hAnsi="source serif 4"/>
          <w:color w:val="000000"/>
        </w:rPr>
        <w:t xml:space="preserve">.</w:t>
      </w:r>
    </w:p>
    <w:p>
      <w:pPr>
        <w:numPr>
          <w:ilvl w:val="0"/>
          <w:numId w:val="2"/>
        </w:numPr>
        <w:spacing w:line="360" w:before="105" w:after="105" w:lineRule="auto"/>
      </w:pPr>
      <w:r>
        <w:rPr>
          <w:rFonts w:eastAsia="source serif 4" w:cs="source serif 4" w:ascii="source serif 4" w:hAnsi="source serif 4"/>
          <w:color w:val="000000"/>
          <w:sz w:val="21"/>
        </w:rPr>
        <w:t xml:space="preserve">LogicMonitor’s Edwin AI exposes an AI Agent that can query rich observability context (alerts, time‑series metrics, config sources, audit logs, ops notes, escalation chains, device metadata) to answer incident questions and propose next steps.</w:t>
      </w:r>
      <w:bookmarkStart w:id="16" w:name="fnref4_1"/>
      <w:bookmarkEnd w:id="16"/>
      <w:hyperlink w:anchor="fn4">
        <w:r>
          <w:rPr>
            <w:rFonts w:eastAsia="source sans 3" w:cs="source sans 3" w:ascii="source sans 3" w:hAnsi="source sans 3"/>
            <w:color w:val="#000"/>
            <w:sz w:val="21"/>
            <w:u w:val="single"/>
            <w:vertAlign w:val="superscript"/>
          </w:rPr>
          <w:t xml:space="preserve">[4]</w:t>
        </w:r>
      </w:hyperlink>
    </w:p>
    <w:p>
      <w:pPr>
        <w:numPr>
          <w:ilvl w:val="0"/>
          <w:numId w:val="2"/>
        </w:numPr>
        <w:spacing w:line="360" w:before="105" w:after="105" w:lineRule="auto"/>
      </w:pPr>
      <w:r>
        <w:rPr>
          <w:rFonts w:eastAsia="source serif 4" w:cs="source serif 4" w:ascii="source serif 4" w:hAnsi="source serif 4"/>
          <w:color w:val="000000"/>
          <w:sz w:val="21"/>
        </w:rPr>
        <w:t xml:space="preserve">Edwin AI integrates bi‑directionally with ServiceNow via the </w:t>
      </w:r>
      <w:r>
        <w:rPr>
          <w:rFonts w:eastAsia="source serif 4" w:cs="source serif 4" w:ascii="source serif 4" w:hAnsi="source serif 4"/>
          <w:b/>
          <w:color w:val="000000"/>
          <w:sz w:val="21"/>
        </w:rPr>
        <w:t xml:space="preserve">LogicMonitor Data Exchange (LMDX) app</w:t>
      </w:r>
      <w:r>
        <w:rPr>
          <w:rFonts w:eastAsia="source serif 4" w:cs="source serif 4" w:ascii="source serif 4" w:hAnsi="source serif 4"/>
          <w:color w:val="000000"/>
          <w:sz w:val="21"/>
        </w:rPr>
        <w:t xml:space="preserve">, certified in the ServiceNow Store, enabling automatic case creation from Edwin insights/alerts and real‑time status/resolution sync into ServiceNow incident records.</w:t>
      </w:r>
      <w:bookmarkStart w:id="17" w:name="fnref10"/>
      <w:bookmarkEnd w:id="17"/>
      <w:hyperlink w:anchor="fn10">
        <w:r>
          <w:rPr>
            <w:rFonts w:eastAsia="source sans 3" w:cs="source sans 3" w:ascii="source sans 3" w:hAnsi="source sans 3"/>
            <w:color w:val="#000"/>
            <w:sz w:val="21"/>
            <w:u w:val="single"/>
            <w:vertAlign w:val="superscript"/>
          </w:rPr>
          <w:t xml:space="preserve">[10]</w:t>
        </w:r>
      </w:hyperlink>
      <w:bookmarkStart w:id="18" w:name="fnref11"/>
      <w:bookmarkEnd w:id="18"/>
      <w:hyperlink w:anchor="fn11">
        <w:r>
          <w:rPr>
            <w:rFonts w:eastAsia="source sans 3" w:cs="source sans 3" w:ascii="source sans 3" w:hAnsi="source sans 3"/>
            <w:color w:val="#000"/>
            <w:sz w:val="21"/>
            <w:u w:val="single"/>
            <w:vertAlign w:val="superscript"/>
          </w:rPr>
          <w:t xml:space="preserve">[11]</w:t>
        </w:r>
      </w:hyperlink>
      <w:bookmarkStart w:id="19" w:name="fnref12"/>
      <w:bookmarkEnd w:id="19"/>
      <w:hyperlink w:anchor="fn12">
        <w:r>
          <w:rPr>
            <w:rFonts w:eastAsia="source sans 3" w:cs="source sans 3" w:ascii="source sans 3" w:hAnsi="source sans 3"/>
            <w:color w:val="#000"/>
            <w:sz w:val="21"/>
            <w:u w:val="single"/>
            <w:vertAlign w:val="superscript"/>
          </w:rPr>
          <w:t xml:space="preserve">[12]</w:t>
        </w:r>
      </w:hyperlink>
      <w:bookmarkStart w:id="20" w:name="fnref13"/>
      <w:bookmarkEnd w:id="20"/>
      <w:hyperlink w:anchor="fn13">
        <w:r>
          <w:rPr>
            <w:rFonts w:eastAsia="source sans 3" w:cs="source sans 3" w:ascii="source sans 3" w:hAnsi="source sans 3"/>
            <w:color w:val="#000"/>
            <w:sz w:val="21"/>
            <w:u w:val="single"/>
            <w:vertAlign w:val="superscript"/>
          </w:rPr>
          <w:t xml:space="preserve">[13]</w:t>
        </w:r>
      </w:hyperlink>
    </w:p>
    <w:p>
      <w:pPr>
        <w:numPr>
          <w:ilvl w:val="0"/>
          <w:numId w:val="2"/>
        </w:numPr>
        <w:spacing w:line="360" w:before="105" w:after="105" w:lineRule="auto"/>
      </w:pPr>
      <w:r>
        <w:rPr>
          <w:rFonts w:eastAsia="source serif 4" w:cs="source serif 4" w:ascii="source serif 4" w:hAnsi="source serif 4"/>
          <w:color w:val="000000"/>
          <w:sz w:val="21"/>
        </w:rPr>
        <w:t xml:space="preserve">A recent update adds </w:t>
      </w:r>
      <w:r>
        <w:rPr>
          <w:rFonts w:eastAsia="source serif 4" w:cs="source serif 4" w:ascii="source serif 4" w:hAnsi="source serif 4"/>
          <w:b/>
          <w:color w:val="000000"/>
          <w:sz w:val="21"/>
        </w:rPr>
        <w:t xml:space="preserve">Agent‑to‑Agent (A2A) integration with ServiceNow Now Assist</w:t>
      </w:r>
      <w:r>
        <w:rPr>
          <w:rFonts w:eastAsia="source serif 4" w:cs="source serif 4" w:ascii="source serif 4" w:hAnsi="source serif 4"/>
          <w:color w:val="000000"/>
          <w:sz w:val="21"/>
        </w:rPr>
        <w:t xml:space="preserve">, where Edwin AI acts as the context broker: Now Assist sends a request, Edwin orchestrates queries across observability tools, returns root cause/impact/recommended actions, and ServiceNow validates and surfaces this inside the incident workspace.</w:t>
      </w:r>
      <w:bookmarkStart w:id="21" w:name="fnref6_3"/>
      <w:bookmarkEnd w:id="21"/>
      <w:hyperlink w:anchor="fn6">
        <w:r>
          <w:rPr>
            <w:rFonts w:eastAsia="source sans 3" w:cs="source sans 3" w:ascii="source sans 3" w:hAnsi="source sans 3"/>
            <w:color w:val="#000"/>
            <w:sz w:val="21"/>
            <w:u w:val="single"/>
            <w:vertAlign w:val="superscript"/>
          </w:rPr>
          <w:t xml:space="preserve">[6]</w:t>
        </w:r>
      </w:hyperlink>
    </w:p>
    <w:p>
      <w:pPr>
        <w:spacing w:line="360" w:after="210" w:lineRule="auto"/>
      </w:pPr>
      <w:r>
        <w:rPr>
          <w:rFonts w:eastAsia="source serif 4" w:cs="source serif 4" w:ascii="source serif 4" w:hAnsi="source serif 4"/>
          <w:color w:val="000000"/>
        </w:rPr>
        <w:t xml:space="preserve">In practice for you:</w:t>
      </w:r>
    </w:p>
    <w:p>
      <w:pPr>
        <w:numPr>
          <w:ilvl w:val="0"/>
          <w:numId w:val="3"/>
        </w:numPr>
        <w:spacing w:line="360" w:before="105" w:after="105" w:lineRule="auto"/>
      </w:pPr>
      <w:r>
        <w:rPr>
          <w:rFonts w:eastAsia="source serif 4" w:cs="source serif 4" w:ascii="source serif 4" w:hAnsi="source serif 4"/>
          <w:color w:val="000000"/>
          <w:sz w:val="21"/>
        </w:rPr>
        <w:t xml:space="preserve">Keep SolarWinds/Instana/Splunk feeding events and metrics into LogicMonitor (or directly into Edwin via LM) where feasible, then let Edwin AI correlate multi‑tool signals and inject “what actually happened” plus “what to do next” into ServiceNow.</w:t>
      </w:r>
      <w:bookmarkStart w:id="22" w:name="fnref9_1"/>
      <w:bookmarkEnd w:id="22"/>
      <w:hyperlink w:anchor="fn9">
        <w:r>
          <w:rPr>
            <w:rFonts w:eastAsia="source sans 3" w:cs="source sans 3" w:ascii="source sans 3" w:hAnsi="source sans 3"/>
            <w:color w:val="#000"/>
            <w:sz w:val="21"/>
            <w:u w:val="single"/>
            <w:vertAlign w:val="superscript"/>
          </w:rPr>
          <w:t xml:space="preserve">[9]</w:t>
        </w:r>
      </w:hyperlink>
      <w:bookmarkStart w:id="23" w:name="fnref6_4"/>
      <w:bookmarkEnd w:id="23"/>
      <w:hyperlink w:anchor="fn6">
        <w:r>
          <w:rPr>
            <w:rFonts w:eastAsia="source sans 3" w:cs="source sans 3" w:ascii="source sans 3" w:hAnsi="source sans 3"/>
            <w:color w:val="#000"/>
            <w:sz w:val="21"/>
            <w:u w:val="single"/>
            <w:vertAlign w:val="superscript"/>
          </w:rPr>
          <w:t xml:space="preserve">[6]</w:t>
        </w:r>
      </w:hyperlink>
    </w:p>
    <w:p>
      <w:pPr>
        <w:numPr>
          <w:ilvl w:val="0"/>
          <w:numId w:val="3"/>
        </w:numPr>
        <w:spacing w:line="360" w:before="105" w:after="105" w:lineRule="auto"/>
      </w:pPr>
      <w:r>
        <w:rPr>
          <w:rFonts w:eastAsia="source serif 4" w:cs="source serif 4" w:ascii="source serif 4" w:hAnsi="source serif 4"/>
          <w:color w:val="000000"/>
          <w:sz w:val="21"/>
        </w:rPr>
        <w:t xml:space="preserve">Use Now Assist in ServiceNow for natural‑language querying of incidents/change records and for automated note drafting, while Edwin AI supplies technical context; this reduces L1/L2 swivel‑chair work and speeds triage without moving the primary workflow out of ServiceNow.</w:t>
      </w:r>
      <w:bookmarkStart w:id="24" w:name="fnref2_2"/>
      <w:bookmarkEnd w:id="24"/>
      <w:hyperlink w:anchor="fn2">
        <w:r>
          <w:rPr>
            <w:rFonts w:eastAsia="source sans 3" w:cs="source sans 3" w:ascii="source sans 3" w:hAnsi="source sans 3"/>
            <w:color w:val="#000"/>
            <w:sz w:val="21"/>
            <w:u w:val="single"/>
            <w:vertAlign w:val="superscript"/>
          </w:rPr>
          <w:t xml:space="preserve">[2]</w:t>
        </w:r>
      </w:hyperlink>
      <w:bookmarkStart w:id="25" w:name="fnref14"/>
      <w:bookmarkEnd w:id="25"/>
      <w:hyperlink w:anchor="fn14">
        <w:r>
          <w:rPr>
            <w:rFonts w:eastAsia="source sans 3" w:cs="source sans 3" w:ascii="source sans 3" w:hAnsi="source sans 3"/>
            <w:color w:val="#000"/>
            <w:sz w:val="21"/>
            <w:u w:val="single"/>
            <w:vertAlign w:val="superscript"/>
          </w:rPr>
          <w:t xml:space="preserve">[14]</w:t>
        </w:r>
      </w:hyperlink>
      <w:bookmarkStart w:id="26" w:name="fnref6_5"/>
      <w:bookmarkEnd w:id="26"/>
      <w:hyperlink w:anchor="fn6">
        <w:r>
          <w:rPr>
            <w:rFonts w:eastAsia="source sans 3" w:cs="source sans 3" w:ascii="source sans 3" w:hAnsi="source sans 3"/>
            <w:color w:val="#000"/>
            <w:sz w:val="21"/>
            <w:u w:val="single"/>
            <w:vertAlign w:val="superscript"/>
          </w:rPr>
          <w:t xml:space="preserve">[6]</w:t>
        </w:r>
      </w:hyperlink>
    </w:p>
    <w:p>
      <w:pPr>
        <w:numPr>
          <w:ilvl w:val="0"/>
          <w:numId w:val="3"/>
        </w:numPr>
        <w:spacing w:line="360" w:before="105" w:after="105" w:lineRule="auto"/>
      </w:pPr>
      <w:r>
        <w:rPr>
          <w:rFonts w:eastAsia="source serif 4" w:cs="source serif 4" w:ascii="source serif 4" w:hAnsi="source serif 4"/>
          <w:color w:val="000000"/>
          <w:sz w:val="21"/>
        </w:rPr>
        <w:t xml:space="preserve">ServiceNow’s </w:t>
      </w:r>
      <w:r>
        <w:rPr>
          <w:rFonts w:eastAsia="source serif 4" w:cs="source serif 4" w:ascii="source serif 4" w:hAnsi="source serif 4"/>
          <w:b/>
          <w:color w:val="000000"/>
          <w:sz w:val="21"/>
        </w:rPr>
        <w:t xml:space="preserve">Now Assist Setup for ITOM AIOps</w:t>
      </w:r>
      <w:r>
        <w:rPr>
          <w:rFonts w:eastAsia="source serif 4" w:cs="source serif 4" w:ascii="source serif 4" w:hAnsi="source serif 4"/>
          <w:color w:val="000000"/>
          <w:sz w:val="21"/>
        </w:rPr>
        <w:t xml:space="preserve"> provides a guided, entitlement‑aware setup dashboard to install necessary ITOM products and AI plugins with recommended configurations, which is useful to keep deployment controlled in a regulated bank.</w:t>
      </w:r>
      <w:bookmarkStart w:id="27" w:name="fnref3_2"/>
      <w:bookmarkEnd w:id="27"/>
      <w:hyperlink w:anchor="fn3">
        <w:r>
          <w:rPr>
            <w:rFonts w:eastAsia="source sans 3" w:cs="source sans 3" w:ascii="source sans 3" w:hAnsi="source sans 3"/>
            <w:color w:val="#000"/>
            <w:sz w:val="21"/>
            <w:u w:val="single"/>
            <w:vertAlign w:val="superscript"/>
          </w:rPr>
          <w:t xml:space="preserve">[3]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desktop_and_service_desk_support"/>
      <w:r>
        <w:rPr>
          <w:rFonts w:eastAsia="source serif 4" w:cs="source serif 4" w:ascii="source serif 4" w:hAnsi="source serif 4"/>
          <w:b/>
          <w:color w:val="000000"/>
          <w:sz w:val="24"/>
        </w:rPr>
        <w:t xml:space="preserve">Desktop and service desk support</w:t>
      </w:r>
      <w:bookmarkEnd w:id="28"/>
    </w:p>
    <w:p>
      <w:pPr>
        <w:spacing w:line="360" w:after="210" w:lineRule="auto"/>
      </w:pPr>
      <w:r>
        <w:rPr>
          <w:rFonts w:eastAsia="source serif 4" w:cs="source serif 4" w:ascii="source serif 4" w:hAnsi="source serif 4"/>
          <w:color w:val="000000"/>
        </w:rPr>
        <w:t xml:space="preserve">For user support (services, desktop, basic application support), your main levers are </w:t>
      </w:r>
      <w:r>
        <w:rPr>
          <w:rFonts w:eastAsia="source serif 4" w:cs="source serif 4" w:ascii="source serif 4" w:hAnsi="source serif 4"/>
          <w:b/>
          <w:color w:val="000000"/>
        </w:rPr>
        <w:t xml:space="preserve">ServiceNow Now Assist</w:t>
      </w:r>
      <w:r>
        <w:rPr>
          <w:rFonts w:eastAsia="source serif 4" w:cs="source serif 4" w:ascii="source serif 4" w:hAnsi="source serif 4"/>
          <w:color w:val="000000"/>
        </w:rPr>
        <w:t xml:space="preserve"> and a specialized support agent such as </w:t>
      </w:r>
      <w:r>
        <w:rPr>
          <w:rFonts w:eastAsia="source serif 4" w:cs="source serif 4" w:ascii="source serif 4" w:hAnsi="source serif 4"/>
          <w:b/>
          <w:color w:val="000000"/>
        </w:rPr>
        <w:t xml:space="preserve">Moveworks</w:t>
      </w:r>
      <w:r>
        <w:rPr>
          <w:rFonts w:eastAsia="source serif 4" w:cs="source serif 4" w:ascii="source serif 4" w:hAnsi="source serif 4"/>
          <w:color w:val="000000"/>
        </w:rPr>
        <w:t xml:space="preserve">.</w:t>
      </w:r>
    </w:p>
    <w:p>
      <w:pPr>
        <w:numPr>
          <w:ilvl w:val="0"/>
          <w:numId w:val="4"/>
        </w:numPr>
        <w:spacing w:line="360" w:before="105" w:after="105" w:lineRule="auto"/>
      </w:pPr>
      <w:r>
        <w:rPr>
          <w:rFonts w:eastAsia="source serif 4" w:cs="source serif 4" w:ascii="source serif 4" w:hAnsi="source serif 4"/>
          <w:color w:val="000000"/>
          <w:sz w:val="21"/>
        </w:rPr>
        <w:t xml:space="preserve">ServiceNow’s Now Assist brings agentic AI into ITSM and HR service workflows, auto‑resolving tickets, routing exceptions, and triggering downstream processes entirely within the ServiceNow platform; ServiceNow reports ~80% reduction in resolution note writing time and significant FTE savings from its own internal deployment.</w:t>
      </w:r>
      <w:bookmarkStart w:id="29" w:name="fnref2_3"/>
      <w:bookmarkEnd w:id="29"/>
      <w:hyperlink w:anchor="fn2">
        <w:r>
          <w:rPr>
            <w:rFonts w:eastAsia="source sans 3" w:cs="source sans 3" w:ascii="source sans 3" w:hAnsi="source sans 3"/>
            <w:color w:val="#000"/>
            <w:sz w:val="21"/>
            <w:u w:val="single"/>
            <w:vertAlign w:val="superscript"/>
          </w:rPr>
          <w:t xml:space="preserve">[2]</w:t>
        </w:r>
      </w:hyperlink>
    </w:p>
    <w:p>
      <w:pPr>
        <w:numPr>
          <w:ilvl w:val="0"/>
          <w:numId w:val="4"/>
        </w:numPr>
        <w:spacing w:line="360" w:before="105" w:after="105" w:lineRule="auto"/>
      </w:pPr>
      <w:r>
        <w:rPr>
          <w:rFonts w:eastAsia="source serif 4" w:cs="source serif 4" w:ascii="source serif 4" w:hAnsi="source serif 4"/>
          <w:color w:val="000000"/>
          <w:sz w:val="21"/>
        </w:rPr>
        <w:t xml:space="preserve">Moveworks is purpose‑built for internal IT/HR support; it uses natural‑language understanding and task execution to autonomously resolve a high proportion of tickets (Broadcom reported ~88% autonomous resolution, Databricks ~73% for IT/HR), making it effective for service desk and desktop support deflection.</w:t>
      </w:r>
      <w:bookmarkStart w:id="30" w:name="fnref2_4"/>
      <w:bookmarkEnd w:id="30"/>
      <w:hyperlink w:anchor="fn2">
        <w:r>
          <w:rPr>
            <w:rFonts w:eastAsia="source sans 3" w:cs="source sans 3" w:ascii="source sans 3" w:hAnsi="source sans 3"/>
            <w:color w:val="#000"/>
            <w:sz w:val="21"/>
            <w:u w:val="single"/>
            <w:vertAlign w:val="superscript"/>
          </w:rPr>
          <w:t xml:space="preserve">[2]</w:t>
        </w:r>
      </w:hyperlink>
    </w:p>
    <w:p>
      <w:pPr>
        <w:spacing w:line="360" w:after="210" w:lineRule="auto"/>
      </w:pPr>
      <w:r>
        <w:rPr>
          <w:rFonts w:eastAsia="source serif 4" w:cs="source serif 4" w:ascii="source serif 4" w:hAnsi="source serif 4"/>
          <w:color w:val="000000"/>
        </w:rPr>
        <w:t xml:space="preserve">Fit to your environment:</w:t>
      </w:r>
    </w:p>
    <w:p>
      <w:pPr>
        <w:numPr>
          <w:ilvl w:val="0"/>
          <w:numId w:val="5"/>
        </w:numPr>
        <w:spacing w:line="360" w:before="105" w:after="105" w:lineRule="auto"/>
      </w:pPr>
      <w:r>
        <w:rPr>
          <w:rFonts w:eastAsia="source serif 4" w:cs="source serif 4" w:ascii="source serif 4" w:hAnsi="source serif 4"/>
          <w:color w:val="000000"/>
          <w:sz w:val="21"/>
        </w:rPr>
        <w:t xml:space="preserve">Use Now Assist as the </w:t>
      </w:r>
      <w:r>
        <w:rPr>
          <w:rFonts w:eastAsia="source serif 4" w:cs="source serif 4" w:ascii="source serif 4" w:hAnsi="source serif 4"/>
          <w:b/>
          <w:color w:val="000000"/>
          <w:sz w:val="21"/>
        </w:rPr>
        <w:t xml:space="preserve">primary AI front‑end</w:t>
      </w:r>
      <w:r>
        <w:rPr>
          <w:rFonts w:eastAsia="source serif 4" w:cs="source serif 4" w:ascii="source serif 4" w:hAnsi="source serif 4"/>
          <w:color w:val="000000"/>
          <w:sz w:val="21"/>
        </w:rPr>
        <w:t xml:space="preserve"> for ServiceNow—auto‑summarizing incidents, proposing resolutions, and deflecting simple requests (password resets, access to standard applications) via virtual agent flows.</w:t>
      </w:r>
      <w:bookmarkStart w:id="31" w:name="fnref3_3"/>
      <w:bookmarkEnd w:id="31"/>
      <w:hyperlink w:anchor="fn3">
        <w:r>
          <w:rPr>
            <w:rFonts w:eastAsia="source sans 3" w:cs="source sans 3" w:ascii="source sans 3" w:hAnsi="source sans 3"/>
            <w:color w:val="#000"/>
            <w:sz w:val="21"/>
            <w:u w:val="single"/>
            <w:vertAlign w:val="superscript"/>
          </w:rPr>
          <w:t xml:space="preserve">[3]</w:t>
        </w:r>
      </w:hyperlink>
      <w:bookmarkStart w:id="32" w:name="fnref2_5"/>
      <w:bookmarkEnd w:id="32"/>
      <w:hyperlink w:anchor="fn2">
        <w:r>
          <w:rPr>
            <w:rFonts w:eastAsia="source sans 3" w:cs="source sans 3" w:ascii="source sans 3" w:hAnsi="source sans 3"/>
            <w:color w:val="#000"/>
            <w:sz w:val="21"/>
            <w:u w:val="single"/>
            <w:vertAlign w:val="superscript"/>
          </w:rPr>
          <w:t xml:space="preserve">[2]</w:t>
        </w:r>
      </w:hyperlink>
    </w:p>
    <w:p>
      <w:pPr>
        <w:numPr>
          <w:ilvl w:val="0"/>
          <w:numId w:val="5"/>
        </w:numPr>
        <w:spacing w:line="360" w:before="105" w:after="105" w:lineRule="auto"/>
      </w:pPr>
      <w:r>
        <w:rPr>
          <w:rFonts w:eastAsia="source serif 4" w:cs="source serif 4" w:ascii="source serif 4" w:hAnsi="source serif 4"/>
          <w:color w:val="000000"/>
          <w:sz w:val="21"/>
        </w:rPr>
        <w:t xml:space="preserve">Consider Moveworks if you want a </w:t>
      </w:r>
      <w:r>
        <w:rPr>
          <w:rFonts w:eastAsia="source serif 4" w:cs="source serif 4" w:ascii="source serif 4" w:hAnsi="source serif 4"/>
          <w:b/>
          <w:color w:val="000000"/>
          <w:sz w:val="21"/>
        </w:rPr>
        <w:t xml:space="preserve">separate AI “support brain”</w:t>
      </w:r>
      <w:r>
        <w:rPr>
          <w:rFonts w:eastAsia="source serif 4" w:cs="source serif 4" w:ascii="source serif 4" w:hAnsi="source serif 4"/>
          <w:color w:val="000000"/>
          <w:sz w:val="21"/>
        </w:rPr>
        <w:t xml:space="preserve"> tightly integrated to chat channels (Teams/Slack) that can create and update ServiceNow tickets while resolving common issues end‑to‑end; this pairs well with your heavy use of service desk workflows.</w:t>
      </w:r>
      <w:bookmarkStart w:id="33" w:name="fnref2_6"/>
      <w:bookmarkEnd w:id="33"/>
      <w:hyperlink w:anchor="fn2">
        <w:r>
          <w:rPr>
            <w:rFonts w:eastAsia="source sans 3" w:cs="source sans 3" w:ascii="source sans 3" w:hAnsi="source sans 3"/>
            <w:color w:val="#000"/>
            <w:sz w:val="21"/>
            <w:u w:val="single"/>
            <w:vertAlign w:val="superscript"/>
          </w:rPr>
          <w:t xml:space="preserve">[2]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platform_operations_windows_linux_af0354"/>
      <w:r>
        <w:rPr>
          <w:rFonts w:eastAsia="source serif 4" w:cs="source serif 4" w:ascii="source serif 4" w:hAnsi="source serif 4"/>
          <w:b/>
          <w:color w:val="000000"/>
          <w:sz w:val="24"/>
        </w:rPr>
        <w:t xml:space="preserve">Platform operations (Windows, Linux, SQL, Oracle)</w:t>
      </w:r>
      <w:bookmarkEnd w:id="34"/>
    </w:p>
    <w:p>
      <w:pPr>
        <w:spacing w:line="360" w:after="210" w:lineRule="auto"/>
      </w:pPr>
      <w:r>
        <w:rPr>
          <w:rFonts w:eastAsia="source serif 4" w:cs="source serif 4" w:ascii="source serif 4" w:hAnsi="source serif 4"/>
          <w:color w:val="000000"/>
        </w:rPr>
        <w:t xml:space="preserve">For server/OS/database operations, you’re better off using </w:t>
      </w:r>
      <w:r>
        <w:rPr>
          <w:rFonts w:eastAsia="source serif 4" w:cs="source serif 4" w:ascii="source serif 4" w:hAnsi="source serif 4"/>
          <w:b/>
          <w:color w:val="000000"/>
        </w:rPr>
        <w:t xml:space="preserve">agentic AI as an orchestrator over existing runbooks and OEM capabilities</w:t>
      </w:r>
      <w:r>
        <w:rPr>
          <w:rFonts w:eastAsia="source serif 4" w:cs="source serif 4" w:ascii="source serif 4" w:hAnsi="source serif 4"/>
          <w:color w:val="000000"/>
        </w:rPr>
        <w:t xml:space="preserve"> rather than a single magic platform.</w:t>
      </w:r>
    </w:p>
    <w:p>
      <w:pPr>
        <w:numPr>
          <w:ilvl w:val="0"/>
          <w:numId w:val="6"/>
        </w:numPr>
        <w:spacing w:line="360" w:before="105" w:after="105" w:lineRule="auto"/>
      </w:pPr>
      <w:r>
        <w:rPr>
          <w:rFonts w:eastAsia="source serif 4" w:cs="source serif 4" w:ascii="source serif 4" w:hAnsi="source serif 4"/>
          <w:color w:val="000000"/>
          <w:sz w:val="21"/>
        </w:rPr>
        <w:t xml:space="preserve">An AIOps framework for agentic AI recommends defining specialized agents—Monitoring Agents, Resolution Agents, Knowledge Agents, Orchestration Agents—that plug into observability (Splunk, Prometheus, Instana), ITSM (ServiceNow), and automation (Ansible, RunDeck, Airflow) to detect anomalies, create tickets, and execute fixes.</w:t>
      </w:r>
      <w:bookmarkStart w:id="35" w:name="fnref9_2"/>
      <w:bookmarkEnd w:id="35"/>
      <w:hyperlink w:anchor="fn9">
        <w:r>
          <w:rPr>
            <w:rFonts w:eastAsia="source sans 3" w:cs="source sans 3" w:ascii="source sans 3" w:hAnsi="source sans 3"/>
            <w:color w:val="#000"/>
            <w:sz w:val="21"/>
            <w:u w:val="single"/>
            <w:vertAlign w:val="superscript"/>
          </w:rPr>
          <w:t xml:space="preserve">[9]</w:t>
        </w:r>
      </w:hyperlink>
    </w:p>
    <w:p>
      <w:pPr>
        <w:numPr>
          <w:ilvl w:val="0"/>
          <w:numId w:val="6"/>
        </w:numPr>
        <w:spacing w:line="360" w:before="105" w:after="105" w:lineRule="auto"/>
      </w:pPr>
      <w:r>
        <w:rPr>
          <w:rFonts w:eastAsia="source serif 4" w:cs="source serif 4" w:ascii="source serif 4" w:hAnsi="source serif 4"/>
          <w:color w:val="000000"/>
          <w:sz w:val="21"/>
        </w:rPr>
        <w:t xml:space="preserve">The same framework highlights Splunk’s ML Toolkit and Elastic AIOps for continuous learning and adaptation, using incident data to refine anomaly detection and predictive models over time.</w:t>
      </w:r>
      <w:bookmarkStart w:id="36" w:name="fnref9_3"/>
      <w:bookmarkEnd w:id="36"/>
      <w:hyperlink w:anchor="fn9">
        <w:r>
          <w:rPr>
            <w:rFonts w:eastAsia="source sans 3" w:cs="source sans 3" w:ascii="source sans 3" w:hAnsi="source sans 3"/>
            <w:color w:val="#000"/>
            <w:sz w:val="21"/>
            <w:u w:val="single"/>
            <w:vertAlign w:val="superscript"/>
          </w:rPr>
          <w:t xml:space="preserve">[9]</w:t>
        </w:r>
      </w:hyperlink>
    </w:p>
    <w:p>
      <w:pPr>
        <w:spacing w:line="360" w:after="210" w:lineRule="auto"/>
      </w:pPr>
      <w:r>
        <w:rPr>
          <w:rFonts w:eastAsia="source serif 4" w:cs="source serif 4" w:ascii="source serif 4" w:hAnsi="source serif 4"/>
          <w:color w:val="000000"/>
        </w:rPr>
        <w:t xml:space="preserve">Applied to your stack:</w:t>
      </w:r>
    </w:p>
    <w:p>
      <w:pPr>
        <w:numPr>
          <w:ilvl w:val="0"/>
          <w:numId w:val="7"/>
        </w:numPr>
        <w:spacing w:line="360" w:before="105" w:after="105" w:lineRule="auto"/>
      </w:pPr>
      <w:r>
        <w:rPr>
          <w:rFonts w:eastAsia="source serif 4" w:cs="source serif 4" w:ascii="source serif 4" w:hAnsi="source serif 4"/>
          <w:color w:val="000000"/>
          <w:sz w:val="21"/>
        </w:rPr>
        <w:t xml:space="preserve">Keep </w:t>
      </w:r>
      <w:r>
        <w:rPr>
          <w:rFonts w:eastAsia="source serif 4" w:cs="source serif 4" w:ascii="source serif 4" w:hAnsi="source serif 4"/>
          <w:b/>
          <w:color w:val="000000"/>
          <w:sz w:val="21"/>
        </w:rPr>
        <w:t xml:space="preserve">Oracle OEM</w:t>
      </w:r>
      <w:r>
        <w:rPr>
          <w:rFonts w:eastAsia="source serif 4" w:cs="source serif 4" w:ascii="source serif 4" w:hAnsi="source serif 4"/>
          <w:color w:val="000000"/>
          <w:sz w:val="21"/>
        </w:rPr>
        <w:t xml:space="preserve"> and SQL monitoring as sources of telemetry and runbooks, but surface critical events through Edwin AI / ServiceNow so the Resolution Agent can suggest known OEM procedures (index rebuild, stats gather, failover, etc.) and trigger Ansible/PowerShell automation under change‑control.</w:t>
      </w:r>
      <w:bookmarkStart w:id="37" w:name="fnref9_4"/>
      <w:bookmarkEnd w:id="37"/>
      <w:hyperlink w:anchor="fn9">
        <w:r>
          <w:rPr>
            <w:rFonts w:eastAsia="source sans 3" w:cs="source sans 3" w:ascii="source sans 3" w:hAnsi="source sans 3"/>
            <w:color w:val="#000"/>
            <w:sz w:val="21"/>
            <w:u w:val="single"/>
            <w:vertAlign w:val="superscript"/>
          </w:rPr>
          <w:t xml:space="preserve">[9]</w:t>
        </w:r>
      </w:hyperlink>
    </w:p>
    <w:p>
      <w:pPr>
        <w:numPr>
          <w:ilvl w:val="0"/>
          <w:numId w:val="7"/>
        </w:numPr>
        <w:spacing w:line="360" w:before="105" w:after="105" w:lineRule="auto"/>
      </w:pPr>
      <w:r>
        <w:rPr>
          <w:rFonts w:eastAsia="source serif 4" w:cs="source serif 4" w:ascii="source serif 4" w:hAnsi="source serif 4"/>
          <w:color w:val="000000"/>
          <w:sz w:val="21"/>
        </w:rPr>
        <w:t xml:space="preserve">Use Splunk (with ML Toolkit) as the anomaly detection backend on logs for Windows/Linux/SQL/Oracle, feeding “high‑confidence anomalies” into the agentic layer to reduce noise before they ever become tickets.</w:t>
      </w:r>
      <w:bookmarkStart w:id="38" w:name="fnref9_5"/>
      <w:bookmarkEnd w:id="38"/>
      <w:hyperlink w:anchor="fn9">
        <w:r>
          <w:rPr>
            <w:rFonts w:eastAsia="source sans 3" w:cs="source sans 3" w:ascii="source sans 3" w:hAnsi="source sans 3"/>
            <w:color w:val="#000"/>
            <w:sz w:val="21"/>
            <w:u w:val="single"/>
            <w:vertAlign w:val="superscript"/>
          </w:rPr>
          <w:t xml:space="preserve">[9]</w:t>
        </w:r>
      </w:hyperlink>
    </w:p>
    <w:p>
      <w:pPr>
        <w:numPr>
          <w:ilvl w:val="0"/>
          <w:numId w:val="7"/>
        </w:numPr>
        <w:spacing w:line="360" w:before="105" w:after="105" w:lineRule="auto"/>
      </w:pPr>
      <w:r>
        <w:rPr>
          <w:rFonts w:eastAsia="source serif 4" w:cs="source serif 4" w:ascii="source serif 4" w:hAnsi="source serif 4"/>
          <w:color w:val="000000"/>
          <w:sz w:val="21"/>
        </w:rPr>
        <w:t xml:space="preserve">Let ServiceNow workflows enforce approvals and scheduling for any AI‑proposed remediation (e.g., SQL failover, AD changes), keeping MAS TRM requirements around change governance and audit intact while agents handle detection and recommendation.</w:t>
      </w:r>
      <w:bookmarkStart w:id="39" w:name="fnref15"/>
      <w:bookmarkEnd w:id="39"/>
      <w:hyperlink w:anchor="fn15">
        <w:r>
          <w:rPr>
            <w:rFonts w:eastAsia="source sans 3" w:cs="source sans 3" w:ascii="source sans 3" w:hAnsi="source sans 3"/>
            <w:color w:val="#000"/>
            <w:sz w:val="21"/>
            <w:u w:val="single"/>
            <w:vertAlign w:val="superscript"/>
          </w:rPr>
          <w:t xml:space="preserve">[15]</w:t>
        </w:r>
      </w:hyperlink>
      <w:bookmarkStart w:id="40" w:name="fnref9_6"/>
      <w:bookmarkEnd w:id="40"/>
      <w:hyperlink w:anchor="fn9">
        <w:r>
          <w:rPr>
            <w:rFonts w:eastAsia="source sans 3" w:cs="source sans 3" w:ascii="source sans 3" w:hAnsi="source sans 3"/>
            <w:color w:val="#000"/>
            <w:sz w:val="21"/>
            <w:u w:val="single"/>
            <w:vertAlign w:val="superscript"/>
          </w:rPr>
          <w:t xml:space="preserve">[9]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network_operations"/>
      <w:r>
        <w:rPr>
          <w:rFonts w:eastAsia="source serif 4" w:cs="source serif 4" w:ascii="source serif 4" w:hAnsi="source serif 4"/>
          <w:b/>
          <w:color w:val="000000"/>
          <w:sz w:val="24"/>
        </w:rPr>
        <w:t xml:space="preserve">Network operations</w:t>
      </w:r>
      <w:bookmarkEnd w:id="41"/>
    </w:p>
    <w:p>
      <w:pPr>
        <w:spacing w:line="360" w:after="210" w:lineRule="auto"/>
      </w:pPr>
      <w:r>
        <w:rPr>
          <w:rFonts w:eastAsia="source serif 4" w:cs="source serif 4" w:ascii="source serif 4" w:hAnsi="source serif 4"/>
          <w:color w:val="000000"/>
        </w:rPr>
        <w:t xml:space="preserve">For network ops, your strongest “native” agentic option aligned with your existing tools is </w:t>
      </w:r>
      <w:r>
        <w:rPr>
          <w:rFonts w:eastAsia="source serif 4" w:cs="source serif 4" w:ascii="source serif 4" w:hAnsi="source serif 4"/>
          <w:b/>
          <w:color w:val="000000"/>
        </w:rPr>
        <w:t xml:space="preserve">SolarWinds’ new AI agent and SW1 teammate</w:t>
      </w:r>
      <w:r>
        <w:rPr>
          <w:rFonts w:eastAsia="source serif 4" w:cs="source serif 4" w:ascii="source serif 4" w:hAnsi="source serif 4"/>
          <w:color w:val="000000"/>
        </w:rPr>
        <w:t xml:space="preserve">, combined with ServiceNow for workflow.</w:t>
      </w:r>
    </w:p>
    <w:p>
      <w:pPr>
        <w:numPr>
          <w:ilvl w:val="0"/>
          <w:numId w:val="8"/>
        </w:numPr>
        <w:spacing w:line="360" w:before="105" w:after="105" w:lineRule="auto"/>
      </w:pPr>
      <w:r>
        <w:rPr>
          <w:rFonts w:eastAsia="source serif 4" w:cs="source serif 4" w:ascii="source serif 4" w:hAnsi="source serif 4"/>
          <w:color w:val="000000"/>
          <w:sz w:val="21"/>
        </w:rPr>
        <w:t xml:space="preserve">SolarWinds Observability Self‑Hosted 2026.1 introduces an </w:t>
      </w:r>
      <w:r>
        <w:rPr>
          <w:rFonts w:eastAsia="source serif 4" w:cs="source serif 4" w:ascii="source serif 4" w:hAnsi="source serif 4"/>
          <w:b/>
          <w:color w:val="000000"/>
          <w:sz w:val="21"/>
        </w:rPr>
        <w:t xml:space="preserve">Agentic AI</w:t>
      </w:r>
      <w:r>
        <w:rPr>
          <w:rFonts w:eastAsia="source serif 4" w:cs="source serif 4" w:ascii="source serif 4" w:hAnsi="source serif 4"/>
          <w:color w:val="000000"/>
          <w:sz w:val="21"/>
        </w:rPr>
        <w:t xml:space="preserve"> component that responds to natural‑language questions about the monitored environment, drawing on observability data and SolarWinds documentation to provide practical answers (e.g., “what changed before this router went high CPU?”).</w:t>
      </w:r>
      <w:bookmarkStart w:id="42" w:name="fnref5_1"/>
      <w:bookmarkEnd w:id="42"/>
      <w:hyperlink w:anchor="fn5">
        <w:r>
          <w:rPr>
            <w:rFonts w:eastAsia="source sans 3" w:cs="source sans 3" w:ascii="source sans 3" w:hAnsi="source sans 3"/>
            <w:color w:val="#000"/>
            <w:sz w:val="21"/>
            <w:u w:val="single"/>
            <w:vertAlign w:val="superscript"/>
          </w:rPr>
          <w:t xml:space="preserve">[5]</w:t>
        </w:r>
      </w:hyperlink>
      <w:bookmarkStart w:id="43" w:name="fnref7_1"/>
      <w:bookmarkEnd w:id="43"/>
      <w:hyperlink w:anchor="fn7">
        <w:r>
          <w:rPr>
            <w:rFonts w:eastAsia="source sans 3" w:cs="source sans 3" w:ascii="source sans 3" w:hAnsi="source sans 3"/>
            <w:color w:val="#000"/>
            <w:sz w:val="21"/>
            <w:u w:val="single"/>
            <w:vertAlign w:val="superscript"/>
          </w:rPr>
          <w:t xml:space="preserve">[7]</w:t>
        </w:r>
      </w:hyperlink>
    </w:p>
    <w:p>
      <w:pPr>
        <w:numPr>
          <w:ilvl w:val="0"/>
          <w:numId w:val="8"/>
        </w:numPr>
        <w:spacing w:line="360" w:before="105" w:after="105" w:lineRule="auto"/>
      </w:pPr>
      <w:r>
        <w:rPr>
          <w:rFonts w:eastAsia="source serif 4" w:cs="source serif 4" w:ascii="source serif 4" w:hAnsi="source serif 4"/>
          <w:color w:val="000000"/>
          <w:sz w:val="21"/>
        </w:rPr>
        <w:t xml:space="preserve">SolarWinds has also announced </w:t>
      </w:r>
      <w:r>
        <w:rPr>
          <w:rFonts w:eastAsia="source serif 4" w:cs="source serif 4" w:ascii="source serif 4" w:hAnsi="source serif 4"/>
          <w:b/>
          <w:color w:val="000000"/>
          <w:sz w:val="21"/>
        </w:rPr>
        <w:t xml:space="preserve">SW1</w:t>
      </w:r>
      <w:r>
        <w:rPr>
          <w:rFonts w:eastAsia="source serif 4" w:cs="source serif 4" w:ascii="source serif 4" w:hAnsi="source serif 4"/>
          <w:color w:val="000000"/>
          <w:sz w:val="21"/>
        </w:rPr>
        <w:t xml:space="preserve">, an “agentic AI teammate” aimed at powering the next era of IT operations, focused on translating monitored data and best‑practice knowledge into actionable guidance for operators.</w:t>
      </w:r>
      <w:bookmarkStart w:id="44" w:name="fnref16"/>
      <w:bookmarkEnd w:id="44"/>
      <w:hyperlink w:anchor="fn16">
        <w:r>
          <w:rPr>
            <w:rFonts w:eastAsia="source sans 3" w:cs="source sans 3" w:ascii="source sans 3" w:hAnsi="source sans 3"/>
            <w:color w:val="#000"/>
            <w:sz w:val="21"/>
            <w:u w:val="single"/>
            <w:vertAlign w:val="superscript"/>
          </w:rPr>
          <w:t xml:space="preserve">[16]</w:t>
        </w:r>
      </w:hyperlink>
      <w:bookmarkStart w:id="45" w:name="fnref7_2"/>
      <w:bookmarkEnd w:id="45"/>
      <w:hyperlink w:anchor="fn7">
        <w:r>
          <w:rPr>
            <w:rFonts w:eastAsia="source sans 3" w:cs="source sans 3" w:ascii="source sans 3" w:hAnsi="source sans 3"/>
            <w:color w:val="#000"/>
            <w:sz w:val="21"/>
            <w:u w:val="single"/>
            <w:vertAlign w:val="superscript"/>
          </w:rPr>
          <w:t xml:space="preserve">[7]</w:t>
        </w:r>
      </w:hyperlink>
    </w:p>
    <w:p>
      <w:pPr>
        <w:spacing w:line="360" w:after="210" w:lineRule="auto"/>
      </w:pPr>
      <w:r>
        <w:rPr>
          <w:rFonts w:eastAsia="source serif 4" w:cs="source serif 4" w:ascii="source serif 4" w:hAnsi="source serif 4"/>
          <w:color w:val="000000"/>
        </w:rPr>
        <w:t xml:space="preserve">How to use it:</w:t>
      </w:r>
    </w:p>
    <w:p>
      <w:pPr>
        <w:numPr>
          <w:ilvl w:val="0"/>
          <w:numId w:val="9"/>
        </w:numPr>
        <w:spacing w:line="360" w:before="105" w:after="105" w:lineRule="auto"/>
      </w:pPr>
      <w:r>
        <w:rPr>
          <w:rFonts w:eastAsia="source serif 4" w:cs="source serif 4" w:ascii="source serif 4" w:hAnsi="source serif 4"/>
          <w:color w:val="000000"/>
          <w:sz w:val="21"/>
        </w:rPr>
        <w:t xml:space="preserve">Let SolarWinds’ AI agent handle </w:t>
      </w:r>
      <w:r>
        <w:rPr>
          <w:rFonts w:eastAsia="source serif 4" w:cs="source serif 4" w:ascii="source serif 4" w:hAnsi="source serif 4"/>
          <w:b/>
          <w:color w:val="000000"/>
          <w:sz w:val="21"/>
        </w:rPr>
        <w:t xml:space="preserve">network‑specific investigation</w:t>
      </w:r>
      <w:r>
        <w:rPr>
          <w:rFonts w:eastAsia="source serif 4" w:cs="source serif 4" w:ascii="source serif 4" w:hAnsi="source serif 4"/>
          <w:color w:val="000000"/>
          <w:sz w:val="21"/>
        </w:rPr>
        <w:t xml:space="preserve"> (device‑level health, config diffs, path analysis) and expose findings via APIs/webhooks to Edwin AI or directly into ServiceNow incidents; this keeps deep network logic near SolarWinds while sharing summarized context upstream.</w:t>
      </w:r>
      <w:bookmarkStart w:id="46" w:name="fnref6_6"/>
      <w:bookmarkEnd w:id="46"/>
      <w:hyperlink w:anchor="fn6">
        <w:r>
          <w:rPr>
            <w:rFonts w:eastAsia="source sans 3" w:cs="source sans 3" w:ascii="source sans 3" w:hAnsi="source sans 3"/>
            <w:color w:val="#000"/>
            <w:sz w:val="21"/>
            <w:u w:val="single"/>
            <w:vertAlign w:val="superscript"/>
          </w:rPr>
          <w:t xml:space="preserve">[6]</w:t>
        </w:r>
      </w:hyperlink>
      <w:bookmarkStart w:id="47" w:name="fnref5_2"/>
      <w:bookmarkEnd w:id="47"/>
      <w:hyperlink w:anchor="fn5">
        <w:r>
          <w:rPr>
            <w:rFonts w:eastAsia="source sans 3" w:cs="source sans 3" w:ascii="source sans 3" w:hAnsi="source sans 3"/>
            <w:color w:val="#000"/>
            <w:sz w:val="21"/>
            <w:u w:val="single"/>
            <w:vertAlign w:val="superscript"/>
          </w:rPr>
          <w:t xml:space="preserve">[5]</w:t>
        </w:r>
      </w:hyperlink>
    </w:p>
    <w:p>
      <w:pPr>
        <w:numPr>
          <w:ilvl w:val="0"/>
          <w:numId w:val="9"/>
        </w:numPr>
        <w:spacing w:line="360" w:before="105" w:after="105" w:lineRule="auto"/>
      </w:pPr>
      <w:r>
        <w:rPr>
          <w:rFonts w:eastAsia="source serif 4" w:cs="source serif 4" w:ascii="source serif 4" w:hAnsi="source serif 4"/>
          <w:color w:val="000000"/>
          <w:sz w:val="21"/>
        </w:rPr>
        <w:t xml:space="preserve">Use agentic workflows where Now Assist or Edwin AI can </w:t>
      </w:r>
      <w:r>
        <w:rPr>
          <w:rFonts w:eastAsia="source serif 4" w:cs="source serif 4" w:ascii="source serif 4" w:hAnsi="source serif 4"/>
          <w:b/>
          <w:color w:val="000000"/>
          <w:sz w:val="21"/>
        </w:rPr>
        <w:t xml:space="preserve">ask SolarWinds AI</w:t>
      </w:r>
      <w:r>
        <w:rPr>
          <w:rFonts w:eastAsia="source serif 4" w:cs="source serif 4" w:ascii="source serif 4" w:hAnsi="source serif 4"/>
          <w:color w:val="000000"/>
          <w:sz w:val="21"/>
        </w:rPr>
        <w:t xml:space="preserve"> for clarification (via defined actions) rather than building new network observability from scratch; this reduces integration effort and leverages your established Orion/Observability footprint.</w:t>
      </w:r>
      <w:bookmarkStart w:id="48" w:name="fnref6_7"/>
      <w:bookmarkEnd w:id="48"/>
      <w:hyperlink w:anchor="fn6">
        <w:r>
          <w:rPr>
            <w:rFonts w:eastAsia="source sans 3" w:cs="source sans 3" w:ascii="source sans 3" w:hAnsi="source sans 3"/>
            <w:color w:val="#000"/>
            <w:sz w:val="21"/>
            <w:u w:val="single"/>
            <w:vertAlign w:val="superscript"/>
          </w:rPr>
          <w:t xml:space="preserve">[6]</w:t>
        </w:r>
      </w:hyperlink>
      <w:bookmarkStart w:id="49" w:name="fnref9_7"/>
      <w:bookmarkEnd w:id="49"/>
      <w:hyperlink w:anchor="fn9">
        <w:r>
          <w:rPr>
            <w:rFonts w:eastAsia="source sans 3" w:cs="source sans 3" w:ascii="source sans 3" w:hAnsi="source sans 3"/>
            <w:color w:val="#000"/>
            <w:sz w:val="21"/>
            <w:u w:val="single"/>
            <w:vertAlign w:val="superscript"/>
          </w:rPr>
          <w:t xml:space="preserve">[9]</w:t>
        </w:r>
      </w:hyperlink>
      <w:bookmarkStart w:id="50" w:name="fnref5_3"/>
      <w:bookmarkEnd w:id="50"/>
      <w:hyperlink w:anchor="fn5">
        <w:r>
          <w:rPr>
            <w:rFonts w:eastAsia="source sans 3" w:cs="source sans 3" w:ascii="source sans 3" w:hAnsi="source sans 3"/>
            <w:color w:val="#000"/>
            <w:sz w:val="21"/>
            <w:u w:val="single"/>
            <w:vertAlign w:val="superscript"/>
          </w:rPr>
          <w:t xml:space="preserve">[5]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 w:name="access_control_and_database_security"/>
      <w:r>
        <w:rPr>
          <w:rFonts w:eastAsia="source serif 4" w:cs="source serif 4" w:ascii="source serif 4" w:hAnsi="source serif 4"/>
          <w:b/>
          <w:color w:val="000000"/>
          <w:sz w:val="24"/>
        </w:rPr>
        <w:t xml:space="preserve">Access control and database security</w:t>
      </w:r>
      <w:bookmarkEnd w:id="51"/>
    </w:p>
    <w:p>
      <w:pPr>
        <w:spacing w:line="360" w:after="210" w:lineRule="auto"/>
      </w:pPr>
      <w:r>
        <w:rPr>
          <w:rFonts w:eastAsia="source serif 4" w:cs="source serif 4" w:ascii="source serif 4" w:hAnsi="source serif 4"/>
          <w:color w:val="000000"/>
        </w:rPr>
        <w:t xml:space="preserve">On access control (AD, PAM, CyberArk, DB access monitoring), the goal is to use AI for </w:t>
      </w:r>
      <w:r>
        <w:rPr>
          <w:rFonts w:eastAsia="source serif 4" w:cs="source serif 4" w:ascii="source serif 4" w:hAnsi="source serif 4"/>
          <w:b/>
          <w:color w:val="000000"/>
        </w:rPr>
        <w:t xml:space="preserve">decision support and anomaly detection</w:t>
      </w:r>
      <w:r>
        <w:rPr>
          <w:rFonts w:eastAsia="source serif 4" w:cs="source serif 4" w:ascii="source serif 4" w:hAnsi="source serif 4"/>
          <w:color w:val="000000"/>
        </w:rPr>
        <w:t xml:space="preserve">, not direct credential handling.</w:t>
      </w:r>
    </w:p>
    <w:p>
      <w:pPr>
        <w:numPr>
          <w:ilvl w:val="0"/>
          <w:numId w:val="10"/>
        </w:numPr>
        <w:spacing w:line="360" w:before="105" w:after="105" w:lineRule="auto"/>
      </w:pPr>
      <w:r>
        <w:rPr>
          <w:rFonts w:eastAsia="source serif 4" w:cs="source serif 4" w:ascii="source serif 4" w:hAnsi="source serif 4"/>
          <w:color w:val="000000"/>
          <w:sz w:val="21"/>
        </w:rPr>
        <w:t xml:space="preserve">Agentic AIOps frameworks highlight Open Policy Agent (OPA), Vault, IAM and Azure AD as key components for governance and guardrails, ensuring autonomous agents operate within strict authorization boundaries.</w:t>
      </w:r>
      <w:bookmarkStart w:id="52" w:name="fnref9_8"/>
      <w:bookmarkEnd w:id="52"/>
      <w:hyperlink w:anchor="fn9">
        <w:r>
          <w:rPr>
            <w:rFonts w:eastAsia="source sans 3" w:cs="source sans 3" w:ascii="source sans 3" w:hAnsi="source sans 3"/>
            <w:color w:val="#000"/>
            <w:sz w:val="21"/>
            <w:u w:val="single"/>
            <w:vertAlign w:val="superscript"/>
          </w:rPr>
          <w:t xml:space="preserve">[9]</w:t>
        </w:r>
      </w:hyperlink>
    </w:p>
    <w:p>
      <w:pPr>
        <w:numPr>
          <w:ilvl w:val="0"/>
          <w:numId w:val="10"/>
        </w:numPr>
        <w:spacing w:line="360" w:before="105" w:after="105" w:lineRule="auto"/>
      </w:pPr>
      <w:r>
        <w:rPr>
          <w:rFonts w:eastAsia="source serif 4" w:cs="source serif 4" w:ascii="source serif 4" w:hAnsi="source serif 4"/>
          <w:color w:val="000000"/>
          <w:sz w:val="21"/>
        </w:rPr>
        <w:t xml:space="preserve">For data layer security, Splunk ML Toolkit, Elastic AIOps and DB access monitoring tools can be used to learn “normal” access patterns and flag anomalies—for example, unusual privileged queries outside change windows—feeding these into ITSM/AIOps workflows for investigation.</w:t>
      </w:r>
      <w:bookmarkStart w:id="53" w:name="fnref9_9"/>
      <w:bookmarkEnd w:id="53"/>
      <w:hyperlink w:anchor="fn9">
        <w:r>
          <w:rPr>
            <w:rFonts w:eastAsia="source sans 3" w:cs="source sans 3" w:ascii="source sans 3" w:hAnsi="source sans 3"/>
            <w:color w:val="#000"/>
            <w:sz w:val="21"/>
            <w:u w:val="single"/>
            <w:vertAlign w:val="superscript"/>
          </w:rPr>
          <w:t xml:space="preserve">[9]</w:t>
        </w:r>
      </w:hyperlink>
    </w:p>
    <w:p>
      <w:pPr>
        <w:spacing w:line="360" w:after="210" w:lineRule="auto"/>
      </w:pPr>
      <w:r>
        <w:rPr>
          <w:rFonts w:eastAsia="source serif 4" w:cs="source serif 4" w:ascii="source serif 4" w:hAnsi="source serif 4"/>
          <w:color w:val="000000"/>
        </w:rPr>
        <w:t xml:space="preserve">Recommended pattern:</w:t>
      </w:r>
    </w:p>
    <w:p>
      <w:pPr>
        <w:numPr>
          <w:ilvl w:val="0"/>
          <w:numId w:val="11"/>
        </w:numPr>
        <w:spacing w:line="360" w:before="105" w:after="105" w:lineRule="auto"/>
      </w:pPr>
      <w:r>
        <w:rPr>
          <w:rFonts w:eastAsia="source serif 4" w:cs="source serif 4" w:ascii="source serif 4" w:hAnsi="source serif 4"/>
          <w:color w:val="000000"/>
          <w:sz w:val="21"/>
        </w:rPr>
        <w:t xml:space="preserve">Keep </w:t>
      </w:r>
      <w:r>
        <w:rPr>
          <w:rFonts w:eastAsia="source serif 4" w:cs="source serif 4" w:ascii="source serif 4" w:hAnsi="source serif 4"/>
          <w:b/>
          <w:color w:val="000000"/>
          <w:sz w:val="21"/>
        </w:rPr>
        <w:t xml:space="preserve">CyberArk and DB Access Monitoring as the enforcement layer</w:t>
      </w:r>
      <w:r>
        <w:rPr>
          <w:rFonts w:eastAsia="source serif 4" w:cs="source serif 4" w:ascii="source serif 4" w:hAnsi="source serif 4"/>
          <w:color w:val="000000"/>
          <w:sz w:val="21"/>
        </w:rPr>
        <w:t xml:space="preserve">; integrate them with ServiceNow so that any agent‑proposed action involving privileged access is converted to a workflow step requiring human approval and is fully audited.</w:t>
      </w:r>
      <w:bookmarkStart w:id="54" w:name="fnref9_10"/>
      <w:bookmarkEnd w:id="54"/>
      <w:hyperlink w:anchor="fn9">
        <w:r>
          <w:rPr>
            <w:rFonts w:eastAsia="source sans 3" w:cs="source sans 3" w:ascii="source sans 3" w:hAnsi="source sans 3"/>
            <w:color w:val="#000"/>
            <w:sz w:val="21"/>
            <w:u w:val="single"/>
            <w:vertAlign w:val="superscript"/>
          </w:rPr>
          <w:t xml:space="preserve">[9]</w:t>
        </w:r>
      </w:hyperlink>
    </w:p>
    <w:p>
      <w:pPr>
        <w:numPr>
          <w:ilvl w:val="0"/>
          <w:numId w:val="11"/>
        </w:numPr>
        <w:spacing w:line="360" w:before="105" w:after="105" w:lineRule="auto"/>
      </w:pPr>
      <w:r>
        <w:rPr>
          <w:rFonts w:eastAsia="source serif 4" w:cs="source serif 4" w:ascii="source serif 4" w:hAnsi="source serif 4"/>
          <w:color w:val="000000"/>
          <w:sz w:val="21"/>
        </w:rPr>
        <w:t xml:space="preserve">Use Splunk/DB access monitoring to supply </w:t>
      </w:r>
      <w:r>
        <w:rPr>
          <w:rFonts w:eastAsia="source serif 4" w:cs="source serif 4" w:ascii="source serif 4" w:hAnsi="source serif 4"/>
          <w:b/>
          <w:color w:val="000000"/>
          <w:sz w:val="21"/>
        </w:rPr>
        <w:t xml:space="preserve">contextual risk scores</w:t>
      </w:r>
      <w:r>
        <w:rPr>
          <w:rFonts w:eastAsia="source serif 4" w:cs="source serif 4" w:ascii="source serif 4" w:hAnsi="source serif 4"/>
          <w:color w:val="000000"/>
          <w:sz w:val="21"/>
        </w:rPr>
        <w:t xml:space="preserve"> (e.g., “this session matches known malicious patterns”) into Now Assist/Edwin AI, so AI can prioritize or enrich incidents without ever directly touching credentials.</w:t>
      </w:r>
      <w:bookmarkStart w:id="55" w:name="fnref9_11"/>
      <w:bookmarkEnd w:id="55"/>
      <w:hyperlink w:anchor="fn9">
        <w:r>
          <w:rPr>
            <w:rFonts w:eastAsia="source sans 3" w:cs="source sans 3" w:ascii="source sans 3" w:hAnsi="source sans 3"/>
            <w:color w:val="#000"/>
            <w:sz w:val="21"/>
            <w:u w:val="single"/>
            <w:vertAlign w:val="superscript"/>
          </w:rPr>
          <w:t xml:space="preserve">[9]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 w:name="integration_with_your_existing_tools"/>
      <w:r>
        <w:rPr>
          <w:rFonts w:eastAsia="source serif 4" w:cs="source serif 4" w:ascii="source serif 4" w:hAnsi="source serif 4"/>
          <w:b/>
          <w:color w:val="000000"/>
          <w:sz w:val="24"/>
        </w:rPr>
        <w:t xml:space="preserve">Integration with your existing tools</w:t>
      </w:r>
      <w:bookmarkEnd w:id="56"/>
    </w:p>
    <w:p>
      <w:pPr>
        <w:spacing w:line="360" w:after="210" w:lineRule="auto"/>
      </w:pPr>
      <w:r>
        <w:rPr>
          <w:rFonts w:eastAsia="source serif 4" w:cs="source serif 4" w:ascii="source serif 4" w:hAnsi="source serif 4"/>
          <w:color w:val="000000"/>
        </w:rPr>
        <w:t xml:space="preserve">Here’s a concise mapping of tracks to recommended agentic AI tools and integration approach, tailored to your stack and MTTR/noise objective: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Track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Recommended agentic AI tools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How they integrate with your stack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Incident triage &amp; observability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LogicMonitor Edwin AI + ServiceNow Now Assist (ITOM/ITSM)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Edwin AI ingests metrics/events/logs from SolarWinds, Instana, Splunk, OEM; LMDX and A2A integration push root cause, impact, and next‑step recommendations into ServiceNow incidents.</w:t>
            </w:r>
            <w:hyperlink w:anchor="fn10">
              <w:r>
                <w:rPr>
                  <w:rFonts w:eastAsia="source sans 3" w:cs="source sans 3" w:ascii="source sans 3" w:hAnsi="source sans 3"/>
                  <w:color w:val="#000"/>
                  <w:sz w:val="17"/>
                  <w:u w:val="single"/>
                  <w:vertAlign w:val="superscript"/>
                </w:rPr>
                <w:t xml:space="preserve">[10]</w:t>
              </w:r>
            </w:hyperlink>
            <w:hyperlink w:anchor="fn11">
              <w:r>
                <w:rPr>
                  <w:rFonts w:eastAsia="source sans 3" w:cs="source sans 3" w:ascii="source sans 3" w:hAnsi="source sans 3"/>
                  <w:color w:val="#000"/>
                  <w:sz w:val="17"/>
                  <w:u w:val="single"/>
                  <w:vertAlign w:val="superscript"/>
                </w:rPr>
                <w:t xml:space="preserve">[11]</w:t>
              </w:r>
            </w:hyperlink>
            <w:hyperlink w:anchor="fn4">
              <w:r>
                <w:rPr>
                  <w:rFonts w:eastAsia="source sans 3" w:cs="source sans 3" w:ascii="source sans 3" w:hAnsi="source sans 3"/>
                  <w:color w:val="#000"/>
                  <w:sz w:val="17"/>
                  <w:u w:val="single"/>
                  <w:vertAlign w:val="superscript"/>
                </w:rPr>
                <w:t xml:space="preserve">[4]</w:t>
              </w:r>
            </w:hyperlink>
            <w:hyperlink w:anchor="fn6">
              <w:r>
                <w:rPr>
                  <w:rFonts w:eastAsia="source sans 3" w:cs="source sans 3" w:ascii="source sans 3" w:hAnsi="source sans 3"/>
                  <w:color w:val="#000"/>
                  <w:sz w:val="17"/>
                  <w:u w:val="single"/>
                  <w:vertAlign w:val="superscript"/>
                </w:rPr>
                <w:t xml:space="preserve">[6]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Service desk &amp; desktop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ServiceNow Now Assist; Moveworks (optional)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Now Assist auto‑summarizes and resolves ITSM tickets inside ServiceNow; Moveworks resolves chat‑initiated support requests and syncs with ServiceNow, deflecting common desktop issues.</w:t>
            </w:r>
            <w:hyperlink w:anchor="fn2">
              <w:r>
                <w:rPr>
                  <w:rFonts w:eastAsia="source sans 3" w:cs="source sans 3" w:ascii="source sans 3" w:hAnsi="source sans 3"/>
                  <w:color w:val="#000"/>
                  <w:sz w:val="17"/>
                  <w:u w:val="single"/>
                  <w:vertAlign w:val="superscript"/>
                </w:rPr>
                <w:t xml:space="preserve">[2]</w:t>
              </w:r>
            </w:hyperlink>
            <w:hyperlink w:anchor="fn14">
              <w:r>
                <w:rPr>
                  <w:rFonts w:eastAsia="source sans 3" w:cs="source sans 3" w:ascii="source sans 3" w:hAnsi="source sans 3"/>
                  <w:color w:val="#000"/>
                  <w:sz w:val="17"/>
                  <w:u w:val="single"/>
                  <w:vertAlign w:val="superscript"/>
                </w:rPr>
                <w:t xml:space="preserve">[14]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Windows/Linux/DB ops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Agentic AIOps framework (Google ADK/AWS Bedrock Q Agent + ServiceNow), Splunk ML Toolkit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Agents consume telemetry from OEM/Splunk/Instana, trigger ServiceNow incidents and orchestrated runbooks for remediation under change control, learning continuously from historical incident data.</w:t>
            </w:r>
            <w:hyperlink w:anchor="fn9">
              <w:r>
                <w:rPr>
                  <w:rFonts w:eastAsia="source sans 3" w:cs="source sans 3" w:ascii="source sans 3" w:hAnsi="source sans 3"/>
                  <w:color w:val="#000"/>
                  <w:sz w:val="17"/>
                  <w:u w:val="single"/>
                  <w:vertAlign w:val="superscript"/>
                </w:rPr>
                <w:t xml:space="preserve">[9]</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Network operations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SolarWinds Observability AI Agent + SW1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Natural‑language queries against SolarWinds environment, providing investigation context via APIs/webhooks to ServiceNow/Edwin AI, keeping network‑specific intelligence close to SolarWinds.</w:t>
            </w:r>
            <w:hyperlink w:anchor="fn5">
              <w:r>
                <w:rPr>
                  <w:rFonts w:eastAsia="source sans 3" w:cs="source sans 3" w:ascii="source sans 3" w:hAnsi="source sans 3"/>
                  <w:color w:val="#000"/>
                  <w:sz w:val="17"/>
                  <w:u w:val="single"/>
                  <w:vertAlign w:val="superscript"/>
                </w:rPr>
                <w:t xml:space="preserve">[5]</w:t>
              </w:r>
            </w:hyperlink>
            <w:hyperlink w:anchor="fn16">
              <w:r>
                <w:rPr>
                  <w:rFonts w:eastAsia="source sans 3" w:cs="source sans 3" w:ascii="source sans 3" w:hAnsi="source sans 3"/>
                  <w:color w:val="#000"/>
                  <w:sz w:val="17"/>
                  <w:u w:val="single"/>
                  <w:vertAlign w:val="superscript"/>
                </w:rPr>
                <w:t xml:space="preserve">[16]</w:t>
              </w:r>
            </w:hyperlink>
            <w:hyperlink w:anchor="fn7">
              <w:r>
                <w:rPr>
                  <w:rFonts w:eastAsia="source sans 3" w:cs="source sans 3" w:ascii="source sans 3" w:hAnsi="source sans 3"/>
                  <w:color w:val="#000"/>
                  <w:sz w:val="17"/>
                  <w:u w:val="single"/>
                  <w:vertAlign w:val="superscript"/>
                </w:rPr>
                <w:t xml:space="preserve">[7]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Access control &amp; DB security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ServiceNow workflows + CyberArk/DB access monitoring + Splunk/Elastic AIOps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AI agents use policy engines and PAM/DB monitoring outputs to enrich incidents and prioritize risky events while access enforcement and approvals remain in CyberArk/DB security tools.</w:t>
            </w:r>
            <w:hyperlink w:anchor="fn9">
              <w:r>
                <w:rPr>
                  <w:rFonts w:eastAsia="source sans 3" w:cs="source sans 3" w:ascii="source sans 3" w:hAnsi="source sans 3"/>
                  <w:color w:val="#000"/>
                  <w:sz w:val="17"/>
                  <w:u w:val="single"/>
                  <w:vertAlign w:val="superscript"/>
                </w:rPr>
                <w:t xml:space="preserve">[9]</w:t>
              </w:r>
            </w:hyperlink>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practical_next_steps_12_18_months"/>
      <w:r>
        <w:rPr>
          <w:rFonts w:eastAsia="source serif 4" w:cs="source serif 4" w:ascii="source serif 4" w:hAnsi="source serif 4"/>
          <w:b/>
          <w:color w:val="000000"/>
          <w:sz w:val="24"/>
        </w:rPr>
        <w:t xml:space="preserve">Practical next steps (12–18 months)</w:t>
      </w:r>
      <w:bookmarkEnd w:id="57"/>
    </w:p>
    <w:p>
      <w:pPr>
        <w:spacing w:line="360" w:after="210" w:lineRule="auto"/>
      </w:pPr>
      <w:r>
        <w:rPr>
          <w:rFonts w:eastAsia="source serif 4" w:cs="source serif 4" w:ascii="source serif 4" w:hAnsi="source serif 4"/>
          <w:color w:val="000000"/>
        </w:rPr>
        <w:t xml:space="preserve">Given your role and constraints (APAC/MAS, hybrid infra, existing tools), a phased plan could look like this:</w:t>
      </w:r>
    </w:p>
    <w:p>
      <w:pPr>
        <w:numPr>
          <w:ilvl w:val="0"/>
          <w:numId w:val="12"/>
        </w:numPr>
        <w:spacing w:line="360" w:before="105" w:after="105" w:lineRule="auto"/>
      </w:pPr>
      <w:r>
        <w:rPr>
          <w:rFonts w:eastAsia="source serif 4" w:cs="source serif 4" w:ascii="source serif 4" w:hAnsi="source serif 4"/>
          <w:b/>
          <w:color w:val="000000"/>
          <w:sz w:val="21"/>
        </w:rPr>
        <w:t xml:space="preserve">Define KPIs and guardrails.</w:t>
      </w:r>
      <w:r>
        <w:rPr>
          <w:rFonts w:eastAsia="source serif 4" w:cs="source serif 4" w:ascii="source serif 4" w:hAnsi="source serif 4"/>
          <w:color w:val="000000"/>
          <w:sz w:val="21"/>
        </w:rPr>
        <w:t xml:space="preserve"> Set explicit goals (e.g., 30–40% MTTR reduction, 50–70% alert noise reduction into ServiceNow, % of tickets auto‑summarized) and codify what agents may do autonomously vs. requiring human approval, using MAS TRM and internal risk appetite as anchors.</w:t>
      </w:r>
      <w:bookmarkStart w:id="58" w:name="fnref15_1"/>
      <w:bookmarkEnd w:id="58"/>
      <w:hyperlink w:anchor="fn15">
        <w:r>
          <w:rPr>
            <w:rFonts w:eastAsia="source sans 3" w:cs="source sans 3" w:ascii="source sans 3" w:hAnsi="source sans 3"/>
            <w:color w:val="#000"/>
            <w:sz w:val="21"/>
            <w:u w:val="single"/>
            <w:vertAlign w:val="superscript"/>
          </w:rPr>
          <w:t xml:space="preserve">[15]</w:t>
        </w:r>
      </w:hyperlink>
      <w:bookmarkStart w:id="59" w:name="fnref9_14"/>
      <w:bookmarkEnd w:id="59"/>
      <w:hyperlink w:anchor="fn9">
        <w:r>
          <w:rPr>
            <w:rFonts w:eastAsia="source sans 3" w:cs="source sans 3" w:ascii="source sans 3" w:hAnsi="source sans 3"/>
            <w:color w:val="#000"/>
            <w:sz w:val="21"/>
            <w:u w:val="single"/>
            <w:vertAlign w:val="superscript"/>
          </w:rPr>
          <w:t xml:space="preserve">[9]</w:t>
        </w:r>
      </w:hyperlink>
    </w:p>
    <w:p>
      <w:pPr>
        <w:numPr>
          <w:ilvl w:val="0"/>
          <w:numId w:val="12"/>
        </w:numPr>
        <w:spacing w:line="360" w:before="105" w:after="105" w:lineRule="auto"/>
      </w:pPr>
      <w:r>
        <w:rPr>
          <w:rFonts w:eastAsia="source serif 4" w:cs="source serif 4" w:ascii="source serif 4" w:hAnsi="source serif 4"/>
          <w:b/>
          <w:color w:val="000000"/>
          <w:sz w:val="21"/>
        </w:rPr>
        <w:t xml:space="preserve">Run a PoC/PoV on ServiceNow + Edwin AI.</w:t>
      </w:r>
      <w:r>
        <w:rPr>
          <w:rFonts w:eastAsia="source serif 4" w:cs="source serif 4" w:ascii="source serif 4" w:hAnsi="source serif 4"/>
          <w:color w:val="000000"/>
          <w:sz w:val="21"/>
        </w:rPr>
        <w:t xml:space="preserve"> Connect a subset of SolarWinds/Instana/Splunk feeds into LogicMonitor/Edwin AI, deploy LMDX and A2A integration to your ServiceNow non‑prod instance (preferably in an APAC region), and validate incident triage improvements on a controlled set of services.</w:t>
      </w:r>
      <w:bookmarkStart w:id="60" w:name="fnref1_1"/>
      <w:bookmarkEnd w:id="60"/>
      <w:hyperlink w:anchor="fn1">
        <w:r>
          <w:rPr>
            <w:rFonts w:eastAsia="source sans 3" w:cs="source sans 3" w:ascii="source sans 3" w:hAnsi="source sans 3"/>
            <w:color w:val="#000"/>
            <w:sz w:val="21"/>
            <w:u w:val="single"/>
            <w:vertAlign w:val="superscript"/>
          </w:rPr>
          <w:t xml:space="preserve">[1]</w:t>
        </w:r>
      </w:hyperlink>
      <w:bookmarkStart w:id="61" w:name="fnref11_2"/>
      <w:bookmarkEnd w:id="61"/>
      <w:hyperlink w:anchor="fn11">
        <w:r>
          <w:rPr>
            <w:rFonts w:eastAsia="source sans 3" w:cs="source sans 3" w:ascii="source sans 3" w:hAnsi="source sans 3"/>
            <w:color w:val="#000"/>
            <w:sz w:val="21"/>
            <w:u w:val="single"/>
            <w:vertAlign w:val="superscript"/>
          </w:rPr>
          <w:t xml:space="preserve">[11]</w:t>
        </w:r>
      </w:hyperlink>
      <w:bookmarkStart w:id="62" w:name="fnref3_4"/>
      <w:bookmarkEnd w:id="62"/>
      <w:hyperlink w:anchor="fn3">
        <w:r>
          <w:rPr>
            <w:rFonts w:eastAsia="source sans 3" w:cs="source sans 3" w:ascii="source sans 3" w:hAnsi="source sans 3"/>
            <w:color w:val="#000"/>
            <w:sz w:val="21"/>
            <w:u w:val="single"/>
            <w:vertAlign w:val="superscript"/>
          </w:rPr>
          <w:t xml:space="preserve">[3]</w:t>
        </w:r>
      </w:hyperlink>
      <w:bookmarkStart w:id="63" w:name="fnref12_1"/>
      <w:bookmarkEnd w:id="63"/>
      <w:hyperlink w:anchor="fn12">
        <w:r>
          <w:rPr>
            <w:rFonts w:eastAsia="source sans 3" w:cs="source sans 3" w:ascii="source sans 3" w:hAnsi="source sans 3"/>
            <w:color w:val="#000"/>
            <w:sz w:val="21"/>
            <w:u w:val="single"/>
            <w:vertAlign w:val="superscript"/>
          </w:rPr>
          <w:t xml:space="preserve">[12]</w:t>
        </w:r>
      </w:hyperlink>
      <w:bookmarkStart w:id="64" w:name="fnref6_9"/>
      <w:bookmarkEnd w:id="64"/>
      <w:hyperlink w:anchor="fn6">
        <w:r>
          <w:rPr>
            <w:rFonts w:eastAsia="source sans 3" w:cs="source sans 3" w:ascii="source sans 3" w:hAnsi="source sans 3"/>
            <w:color w:val="#000"/>
            <w:sz w:val="21"/>
            <w:u w:val="single"/>
            <w:vertAlign w:val="superscript"/>
          </w:rPr>
          <w:t xml:space="preserve">[6]</w:t>
        </w:r>
      </w:hyperlink>
    </w:p>
    <w:p>
      <w:pPr>
        <w:numPr>
          <w:ilvl w:val="0"/>
          <w:numId w:val="12"/>
        </w:numPr>
        <w:spacing w:line="360" w:before="105" w:after="105" w:lineRule="auto"/>
      </w:pPr>
      <w:r>
        <w:rPr>
          <w:rFonts w:eastAsia="source serif 4" w:cs="source serif 4" w:ascii="source serif 4" w:hAnsi="source serif 4"/>
          <w:b/>
          <w:color w:val="000000"/>
          <w:sz w:val="21"/>
        </w:rPr>
        <w:t xml:space="preserve">Layer in service desk automation.</w:t>
      </w:r>
      <w:r>
        <w:rPr>
          <w:rFonts w:eastAsia="source serif 4" w:cs="source serif 4" w:ascii="source serif 4" w:hAnsi="source serif 4"/>
          <w:color w:val="000000"/>
          <w:sz w:val="21"/>
        </w:rPr>
        <w:t xml:space="preserve"> Enable Now Assist for ITSM/HR on limited catalogs (password reset, software requests, simple access) and measure deflection/resolution gains; optionally pilot Moveworks with selected business units on Teams for further ticket reduction.</w:t>
      </w:r>
      <w:bookmarkStart w:id="65" w:name="fnref2_8"/>
      <w:bookmarkEnd w:id="65"/>
      <w:hyperlink w:anchor="fn2">
        <w:r>
          <w:rPr>
            <w:rFonts w:eastAsia="source sans 3" w:cs="source sans 3" w:ascii="source sans 3" w:hAnsi="source sans 3"/>
            <w:color w:val="#000"/>
            <w:sz w:val="21"/>
            <w:u w:val="single"/>
            <w:vertAlign w:val="superscript"/>
          </w:rPr>
          <w:t xml:space="preserve">[2]</w:t>
        </w:r>
      </w:hyperlink>
      <w:bookmarkStart w:id="66" w:name="fnref14_2"/>
      <w:bookmarkEnd w:id="66"/>
      <w:hyperlink w:anchor="fn14">
        <w:r>
          <w:rPr>
            <w:rFonts w:eastAsia="source sans 3" w:cs="source sans 3" w:ascii="source sans 3" w:hAnsi="source sans 3"/>
            <w:color w:val="#000"/>
            <w:sz w:val="21"/>
            <w:u w:val="single"/>
            <w:vertAlign w:val="superscript"/>
          </w:rPr>
          <w:t xml:space="preserve">[14]</w:t>
        </w:r>
      </w:hyperlink>
    </w:p>
    <w:p>
      <w:pPr>
        <w:numPr>
          <w:ilvl w:val="0"/>
          <w:numId w:val="12"/>
        </w:numPr>
        <w:spacing w:line="360" w:before="105" w:after="105" w:lineRule="auto"/>
      </w:pPr>
      <w:r>
        <w:rPr>
          <w:rFonts w:eastAsia="source serif 4" w:cs="source serif 4" w:ascii="source serif 4" w:hAnsi="source serif 4"/>
          <w:b/>
          <w:color w:val="000000"/>
          <w:sz w:val="21"/>
        </w:rPr>
        <w:t xml:space="preserve">Extend to network and platform ops.</w:t>
      </w:r>
      <w:r>
        <w:rPr>
          <w:rFonts w:eastAsia="source serif 4" w:cs="source serif 4" w:ascii="source serif 4" w:hAnsi="source serif 4"/>
          <w:color w:val="000000"/>
          <w:sz w:val="21"/>
        </w:rPr>
        <w:t xml:space="preserve"> Upgrade SolarWinds to the 2026.1 platform and trial the AI agent/SW1 for natural‑language investigations, then incorporate Splunk ML Toolkit and agentic workflows around OEM/SQL/Oracle for anomaly‑driven remediation proposals.</w:t>
      </w:r>
      <w:bookmarkStart w:id="67" w:name="fnref5_5"/>
      <w:bookmarkEnd w:id="67"/>
      <w:hyperlink w:anchor="fn5">
        <w:r>
          <w:rPr>
            <w:rFonts w:eastAsia="source sans 3" w:cs="source sans 3" w:ascii="source sans 3" w:hAnsi="source sans 3"/>
            <w:color w:val="#000"/>
            <w:sz w:val="21"/>
            <w:u w:val="single"/>
            <w:vertAlign w:val="superscript"/>
          </w:rPr>
          <w:t xml:space="preserve">[5]</w:t>
        </w:r>
      </w:hyperlink>
      <w:bookmarkStart w:id="68" w:name="fnref7_4"/>
      <w:bookmarkEnd w:id="68"/>
      <w:hyperlink w:anchor="fn7">
        <w:r>
          <w:rPr>
            <w:rFonts w:eastAsia="source sans 3" w:cs="source sans 3" w:ascii="source sans 3" w:hAnsi="source sans 3"/>
            <w:color w:val="#000"/>
            <w:sz w:val="21"/>
            <w:u w:val="single"/>
            <w:vertAlign w:val="superscript"/>
          </w:rPr>
          <w:t xml:space="preserve">[7]</w:t>
        </w:r>
      </w:hyperlink>
      <w:bookmarkStart w:id="69" w:name="fnref9_15"/>
      <w:bookmarkEnd w:id="69"/>
      <w:hyperlink w:anchor="fn9">
        <w:r>
          <w:rPr>
            <w:rFonts w:eastAsia="source sans 3" w:cs="source sans 3" w:ascii="source sans 3" w:hAnsi="source sans 3"/>
            <w:color w:val="#000"/>
            <w:sz w:val="21"/>
            <w:u w:val="single"/>
            <w:vertAlign w:val="superscript"/>
          </w:rPr>
          <w:t xml:space="preserve">[9]</w:t>
        </w:r>
      </w:hyperlink>
    </w:p>
    <w:p>
      <w:pPr>
        <w:numPr>
          <w:ilvl w:val="0"/>
          <w:numId w:val="12"/>
        </w:numPr>
        <w:spacing w:line="360" w:before="105" w:after="105" w:lineRule="auto"/>
      </w:pPr>
      <w:r>
        <w:rPr>
          <w:rFonts w:eastAsia="source serif 4" w:cs="source serif 4" w:ascii="source serif 4" w:hAnsi="source serif 4"/>
          <w:b/>
          <w:color w:val="000000"/>
          <w:sz w:val="21"/>
        </w:rPr>
        <w:t xml:space="preserve">Formalize governance and scale.</w:t>
      </w:r>
      <w:r>
        <w:rPr>
          <w:rFonts w:eastAsia="source serif 4" w:cs="source serif 4" w:ascii="source serif 4" w:hAnsi="source serif 4"/>
          <w:color w:val="000000"/>
          <w:sz w:val="21"/>
        </w:rPr>
        <w:t xml:space="preserve"> Use the nine‑stage agentic AIOps framework (assessment, agent design, integration, autonomous workflows, learning, governance, simulation, deployment, continuous improvement) as the backbone of your internal “AI for IT Ops” program, documenting patterns and controls for broader rollout.</w:t>
      </w:r>
      <w:bookmarkStart w:id="70" w:name="fnref8_1"/>
      <w:bookmarkEnd w:id="70"/>
      <w:hyperlink w:anchor="fn8">
        <w:r>
          <w:rPr>
            <w:rFonts w:eastAsia="source sans 3" w:cs="source sans 3" w:ascii="source sans 3" w:hAnsi="source sans 3"/>
            <w:color w:val="#000"/>
            <w:sz w:val="21"/>
            <w:u w:val="single"/>
            <w:vertAlign w:val="superscript"/>
          </w:rPr>
          <w:t xml:space="preserve">[8]</w:t>
        </w:r>
      </w:hyperlink>
      <w:bookmarkStart w:id="71" w:name="fnref9_16"/>
      <w:bookmarkEnd w:id="71"/>
      <w:hyperlink w:anchor="fn9">
        <w:r>
          <w:rPr>
            <w:rFonts w:eastAsia="source sans 3" w:cs="source sans 3" w:ascii="source sans 3" w:hAnsi="source sans 3"/>
            <w:color w:val="#000"/>
            <w:sz w:val="21"/>
            <w:u w:val="single"/>
            <w:vertAlign w:val="superscript"/>
          </w:rPr>
          <w:t xml:space="preserve">[9]</w:t>
        </w:r>
      </w:hyperlink>
    </w:p>
    <w:p>
      <w:pPr>
        <w:spacing w:line="360" w:after="210" w:lineRule="auto"/>
      </w:pPr>
      <w:r>
        <w:rPr>
          <w:rFonts w:eastAsia="source serif 4" w:cs="source serif 4" w:ascii="source serif 4" w:hAnsi="source serif 4"/>
          <w:color w:val="000000"/>
        </w:rPr>
        <w:t xml:space="preserve">If you’d like, I can next help you design a more detailed pilot plan (PoC + PoV) specifically for “ServiceNow + Edwin AI + SolarWinds/Splunk/Instana” in a MAS‑compliant bank, including data‑flow diagrams and RACI for Infra vs App vs SecOps.</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72" w:name="fn1"/>
    <w:bookmarkEnd w:id="72"/>
    <w:p>
      <w:pPr>
        <w:numPr>
          <w:ilvl w:val="0"/>
          <w:numId w:val="14"/>
        </w:numPr>
        <w:spacing w:line="360" w:after="210" w:lineRule="auto"/>
      </w:pPr>
      <w:hyperlink r:id="rId6">
        <w:r>
          <w:rPr>
            <w:rFonts w:eastAsia="source sans 3" w:cs="source sans 3" w:ascii="source sans 3" w:hAnsi="source sans 3"/>
            <w:color w:val="#000"/>
            <w:sz w:val="18"/>
            <w:u w:val="single"/>
          </w:rPr>
          <w:t xml:space="preserve">https://www.perplexity.ai/search/dbc48740-73e6-4974-ad87-d6b6afd12ce1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73" w:name="fn2"/>
    <w:bookmarkEnd w:id="73"/>
    <w:p>
      <w:pPr>
        <w:numPr>
          <w:ilvl w:val="0"/>
          <w:numId w:val="14"/>
        </w:numPr>
        <w:spacing w:line="360" w:after="210" w:lineRule="auto"/>
      </w:pPr>
      <w:hyperlink r:id="rId7">
        <w:r>
          <w:rPr>
            <w:rFonts w:eastAsia="source sans 3" w:cs="source sans 3" w:ascii="source sans 3" w:hAnsi="source sans 3"/>
            <w:color w:val="#000"/>
            <w:sz w:val="18"/>
            <w:u w:val="single"/>
          </w:rPr>
          <w:t xml:space="preserve">https://www.cygnet.one/feeds/blog/agentic-ai-tools-enterprise-operations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74" w:name="fn3"/>
    <w:bookmarkEnd w:id="74"/>
    <w:p>
      <w:pPr>
        <w:numPr>
          <w:ilvl w:val="0"/>
          <w:numId w:val="14"/>
        </w:numPr>
        <w:spacing w:line="360" w:after="210" w:lineRule="auto"/>
      </w:pPr>
      <w:hyperlink r:id="rId8">
        <w:r>
          <w:rPr>
            <w:rFonts w:eastAsia="source sans 3" w:cs="source sans 3" w:ascii="source sans 3" w:hAnsi="source sans 3"/>
            <w:color w:val="#000"/>
            <w:sz w:val="18"/>
            <w:u w:val="single"/>
          </w:rPr>
          <w:t xml:space="preserve">https://www.servicenow.com/docs/r/it-operations-management/exploring-nowassist-setup-itom-aiops.html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75" w:name="fn4"/>
    <w:bookmarkEnd w:id="75"/>
    <w:p>
      <w:pPr>
        <w:numPr>
          <w:ilvl w:val="0"/>
          <w:numId w:val="14"/>
        </w:numPr>
        <w:spacing w:line="360" w:after="210" w:lineRule="auto"/>
      </w:pPr>
      <w:hyperlink r:id="rId9">
        <w:r>
          <w:rPr>
            <w:rFonts w:eastAsia="source sans 3" w:cs="source sans 3" w:ascii="source sans 3" w:hAnsi="source sans 3"/>
            <w:color w:val="#000"/>
            <w:sz w:val="18"/>
            <w:u w:val="single"/>
          </w:rPr>
          <w:t xml:space="preserve">https://www.logicmonitor.com/release-notes/2026-june-4-edwin-ai-release-notes-v-14-0-2-2-2</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76" w:name="fn5"/>
    <w:bookmarkEnd w:id="76"/>
    <w:p>
      <w:pPr>
        <w:numPr>
          <w:ilvl w:val="0"/>
          <w:numId w:val="14"/>
        </w:numPr>
        <w:spacing w:line="360" w:after="210" w:lineRule="auto"/>
      </w:pPr>
      <w:hyperlink r:id="rId10">
        <w:r>
          <w:rPr>
            <w:rFonts w:eastAsia="source sans 3" w:cs="source sans 3" w:ascii="source sans 3" w:hAnsi="source sans 3"/>
            <w:color w:val="#000"/>
            <w:sz w:val="18"/>
            <w:u w:val="single"/>
          </w:rPr>
          <w:t xml:space="preserve">https://thwack.solarwinds.com/discussion/151496/meet-the-ai-agent-in-solarwinds-observability-self-hosted-2026-1-preview</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77" w:name="fn6"/>
    <w:bookmarkEnd w:id="77"/>
    <w:p>
      <w:pPr>
        <w:numPr>
          <w:ilvl w:val="0"/>
          <w:numId w:val="14"/>
        </w:numPr>
        <w:spacing w:line="360" w:after="210" w:lineRule="auto"/>
      </w:pPr>
      <w:hyperlink r:id="rId11">
        <w:r>
          <w:rPr>
            <w:rFonts w:eastAsia="source sans 3" w:cs="source sans 3" w:ascii="source sans 3" w:hAnsi="source sans 3"/>
            <w:color w:val="#000"/>
            <w:sz w:val="18"/>
            <w:u w:val="single"/>
          </w:rPr>
          <w:t xml:space="preserve">https://www.logicmonitor.com/blog/edwin-ai-servicenow-now-assist</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78" w:name="fn7"/>
    <w:bookmarkEnd w:id="78"/>
    <w:p>
      <w:pPr>
        <w:numPr>
          <w:ilvl w:val="0"/>
          <w:numId w:val="14"/>
        </w:numPr>
        <w:spacing w:line="360" w:after="210" w:lineRule="auto"/>
      </w:pPr>
      <w:hyperlink r:id="rId12">
        <w:r>
          <w:rPr>
            <w:rFonts w:eastAsia="source sans 3" w:cs="source sans 3" w:ascii="source sans 3" w:hAnsi="source sans 3"/>
            <w:color w:val="#000"/>
            <w:sz w:val="18"/>
            <w:u w:val="single"/>
          </w:rPr>
          <w:t xml:space="preserve">https://ramgesoft.com/component/content/article/solarwinds-platform-2026-1-offiziell-released?catid=8&amp;Itemid=101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79" w:name="fn8"/>
    <w:bookmarkEnd w:id="79"/>
    <w:p>
      <w:pPr>
        <w:numPr>
          <w:ilvl w:val="0"/>
          <w:numId w:val="14"/>
        </w:numPr>
        <w:spacing w:line="360" w:after="210" w:lineRule="auto"/>
      </w:pPr>
      <w:hyperlink r:id="rId13">
        <w:r>
          <w:rPr>
            <w:rFonts w:eastAsia="source sans 3" w:cs="source sans 3" w:ascii="source sans 3" w:hAnsi="source sans 3"/>
            <w:color w:val="#000"/>
            <w:sz w:val="18"/>
            <w:u w:val="single"/>
          </w:rPr>
          <w:t xml:space="preserve">https://www.perplexity.ai/search/196c5d0f-6e8d-4215-91a2-5a3808ec9303</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0" w:name="fn9"/>
    <w:bookmarkEnd w:id="80"/>
    <w:p>
      <w:pPr>
        <w:numPr>
          <w:ilvl w:val="0"/>
          <w:numId w:val="14"/>
        </w:numPr>
        <w:spacing w:line="360" w:after="210" w:lineRule="auto"/>
      </w:pPr>
      <w:hyperlink r:id="rId14">
        <w:r>
          <w:rPr>
            <w:rFonts w:eastAsia="source sans 3" w:cs="source sans 3" w:ascii="source sans 3" w:hAnsi="source sans 3"/>
            <w:color w:val="#000"/>
            <w:sz w:val="18"/>
            <w:u w:val="single"/>
          </w:rPr>
          <w:t xml:space="preserve">https://www.linkedin.com/pulse/automating-operations-agentic-ai-practical-framework-aiops-nigam-dhasc</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1" w:name="fn10"/>
    <w:bookmarkEnd w:id="81"/>
    <w:p>
      <w:pPr>
        <w:numPr>
          <w:ilvl w:val="0"/>
          <w:numId w:val="14"/>
        </w:numPr>
        <w:spacing w:line="360" w:after="210" w:lineRule="auto"/>
      </w:pPr>
      <w:hyperlink r:id="rId15">
        <w:r>
          <w:rPr>
            <w:rFonts w:eastAsia="source sans 3" w:cs="source sans 3" w:ascii="source sans 3" w:hAnsi="source sans 3"/>
            <w:color w:val="#000"/>
            <w:sz w:val="18"/>
            <w:u w:val="single"/>
          </w:rPr>
          <w:t xml:space="preserve">https://store.servicenow.com/store/app/af8febee1b646a50a85b16db234bcb30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2" w:name="fn11"/>
    <w:bookmarkEnd w:id="82"/>
    <w:p>
      <w:pPr>
        <w:numPr>
          <w:ilvl w:val="0"/>
          <w:numId w:val="14"/>
        </w:numPr>
        <w:spacing w:line="360" w:after="210" w:lineRule="auto"/>
      </w:pPr>
      <w:hyperlink r:id="rId16">
        <w:r>
          <w:rPr>
            <w:rFonts w:eastAsia="source sans 3" w:cs="source sans 3" w:ascii="source sans 3" w:hAnsi="source sans 3"/>
            <w:color w:val="#000"/>
            <w:sz w:val="18"/>
            <w:u w:val="single"/>
          </w:rPr>
          <w:t xml:space="preserve">https://www.logicmonitor.com/release-notes/v9-3-edwin-ai-release-notes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3" w:name="fn12"/>
    <w:bookmarkEnd w:id="83"/>
    <w:p>
      <w:pPr>
        <w:numPr>
          <w:ilvl w:val="0"/>
          <w:numId w:val="14"/>
        </w:numPr>
        <w:spacing w:line="360" w:after="210" w:lineRule="auto"/>
      </w:pPr>
      <w:hyperlink r:id="rId17">
        <w:r>
          <w:rPr>
            <w:rFonts w:eastAsia="source sans 3" w:cs="source sans 3" w:ascii="source sans 3" w:hAnsi="source sans 3"/>
            <w:color w:val="#000"/>
            <w:sz w:val="18"/>
            <w:u w:val="single"/>
          </w:rPr>
          <w:t xml:space="preserve">https://www.logicmonitor.com/support/edwin/installing-lmdx-with-domain-separation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4" w:name="fn13"/>
    <w:bookmarkEnd w:id="84"/>
    <w:p>
      <w:pPr>
        <w:numPr>
          <w:ilvl w:val="0"/>
          <w:numId w:val="14"/>
        </w:numPr>
        <w:spacing w:line="360" w:after="210" w:lineRule="auto"/>
      </w:pPr>
      <w:hyperlink r:id="rId18">
        <w:r>
          <w:rPr>
            <w:rFonts w:eastAsia="source sans 3" w:cs="source sans 3" w:ascii="source sans 3" w:hAnsi="source sans 3"/>
            <w:color w:val="#000"/>
            <w:sz w:val="18"/>
            <w:u w:val="single"/>
          </w:rPr>
          <w:t xml:space="preserve">https://www.logicmonitor.com/blog/logicmonitor-servicenow-agentic-ai-ops-integration</w:t>
        </w:r>
      </w:hyperlink>
      <w:r>
        <w:rPr>
          <w:rFonts w:eastAsia="source serif 4" w:cs="source serif 4" w:ascii="source serif 4" w:hAnsi="source serif 4"/>
          <w:color w:val="000000"/>
          <w:sz w:val="18"/>
        </w:rPr>
        <w:t xml:space="preserve"> </w:t>
      </w:r>
    </w:p>
    <w:bookmarkStart w:id="85" w:name="fn14"/>
    <w:bookmarkEnd w:id="85"/>
    <w:p>
      <w:pPr>
        <w:numPr>
          <w:ilvl w:val="0"/>
          <w:numId w:val="14"/>
        </w:numPr>
        <w:spacing w:line="360" w:after="210" w:lineRule="auto"/>
      </w:pPr>
      <w:hyperlink r:id="rId19">
        <w:r>
          <w:rPr>
            <w:rFonts w:eastAsia="source sans 3" w:cs="source sans 3" w:ascii="source sans 3" w:hAnsi="source sans 3"/>
            <w:color w:val="#000"/>
            <w:sz w:val="18"/>
            <w:u w:val="single"/>
          </w:rPr>
          <w:t xml:space="preserve">https://www.youtube.com/watch?v=sK8JKrWkaqQ</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6" w:name="fn15"/>
    <w:bookmarkEnd w:id="86"/>
    <w:p>
      <w:pPr>
        <w:numPr>
          <w:ilvl w:val="0"/>
          <w:numId w:val="14"/>
        </w:numPr>
        <w:spacing w:line="360" w:after="210" w:lineRule="auto"/>
      </w:pPr>
      <w:hyperlink r:id="rId20">
        <w:r>
          <w:rPr>
            <w:rFonts w:eastAsia="source sans 3" w:cs="source sans 3" w:ascii="source sans 3" w:hAnsi="source sans 3"/>
            <w:color w:val="#000"/>
            <w:sz w:val="18"/>
            <w:u w:val="single"/>
          </w:rPr>
          <w:t xml:space="preserve">https://www.perplexity.ai/search/ee288541-56d9-4f98-843e-1214b22aecf3</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7" w:name="fn16"/>
    <w:bookmarkEnd w:id="87"/>
    <w:p>
      <w:pPr>
        <w:numPr>
          <w:ilvl w:val="0"/>
          <w:numId w:val="14"/>
        </w:numPr>
        <w:spacing w:line="360" w:after="210" w:lineRule="auto"/>
      </w:pPr>
      <w:hyperlink r:id="rId21">
        <w:r>
          <w:rPr>
            <w:rFonts w:eastAsia="source sans 3" w:cs="source sans 3" w:ascii="source sans 3" w:hAnsi="source sans 3"/>
            <w:color w:val="#000"/>
            <w:sz w:val="18"/>
            <w:u w:val="single"/>
          </w:rPr>
          <w:t xml:space="preserve">https://www.solarwinds.com/company/newsroom/press-releases/solarwinds-launches-sw1-an-agentic-ai-teammate-to-power-the-next-era-of-it-automation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88" w:name="fn17"/>
    <w:bookmarkEnd w:id="88"/>
    <w:p>
      <w:pPr>
        <w:numPr>
          <w:ilvl w:val="0"/>
          <w:numId w:val="14"/>
        </w:numPr>
        <w:spacing w:line="360" w:after="210" w:lineRule="auto"/>
      </w:pPr>
      <w:r>
        <w:rPr>
          <w:rFonts w:eastAsia="source serif 4" w:cs="source serif 4" w:ascii="source serif 4" w:hAnsi="source serif 4"/>
          <w:color w:val="000000"/>
          <w:sz w:val="18"/>
        </w:rPr>
        <w:t xml:space="preserve">image.jpg </w:t>
      </w:r>
    </w:p>
    <w:bookmarkStart w:id="89" w:name="fn18"/>
    <w:bookmarkEnd w:id="89"/>
    <w:p>
      <w:pPr>
        <w:numPr>
          <w:ilvl w:val="0"/>
          <w:numId w:val="14"/>
        </w:numPr>
        <w:spacing w:line="360" w:after="210" w:lineRule="auto"/>
      </w:pPr>
      <w:hyperlink r:id="rId22">
        <w:r>
          <w:rPr>
            <w:rFonts w:eastAsia="source sans 3" w:cs="source sans 3" w:ascii="source sans 3" w:hAnsi="source sans 3"/>
            <w:color w:val="#000"/>
            <w:sz w:val="18"/>
            <w:u w:val="single"/>
          </w:rPr>
          <w:t xml:space="preserve">https://opsima.com/blog/comparison/best-agentic-ai-tools-industrial-operations/</w:t>
        </w:r>
      </w:hyperlink>
      <w:r>
        <w:rPr>
          <w:rFonts w:eastAsia="source serif 4" w:cs="source serif 4" w:ascii="source serif 4" w:hAnsi="source serif 4"/>
          <w:color w:val="000000"/>
          <w:sz w:val="18"/>
        </w:rPr>
        <w:t xml:space="preserve"> </w:t>
      </w:r>
    </w:p>
    <w:bookmarkStart w:id="90" w:name="fn19"/>
    <w:bookmarkEnd w:id="90"/>
    <w:p>
      <w:pPr>
        <w:numPr>
          <w:ilvl w:val="0"/>
          <w:numId w:val="14"/>
        </w:numPr>
        <w:spacing w:line="360" w:after="210" w:lineRule="auto"/>
      </w:pPr>
      <w:hyperlink r:id="rId23">
        <w:r>
          <w:rPr>
            <w:rFonts w:eastAsia="source sans 3" w:cs="source sans 3" w:ascii="source sans 3" w:hAnsi="source sans 3"/>
            <w:color w:val="#000"/>
            <w:sz w:val="18"/>
            <w:u w:val="single"/>
          </w:rPr>
          <w:t xml:space="preserve">https://documentation.solarwinds.com/en/success_center/orionplatform/content/release_notes/hco_2026-1-1_release_notes.htm</w:t>
        </w:r>
      </w:hyperlink>
      <w:r>
        <w:rPr>
          <w:rFonts w:eastAsia="source serif 4" w:cs="source serif 4" w:ascii="source serif 4" w:hAnsi="source serif 4"/>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abstractNum>
  <w:abstractNum w:abstractNumId="1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4bc5c993ab1b2265a37c5c30c59f703b9a875e64.png" TargetMode="Internal"/><Relationship Id="rId6" Type="http://schemas.openxmlformats.org/officeDocument/2006/relationships/hyperlink" Target="https://www.perplexity.ai/search/dbc48740-73e6-4974-ad87-d6b6afd12ce1" TargetMode="External"/><Relationship Id="rId7" Type="http://schemas.openxmlformats.org/officeDocument/2006/relationships/hyperlink" Target="https://www.cygnet.one/feeds/blog/agentic-ai-tools-enterprise-operations" TargetMode="External"/><Relationship Id="rId8" Type="http://schemas.openxmlformats.org/officeDocument/2006/relationships/hyperlink" Target="https://www.servicenow.com/docs/r/it-operations-management/exploring-nowassist-setup-itom-aiops.html" TargetMode="External"/><Relationship Id="rId9" Type="http://schemas.openxmlformats.org/officeDocument/2006/relationships/hyperlink" Target="https://www.logicmonitor.com/release-notes/2026-june-4-edwin-ai-release-notes-v-14-0-2-2-2" TargetMode="External"/><Relationship Id="rId10" Type="http://schemas.openxmlformats.org/officeDocument/2006/relationships/hyperlink" Target="https://thwack.solarwinds.com/discussion/151496/meet-the-ai-agent-in-solarwinds-observability-self-hosted-2026-1-preview" TargetMode="External"/><Relationship Id="rId11" Type="http://schemas.openxmlformats.org/officeDocument/2006/relationships/hyperlink" Target="https://www.logicmonitor.com/blog/edwin-ai-servicenow-now-assist" TargetMode="External"/><Relationship Id="rId12" Type="http://schemas.openxmlformats.org/officeDocument/2006/relationships/hyperlink" Target="https://ramgesoft.com/component/content/article/solarwinds-platform-2026-1-offiziell-released?catid=8&amp;Itemid=101" TargetMode="External"/><Relationship Id="rId13" Type="http://schemas.openxmlformats.org/officeDocument/2006/relationships/hyperlink" Target="https://www.perplexity.ai/search/196c5d0f-6e8d-4215-91a2-5a3808ec9303" TargetMode="External"/><Relationship Id="rId14" Type="http://schemas.openxmlformats.org/officeDocument/2006/relationships/hyperlink" Target="https://www.linkedin.com/pulse/automating-operations-agentic-ai-practical-framework-aiops-nigam-dhasc" TargetMode="External"/><Relationship Id="rId15" Type="http://schemas.openxmlformats.org/officeDocument/2006/relationships/hyperlink" Target="https://store.servicenow.com/store/app/af8febee1b646a50a85b16db234bcb30" TargetMode="External"/><Relationship Id="rId16" Type="http://schemas.openxmlformats.org/officeDocument/2006/relationships/hyperlink" Target="https://www.logicmonitor.com/release-notes/v9-3-edwin-ai-release-notes" TargetMode="External"/><Relationship Id="rId17" Type="http://schemas.openxmlformats.org/officeDocument/2006/relationships/hyperlink" Target="https://www.logicmonitor.com/support/edwin/installing-lmdx-with-domain-separation" TargetMode="External"/><Relationship Id="rId18" Type="http://schemas.openxmlformats.org/officeDocument/2006/relationships/hyperlink" Target="https://www.logicmonitor.com/blog/logicmonitor-servicenow-agentic-ai-ops-integration" TargetMode="External"/><Relationship Id="rId19" Type="http://schemas.openxmlformats.org/officeDocument/2006/relationships/hyperlink" Target="https://www.youtube.com/watch?v=sK8JKrWkaqQ" TargetMode="External"/><Relationship Id="rId20" Type="http://schemas.openxmlformats.org/officeDocument/2006/relationships/hyperlink" Target="https://www.perplexity.ai/search/ee288541-56d9-4f98-843e-1214b22aecf3" TargetMode="External"/><Relationship Id="rId21" Type="http://schemas.openxmlformats.org/officeDocument/2006/relationships/hyperlink" Target="https://www.solarwinds.com/company/newsroom/press-releases/solarwinds-launches-sw1-an-agentic-ai-teammate-to-power-the-next-era-of-it-automation" TargetMode="External"/><Relationship Id="rId22" Type="http://schemas.openxmlformats.org/officeDocument/2006/relationships/hyperlink" Target="https://opsima.com/blog/comparison/best-agentic-ai-tools-industrial-operations/" TargetMode="External"/><Relationship Id="rId23" Type="http://schemas.openxmlformats.org/officeDocument/2006/relationships/hyperlink" Target="https://documentation.solarwinds.com/en/success_center/orionplatform/content/release_notes/hco_2026-1-1_release_notes.ht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2026-07-24T11:56:55.042Z</dcterms:created>
  <dcterms:modified xsi:type="dcterms:W3CDTF">2026-07-24T11:56:55.042Z</dcterms:modified>
</cp:coreProperties>
</file>