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770D" w14:textId="77777777" w:rsidR="00E9749C" w:rsidRDefault="00E9749C"/>
    <w:p w14:paraId="6BF8053D" w14:textId="77777777" w:rsidR="00E9749C" w:rsidRDefault="00000000">
      <w:pPr>
        <w:spacing w:before="480" w:after="160" w:line="253" w:lineRule="exact"/>
        <w:jc w:val="center"/>
      </w:pPr>
      <w:r>
        <w:rPr>
          <w:rFonts w:ascii="Calibri" w:hAnsi="Calibri"/>
          <w:b/>
          <w:color w:val="1F4E79"/>
          <w:sz w:val="48"/>
        </w:rPr>
        <w:t>DATA ANALYTICS &amp; AI PROJECT REPORT</w:t>
      </w:r>
    </w:p>
    <w:p w14:paraId="24EDD4FF" w14:textId="77777777" w:rsidR="00E9749C" w:rsidRDefault="00000000">
      <w:pPr>
        <w:spacing w:after="120" w:line="253" w:lineRule="exact"/>
        <w:jc w:val="center"/>
      </w:pPr>
      <w:r>
        <w:rPr>
          <w:rFonts w:ascii="Calibri" w:hAnsi="Calibri"/>
          <w:b/>
          <w:color w:val="2F5597"/>
          <w:sz w:val="28"/>
        </w:rPr>
        <w:t>Amazon India E-Commerce Retail &amp; Fulfilment Optimization</w:t>
      </w:r>
    </w:p>
    <w:p w14:paraId="5310FA66" w14:textId="77777777" w:rsidR="00E9749C" w:rsidRDefault="00000000">
      <w:pPr>
        <w:spacing w:after="80" w:line="253" w:lineRule="exact"/>
        <w:jc w:val="center"/>
      </w:pPr>
      <w:r>
        <w:rPr>
          <w:rFonts w:ascii="Calibri" w:hAnsi="Calibri"/>
          <w:color w:val="333333"/>
          <w:sz w:val="24"/>
        </w:rPr>
        <w:t>Pankaj Kumar  |  IBM SkillsBuild Internship</w:t>
      </w:r>
    </w:p>
    <w:p w14:paraId="4D630AFF" w14:textId="77777777" w:rsidR="00E9749C" w:rsidRDefault="00000000">
      <w:pPr>
        <w:spacing w:after="80" w:line="253" w:lineRule="exact"/>
        <w:jc w:val="center"/>
      </w:pPr>
      <w:r>
        <w:rPr>
          <w:rFonts w:ascii="Calibri" w:hAnsi="Calibri"/>
          <w:color w:val="333333"/>
        </w:rPr>
        <w:t>Academic Domain: Retail Data Analytics · Supply Chain Optimization · Business Intelligence</w:t>
      </w:r>
    </w:p>
    <w:p w14:paraId="6BA9C0B6" w14:textId="77777777" w:rsidR="00E9749C" w:rsidRDefault="00000000">
      <w:pPr>
        <w:spacing w:after="80" w:line="253" w:lineRule="exact"/>
        <w:jc w:val="center"/>
      </w:pPr>
      <w:r>
        <w:rPr>
          <w:rFonts w:ascii="Calibri" w:hAnsi="Calibri"/>
          <w:color w:val="333333"/>
        </w:rPr>
        <w:t>Dataset Scope: 128,975 transactions (31 Mar 2022 – 29 Jun 2022)  |  Pan-India (39 States &amp; UTs)</w:t>
      </w:r>
    </w:p>
    <w:p w14:paraId="6A52EB6B" w14:textId="77777777" w:rsidR="00E9749C" w:rsidRDefault="00E9749C"/>
    <w:p w14:paraId="0A1E57E4" w14:textId="77777777" w:rsidR="00E9749C" w:rsidRDefault="00000000">
      <w:pPr>
        <w:jc w:val="center"/>
      </w:pPr>
      <w:r>
        <w:rPr>
          <w:rFonts w:ascii="Calibri" w:hAnsi="Calibri"/>
          <w:color w:val="BBBBBB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491E8E82" w14:textId="77777777" w:rsidR="00E9749C" w:rsidRDefault="00000000">
      <w:r>
        <w:br w:type="page"/>
      </w:r>
    </w:p>
    <w:p w14:paraId="6015F5AA" w14:textId="77777777" w:rsidR="00C22A45" w:rsidRDefault="00C22A45">
      <w:pPr>
        <w:spacing w:before="320" w:after="120" w:line="253" w:lineRule="exact"/>
        <w:rPr>
          <w:rFonts w:ascii="Calibri" w:hAnsi="Calibri"/>
          <w:b/>
          <w:color w:val="1F4E79"/>
          <w:sz w:val="36"/>
        </w:rPr>
      </w:pPr>
    </w:p>
    <w:p w14:paraId="344DF269" w14:textId="7FE3C553" w:rsidR="00E9749C" w:rsidRDefault="00000000">
      <w:pPr>
        <w:spacing w:before="320" w:after="120" w:line="253" w:lineRule="exact"/>
      </w:pPr>
      <w:r>
        <w:rPr>
          <w:rFonts w:ascii="Calibri" w:hAnsi="Calibri"/>
          <w:b/>
          <w:color w:val="1F4E79"/>
          <w:sz w:val="36"/>
        </w:rPr>
        <w:t>Section 1: Executive Summary &amp; Problem Formulation</w:t>
      </w:r>
    </w:p>
    <w:p w14:paraId="2D59702D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1.1  Problem Statement</w:t>
      </w:r>
    </w:p>
    <w:p w14:paraId="5B313381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Amazon India's apparel vertical operates a high-velocity, multi-channel order pipeline spanning diverse product categories, geographies, and fulfilment partners. Despite strong gross transaction volume of ₹785.93 Lakhs across 128,975 orders, four structural challenges constrain profitability and operational efficiency:</w:t>
      </w:r>
    </w:p>
    <w:p w14:paraId="0991CECF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>Revenue Leakage from Cancellations: A 14.2% cancellation rate (18,332 orders) corresponds to ₹69.19 L in cancelled gross transaction value and represents a major opportunity for reducing order leakage.</w:t>
      </w:r>
      <w:r>
        <w:rPr>
          <w:rFonts w:ascii="Calibri" w:hAnsi="Calibri"/>
          <w:color w:val="333333"/>
        </w:rPr>
      </w:r>
    </w:p>
    <w:p w14:paraId="39B780BD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 xml:space="preserve">Fulfilment Channel Cost Asymmetry: </w:t>
      </w:r>
      <w:r>
        <w:rPr>
          <w:rFonts w:ascii="Calibri" w:hAnsi="Calibri"/>
          <w:color w:val="333333"/>
        </w:rPr>
        <w:t>The dual-channel model (Amazon Easy Ship 69.5% vs Merchant 30.5%) creates variable SLA delivery timelines and uneven logistics cost structures.</w:t>
      </w:r>
    </w:p>
    <w:p w14:paraId="4FD2AC93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 xml:space="preserve">Product Concentration Risk: </w:t>
      </w:r>
      <w:r>
        <w:rPr>
          <w:rFonts w:ascii="Calibri" w:hAnsi="Calibri"/>
          <w:color w:val="333333"/>
        </w:rPr>
        <w:t>Two categories — Set and Kurta — drive approximately 77% of all net revenue, creating single-category demand dependency and inventory fragility.</w:t>
      </w:r>
    </w:p>
    <w:p w14:paraId="60335C0A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>Underexploited B2B Segment: B2B-classified orders show a ₹768.41 AOV (+10.7% versus B2C ₹694.03) across 728 orders, indicating a higher-value but relatively small customer segment in this dataset.</w:t>
      </w:r>
      <w:r>
        <w:rPr>
          <w:rFonts w:ascii="Calibri" w:hAnsi="Calibri"/>
          <w:color w:val="333333"/>
        </w:rPr>
      </w:r>
    </w:p>
    <w:p w14:paraId="2D5EE744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1.2  Core Executive KPI Summary</w:t>
      </w:r>
    </w:p>
    <w:p w14:paraId="2CDAEA4E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The fundamental baseline metrics for the completed dataset are tabulated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3744"/>
      </w:tblGrid>
      <w:tr w:rsidR="00E9749C" w14:paraId="3D22A0E7" w14:textId="77777777">
        <w:trPr>
          <w:jc w:val="center"/>
        </w:trPr>
        <w:tc>
          <w:tcPr>
            <w:tcW w:w="4608" w:type="dxa"/>
            <w:shd w:val="clear" w:color="auto" w:fill="1F4E79"/>
          </w:tcPr>
          <w:p w14:paraId="655B7A91" w14:textId="77777777" w:rsidR="00E9749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Key Performance Indicator</w:t>
            </w:r>
          </w:p>
        </w:tc>
        <w:tc>
          <w:tcPr>
            <w:tcW w:w="3744" w:type="dxa"/>
            <w:shd w:val="clear" w:color="auto" w:fill="1F4E79"/>
          </w:tcPr>
          <w:p w14:paraId="0179EA6A" w14:textId="77777777" w:rsidR="00E9749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Value / Proportion</w:t>
            </w:r>
          </w:p>
        </w:tc>
      </w:tr>
      <w:tr w:rsidR="00E9749C" w14:paraId="2D7C27F1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748380D4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Gross Transaction Volume (GTV)</w:t>
            </w:r>
          </w:p>
        </w:tc>
        <w:tc>
          <w:tcPr>
            <w:tcW w:w="3744" w:type="dxa"/>
            <w:shd w:val="clear" w:color="auto" w:fill="DEEBF7"/>
          </w:tcPr>
          <w:p w14:paraId="73F2322F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₹785.93 L</w:t>
            </w:r>
          </w:p>
        </w:tc>
      </w:tr>
      <w:tr w:rsidR="00E9749C" w14:paraId="23F563CA" w14:textId="77777777">
        <w:trPr>
          <w:jc w:val="center"/>
        </w:trPr>
        <w:tc>
          <w:tcPr>
            <w:tcW w:w="4608" w:type="dxa"/>
          </w:tcPr>
          <w:p w14:paraId="0F150D90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Cancelled Order Value</w:t>
            </w:r>
          </w:p>
        </w:tc>
        <w:tc>
          <w:tcPr>
            <w:tcW w:w="3744" w:type="dxa"/>
          </w:tcPr>
          <w:p w14:paraId="35B60BF4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₹69.19 L (14.2% of GTV)</w:t>
            </w:r>
          </w:p>
        </w:tc>
      </w:tr>
      <w:tr w:rsidR="00E9749C" w14:paraId="7E199397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1801EF30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Net Fulfilled Revenue</w:t>
            </w:r>
          </w:p>
        </w:tc>
        <w:tc>
          <w:tcPr>
            <w:tcW w:w="3744" w:type="dxa"/>
            <w:shd w:val="clear" w:color="auto" w:fill="DEEBF7"/>
          </w:tcPr>
          <w:p w14:paraId="1D41BDC3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₹716.73 L</w:t>
            </w:r>
          </w:p>
        </w:tc>
      </w:tr>
      <w:tr w:rsidR="00E9749C" w14:paraId="5B3F1963" w14:textId="77777777">
        <w:trPr>
          <w:jc w:val="center"/>
        </w:trPr>
        <w:tc>
          <w:tcPr>
            <w:tcW w:w="4608" w:type="dxa"/>
          </w:tcPr>
          <w:p w14:paraId="363FF913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Fulfilled Unique Orders</w:t>
            </w:r>
          </w:p>
        </w:tc>
        <w:tc>
          <w:tcPr>
            <w:tcW w:w="3744" w:type="dxa"/>
          </w:tcPr>
          <w:p w14:paraId="4F431310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1,03,193</w:t>
            </w:r>
          </w:p>
        </w:tc>
      </w:tr>
      <w:tr w:rsidR="00E9749C" w14:paraId="5C7D00F9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1EBDDD3C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Total Units Sold</w:t>
            </w:r>
          </w:p>
        </w:tc>
        <w:tc>
          <w:tcPr>
            <w:tcW w:w="3744" w:type="dxa"/>
            <w:shd w:val="clear" w:color="auto" w:fill="DEEBF7"/>
          </w:tcPr>
          <w:p w14:paraId="74DCFA58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1,10,992</w:t>
            </w:r>
          </w:p>
        </w:tc>
      </w:tr>
      <w:tr w:rsidR="00E9749C" w14:paraId="62160D1B" w14:textId="77777777">
        <w:trPr>
          <w:jc w:val="center"/>
        </w:trPr>
        <w:tc>
          <w:tcPr>
            <w:tcW w:w="4608" w:type="dxa"/>
          </w:tcPr>
          <w:p w14:paraId="429B25CD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Average Order Value (AOV)</w:t>
            </w:r>
          </w:p>
        </w:tc>
        <w:tc>
          <w:tcPr>
            <w:tcW w:w="3744" w:type="dxa"/>
          </w:tcPr>
          <w:p w14:paraId="5505FF0A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₹694.56</w:t>
            </w:r>
          </w:p>
        </w:tc>
      </w:tr>
    </w:tbl>
    <w:p w14:paraId="0301A2EC" w14:textId="77777777" w:rsidR="00E9749C" w:rsidRDefault="00E9749C">
      <w:pPr>
        <w:spacing w:after="80" w:line="253" w:lineRule="exact"/>
      </w:pPr>
    </w:p>
    <w:p w14:paraId="70D3F09A" w14:textId="77777777" w:rsidR="00E9749C" w:rsidRDefault="00000000">
      <w:r>
        <w:br w:type="page"/>
      </w:r>
    </w:p>
    <w:p w14:paraId="72FA1AD1" w14:textId="77777777" w:rsidR="00C22A45" w:rsidRDefault="00C22A45">
      <w:pPr>
        <w:spacing w:before="320" w:after="120" w:line="253" w:lineRule="exact"/>
        <w:rPr>
          <w:rFonts w:ascii="Calibri" w:hAnsi="Calibri"/>
          <w:b/>
          <w:color w:val="1F4E79"/>
          <w:sz w:val="36"/>
        </w:rPr>
      </w:pPr>
    </w:p>
    <w:p w14:paraId="0DC23EFC" w14:textId="203D83E8" w:rsidR="00E9749C" w:rsidRDefault="00000000">
      <w:pPr>
        <w:spacing w:before="320" w:after="120" w:line="253" w:lineRule="exact"/>
      </w:pPr>
      <w:r>
        <w:rPr>
          <w:rFonts w:ascii="Calibri" w:hAnsi="Calibri"/>
          <w:b/>
          <w:color w:val="1F4E79"/>
          <w:sz w:val="36"/>
        </w:rPr>
        <w:t>Section 2: End-to-End Data Engineering &amp; Hygiene Methodology</w:t>
      </w:r>
    </w:p>
    <w:p w14:paraId="6FF6F753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To establish absolute analytical integrity, the raw dataset underwent an extensive five-stage cleaning and normalization pipeline prior to analytical modeling and dashboard ingestion.</w:t>
      </w:r>
    </w:p>
    <w:p w14:paraId="707B2AAD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Step 1 — Ingestion &amp; Schema Evaluation</w:t>
      </w:r>
    </w:p>
    <w:p w14:paraId="402134E5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The source dataset 'Amazon Sale Report.csv' containing 128,975 transactions and 24 raw columns was ingested using pandas with low_memory=False to eliminate mixed-type inference warnings. Initial data profiling identified three core hygiene challenges: structural metadata redundancy, missing monetary values, and regional encoding variance.</w:t>
      </w:r>
    </w:p>
    <w:p w14:paraId="54F70D62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Step 2 — Technical Metadata Pruning</w:t>
      </w:r>
    </w:p>
    <w:p w14:paraId="24C93A6D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Three technical artefact columns were dropped from the active DataFrame: 'index' (redundant sequential counter), 'Unnamed: 22' (empty export artefact column), and 'fulfilled-by' (duplicate logistics attribute). The dataset was streamlined to 21 relevant analytical dimensions.</w:t>
      </w:r>
    </w:p>
    <w:p w14:paraId="56D3288F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Step 3 — Statistical Imputation Strategy</w:t>
      </w:r>
    </w:p>
    <w:p w14:paraId="7DC7E24B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Missing financial transaction amounts were imputed with 0.0 INR to retain transaction history without artificially inflating fulfilled revenue. Null quantities were set to integer 0. Categorical text fields ('ship-city', 'ship-state', 'Category') with null entries were assigned 'Unknown' to guarantee deterministic grouping across all downstream queries.</w:t>
      </w:r>
    </w:p>
    <w:p w14:paraId="78414A1C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Step 4 — Geographic Normalization across 39 States &amp; UTs</w:t>
      </w:r>
    </w:p>
    <w:p w14:paraId="7BC4FF8A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A standardized mapping dictionary was executed across shipping records to resolve 11 documented regional abbreviations, misspellings, and administrative updates:</w:t>
      </w:r>
    </w:p>
    <w:p w14:paraId="4F8C5C93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color w:val="333333"/>
        </w:rPr>
        <w:t>'Apo'  →  'Military Post (APO)'  (Standardized Armed Forces postal locations)</w:t>
      </w:r>
    </w:p>
    <w:p w14:paraId="56C84E97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color w:val="333333"/>
        </w:rPr>
        <w:t>'Rajsthan', 'Rj'  →  'Rajasthan'</w:t>
      </w:r>
    </w:p>
    <w:p w14:paraId="5D7BD2DE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color w:val="333333"/>
        </w:rPr>
        <w:t>'Punjab/Mohali/Zirakpur', 'Pb'  →  'Punjab'</w:t>
      </w:r>
    </w:p>
    <w:p w14:paraId="72556A95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color w:val="333333"/>
        </w:rPr>
        <w:t>'Orissa'  →  'Odisha'  (Official post-2011 constitutional name)</w:t>
      </w:r>
    </w:p>
    <w:p w14:paraId="51E6D176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color w:val="333333"/>
        </w:rPr>
        <w:t>'Pondicherry'  →  'Puducherry'  (Official post-2006 renaming)</w:t>
      </w:r>
    </w:p>
    <w:p w14:paraId="1EFE74F6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color w:val="333333"/>
        </w:rPr>
        <w:t>'Nl'  →  'Nagaland'</w:t>
      </w:r>
    </w:p>
    <w:p w14:paraId="22D9B3B9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color w:val="333333"/>
        </w:rPr>
        <w:t>'Ar'  →  'Arunachal Pradesh'</w:t>
      </w:r>
    </w:p>
    <w:p w14:paraId="14D07615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color w:val="333333"/>
        </w:rPr>
        <w:t>'A P', 'Ap'  →  'Andhra Pradesh'</w:t>
      </w:r>
    </w:p>
    <w:p w14:paraId="1C4ECE1C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color w:val="333333"/>
        </w:rPr>
        <w:t>'New Delhi'  →  'Delhi'</w:t>
      </w:r>
    </w:p>
    <w:p w14:paraId="1645D0C8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Step 5 — Temporal Normalization</w:t>
      </w:r>
    </w:p>
    <w:p w14:paraId="0F673C83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Order placement dates formatted as MM-DD-YY strings were converted into ISO 8601 datetime objects using explicit datetime formatting. Unparseable entries were safely coerced to NaT to preserve downstream temporal timeline rendering.</w:t>
      </w:r>
    </w:p>
    <w:p w14:paraId="06891561" w14:textId="77777777" w:rsidR="00E9749C" w:rsidRDefault="00000000">
      <w:r>
        <w:br w:type="page"/>
      </w:r>
    </w:p>
    <w:p w14:paraId="38AEAD5C" w14:textId="77777777" w:rsidR="00C22A45" w:rsidRDefault="00C22A45">
      <w:pPr>
        <w:spacing w:before="320" w:after="120" w:line="253" w:lineRule="exact"/>
        <w:rPr>
          <w:rFonts w:ascii="Calibri" w:hAnsi="Calibri"/>
          <w:b/>
          <w:color w:val="1F4E79"/>
          <w:sz w:val="36"/>
        </w:rPr>
      </w:pPr>
    </w:p>
    <w:p w14:paraId="5405EF06" w14:textId="6EC5E352" w:rsidR="00E9749C" w:rsidRDefault="00000000">
      <w:pPr>
        <w:spacing w:before="320" w:after="120" w:line="253" w:lineRule="exact"/>
      </w:pPr>
      <w:r>
        <w:rPr>
          <w:rFonts w:ascii="Calibri" w:hAnsi="Calibri"/>
          <w:b/>
          <w:color w:val="1F4E79"/>
          <w:sz w:val="36"/>
        </w:rPr>
        <w:t>Section 3: Empirical Business Insights &amp; Visual Analytics</w:t>
      </w:r>
    </w:p>
    <w:p w14:paraId="02AF8948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The analytical findings derived from the cleaned 128,975 transaction records are detailed below. Each dimension is supported by descriptive theory, an exact metric table, and its corresponding visual figure.</w:t>
      </w:r>
    </w:p>
    <w:p w14:paraId="2332494D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3.1  Product Category Dominance &amp; Concentration Risk</w:t>
      </w:r>
    </w:p>
    <w:p w14:paraId="5B32E704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Revenue analysis across apparel categories reveals a heavily concentrated product mix. The 'Set' category dominates overall revenue performance, generating ₹357.32 Lakhs (49.9% share), followed by 'Kurta' with ₹194.26 Lakhs (27.1% share). Together, these two categories drive approximately 77% of all net fulfilled revenue on the platform. Western Dress represents the third most significant category at ₹102.10 Lakhs (14.2% share), while Top (₹49.04 Lakhs, 6.8%) and Ethnic Dress (₹7.33 Lakhs, 1.0%) represent the remainder. This revenue distribution confirms a severe concentration vulnerability: any supplier disruption or seasonal slump in the ethnic set segment directly threatens business continuity.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3744"/>
      </w:tblGrid>
      <w:tr w:rsidR="00E9749C" w14:paraId="76C7BF3A" w14:textId="77777777">
        <w:trPr>
          <w:jc w:val="center"/>
        </w:trPr>
        <w:tc>
          <w:tcPr>
            <w:tcW w:w="4608" w:type="dxa"/>
            <w:shd w:val="clear" w:color="auto" w:fill="1F4E79"/>
          </w:tcPr>
          <w:p w14:paraId="4AD55F57" w14:textId="77777777" w:rsidR="00E9749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Apparel Category</w:t>
            </w:r>
          </w:p>
        </w:tc>
        <w:tc>
          <w:tcPr>
            <w:tcW w:w="3744" w:type="dxa"/>
            <w:shd w:val="clear" w:color="auto" w:fill="1F4E79"/>
          </w:tcPr>
          <w:p w14:paraId="76B7731B" w14:textId="77777777" w:rsidR="00E9749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Net Fulfilled Revenue &amp; Share</w:t>
            </w:r>
          </w:p>
        </w:tc>
      </w:tr>
      <w:tr w:rsidR="00E9749C" w14:paraId="5BFE46E3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68000DFA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Set</w:t>
            </w:r>
          </w:p>
        </w:tc>
        <w:tc>
          <w:tcPr>
            <w:tcW w:w="3744" w:type="dxa"/>
            <w:shd w:val="clear" w:color="auto" w:fill="DEEBF7"/>
          </w:tcPr>
          <w:p w14:paraId="65251E0A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₹357.32 L  —  49.9% share</w:t>
            </w:r>
          </w:p>
        </w:tc>
      </w:tr>
      <w:tr w:rsidR="00E9749C" w14:paraId="06F9050B" w14:textId="77777777">
        <w:trPr>
          <w:jc w:val="center"/>
        </w:trPr>
        <w:tc>
          <w:tcPr>
            <w:tcW w:w="4608" w:type="dxa"/>
          </w:tcPr>
          <w:p w14:paraId="44F269D3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Kurta</w:t>
            </w:r>
          </w:p>
        </w:tc>
        <w:tc>
          <w:tcPr>
            <w:tcW w:w="3744" w:type="dxa"/>
          </w:tcPr>
          <w:p w14:paraId="22D2AB0E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₹194.26 L  —  27.1% share</w:t>
            </w:r>
          </w:p>
        </w:tc>
      </w:tr>
      <w:tr w:rsidR="00E9749C" w14:paraId="3A1CDA5B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1A431904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Western Dress</w:t>
            </w:r>
          </w:p>
        </w:tc>
        <w:tc>
          <w:tcPr>
            <w:tcW w:w="3744" w:type="dxa"/>
            <w:shd w:val="clear" w:color="auto" w:fill="DEEBF7"/>
          </w:tcPr>
          <w:p w14:paraId="1B2373C4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₹102.10 L  —  14.2% share</w:t>
            </w:r>
          </w:p>
        </w:tc>
      </w:tr>
      <w:tr w:rsidR="00E9749C" w14:paraId="32E63DD3" w14:textId="77777777">
        <w:trPr>
          <w:jc w:val="center"/>
        </w:trPr>
        <w:tc>
          <w:tcPr>
            <w:tcW w:w="4608" w:type="dxa"/>
          </w:tcPr>
          <w:p w14:paraId="7FF198B7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Top</w:t>
            </w:r>
          </w:p>
        </w:tc>
        <w:tc>
          <w:tcPr>
            <w:tcW w:w="3744" w:type="dxa"/>
          </w:tcPr>
          <w:p w14:paraId="727CA581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₹49.04 L   —   6.8% share</w:t>
            </w:r>
          </w:p>
        </w:tc>
      </w:tr>
      <w:tr w:rsidR="00E9749C" w14:paraId="4AE8D585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45DE9A26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Ethnic Dress</w:t>
            </w:r>
          </w:p>
        </w:tc>
        <w:tc>
          <w:tcPr>
            <w:tcW w:w="3744" w:type="dxa"/>
            <w:shd w:val="clear" w:color="auto" w:fill="DEEBF7"/>
          </w:tcPr>
          <w:p w14:paraId="07CC7D1F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₹7.33 L    —   1.0% share</w:t>
            </w:r>
          </w:p>
        </w:tc>
      </w:tr>
    </w:tbl>
    <w:p w14:paraId="61541F30" w14:textId="77777777" w:rsidR="00E9749C" w:rsidRDefault="00E9749C">
      <w:pPr>
        <w:spacing w:after="80" w:line="253" w:lineRule="exact"/>
      </w:pPr>
    </w:p>
    <w:p w14:paraId="733D6667" w14:textId="77777777" w:rsidR="00E9749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0608AB6" wp14:editId="12B62975">
            <wp:extent cx="5486400" cy="32642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categori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61D3" w14:textId="77777777" w:rsidR="00E9749C" w:rsidRDefault="00000000">
      <w:pPr>
        <w:spacing w:before="40" w:after="280"/>
        <w:jc w:val="center"/>
      </w:pPr>
      <w:r>
        <w:rPr>
          <w:rFonts w:ascii="Calibri" w:hAnsi="Calibri"/>
          <w:i/>
          <w:color w:val="333333"/>
          <w:sz w:val="20"/>
        </w:rPr>
        <w:t>Figure 1: Net Revenue Contribution by Apparel Category</w:t>
      </w:r>
    </w:p>
    <w:p w14:paraId="124B9E6B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3.2  Geographic Demand Concentration</w:t>
      </w:r>
    </w:p>
    <w:p w14:paraId="7A091C46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 xml:space="preserve">Geographic demand mapping highlights a powerful cluster centered in Western and Southern India. Maharashtra ranks first nationwide with ₹122.25 Lakhs (17.1% revenue share), closely followed by </w:t>
      </w:r>
      <w:r>
        <w:rPr>
          <w:rFonts w:ascii="Calibri" w:hAnsi="Calibri"/>
          <w:color w:val="333333"/>
        </w:rPr>
        <w:lastRenderedPageBreak/>
        <w:t>Karnataka at ₹96.50 Lakhs (13.5% share). Telangana (₹62.90 Lakhs, 8.8%), Uttar Pradesh (₹61.87 Lakhs, 8.6%), and Tamil Nadu (₹59.54 Lakhs, 8.3%) complete the top five states. Collectively, these five states drive over 58% of Amazon India's total apparel revenue. The concentration in Maharashtra and Karnataka reflects substantial metropolitan buying power in the Mumbai-Pune and Bengaluru urban belts, while Uttar Pradesh highlights an expanding Tier-1/Tier-2 growth corridor in North India.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3744"/>
      </w:tblGrid>
      <w:tr w:rsidR="00E9749C" w14:paraId="4B68EEC9" w14:textId="77777777">
        <w:trPr>
          <w:jc w:val="center"/>
        </w:trPr>
        <w:tc>
          <w:tcPr>
            <w:tcW w:w="4608" w:type="dxa"/>
            <w:shd w:val="clear" w:color="auto" w:fill="1F4E79"/>
          </w:tcPr>
          <w:p w14:paraId="4A8EAC7B" w14:textId="77777777" w:rsidR="00E9749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Top 5 Shipping State</w:t>
            </w:r>
          </w:p>
        </w:tc>
        <w:tc>
          <w:tcPr>
            <w:tcW w:w="3744" w:type="dxa"/>
            <w:shd w:val="clear" w:color="auto" w:fill="1F4E79"/>
          </w:tcPr>
          <w:p w14:paraId="5E7BB8AF" w14:textId="77777777" w:rsidR="00E9749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Gross Sales Contribution &amp; Share</w:t>
            </w:r>
          </w:p>
        </w:tc>
      </w:tr>
      <w:tr w:rsidR="00E9749C" w14:paraId="5BECBDCB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139D6D5D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Maharashtra</w:t>
            </w:r>
          </w:p>
        </w:tc>
        <w:tc>
          <w:tcPr>
            <w:tcW w:w="3744" w:type="dxa"/>
            <w:shd w:val="clear" w:color="auto" w:fill="DEEBF7"/>
          </w:tcPr>
          <w:p w14:paraId="1979422F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₹122.25 L  —  17.1% share</w:t>
            </w:r>
          </w:p>
        </w:tc>
      </w:tr>
      <w:tr w:rsidR="00E9749C" w14:paraId="310FEC8D" w14:textId="77777777">
        <w:trPr>
          <w:jc w:val="center"/>
        </w:trPr>
        <w:tc>
          <w:tcPr>
            <w:tcW w:w="4608" w:type="dxa"/>
          </w:tcPr>
          <w:p w14:paraId="243A01D8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Karnataka</w:t>
            </w:r>
          </w:p>
        </w:tc>
        <w:tc>
          <w:tcPr>
            <w:tcW w:w="3744" w:type="dxa"/>
          </w:tcPr>
          <w:p w14:paraId="606580ED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₹96.50 L   —  13.5% share</w:t>
            </w:r>
          </w:p>
        </w:tc>
      </w:tr>
      <w:tr w:rsidR="00E9749C" w14:paraId="60D128D3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4AF298A4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Telangana</w:t>
            </w:r>
          </w:p>
        </w:tc>
        <w:tc>
          <w:tcPr>
            <w:tcW w:w="3744" w:type="dxa"/>
            <w:shd w:val="clear" w:color="auto" w:fill="DEEBF7"/>
          </w:tcPr>
          <w:p w14:paraId="57D6A6FD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₹62.90 L   —   8.8% share</w:t>
            </w:r>
          </w:p>
        </w:tc>
      </w:tr>
      <w:tr w:rsidR="00E9749C" w14:paraId="293112CE" w14:textId="77777777">
        <w:trPr>
          <w:jc w:val="center"/>
        </w:trPr>
        <w:tc>
          <w:tcPr>
            <w:tcW w:w="4608" w:type="dxa"/>
          </w:tcPr>
          <w:p w14:paraId="53181C97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Uttar Pradesh</w:t>
            </w:r>
          </w:p>
        </w:tc>
        <w:tc>
          <w:tcPr>
            <w:tcW w:w="3744" w:type="dxa"/>
          </w:tcPr>
          <w:p w14:paraId="5F0DA2F2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₹61.87 L   —   8.6% share</w:t>
            </w:r>
          </w:p>
        </w:tc>
      </w:tr>
      <w:tr w:rsidR="00E9749C" w14:paraId="4C60F391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5AAB2A19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Tamil Nadu</w:t>
            </w:r>
          </w:p>
        </w:tc>
        <w:tc>
          <w:tcPr>
            <w:tcW w:w="3744" w:type="dxa"/>
            <w:shd w:val="clear" w:color="auto" w:fill="DEEBF7"/>
          </w:tcPr>
          <w:p w14:paraId="737AE2F0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₹59.54 L   —   8.3% share</w:t>
            </w:r>
          </w:p>
        </w:tc>
      </w:tr>
    </w:tbl>
    <w:p w14:paraId="3E6CEE8C" w14:textId="77777777" w:rsidR="00E9749C" w:rsidRDefault="00E9749C">
      <w:pPr>
        <w:spacing w:after="80" w:line="253" w:lineRule="exact"/>
      </w:pPr>
    </w:p>
    <w:p w14:paraId="740847C6" w14:textId="77777777" w:rsidR="00E9749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1612FF7" wp14:editId="387A035C">
            <wp:extent cx="5486400" cy="32467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_stat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6BBD" w14:textId="77777777" w:rsidR="00E9749C" w:rsidRDefault="00000000">
      <w:pPr>
        <w:spacing w:before="40" w:after="280"/>
        <w:jc w:val="center"/>
      </w:pPr>
      <w:r>
        <w:rPr>
          <w:rFonts w:ascii="Calibri" w:hAnsi="Calibri"/>
          <w:i/>
          <w:color w:val="333333"/>
          <w:sz w:val="20"/>
        </w:rPr>
        <w:t>Figure 2: Top 5 Shipping States by Gross Revenue Contribution</w:t>
      </w:r>
    </w:p>
    <w:p w14:paraId="7D5038C1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3.3  Fulfilment Channel Optimization</w:t>
      </w:r>
    </w:p>
    <w:p w14:paraId="099E3123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The platform data shows a hybrid fulfilment structure. Amazon Easy Ship accounts for 89,698 orders (69.5%), while Merchant Fulfilled accounts for 39,277 orders (30.5%). The dataset supports the volume comparison, but it does not independently establish comparative SLA performance, customer friction, or delivery guarantees; those would require additional operational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3744"/>
      </w:tblGrid>
      <w:tr w:rsidR="00E9749C" w14:paraId="685D0F2A" w14:textId="77777777">
        <w:trPr>
          <w:jc w:val="center"/>
        </w:trPr>
        <w:tc>
          <w:tcPr>
            <w:tcW w:w="4608" w:type="dxa"/>
            <w:shd w:val="clear" w:color="auto" w:fill="1F4E79"/>
          </w:tcPr>
          <w:p w14:paraId="14CFCA48" w14:textId="77777777" w:rsidR="00E9749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Logistics Fulfilment Channel</w:t>
            </w:r>
          </w:p>
        </w:tc>
        <w:tc>
          <w:tcPr>
            <w:tcW w:w="3744" w:type="dxa"/>
            <w:shd w:val="clear" w:color="auto" w:fill="1F4E79"/>
          </w:tcPr>
          <w:p w14:paraId="028FF956" w14:textId="77777777" w:rsidR="00E9749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Total Orders &amp; Volume Share</w:t>
            </w:r>
          </w:p>
        </w:tc>
      </w:tr>
      <w:tr w:rsidR="00E9749C" w14:paraId="74F717D1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551B9D91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Amazon Easy Ship</w:t>
            </w:r>
          </w:p>
        </w:tc>
        <w:tc>
          <w:tcPr>
            <w:tcW w:w="3744" w:type="dxa"/>
            <w:shd w:val="clear" w:color="auto" w:fill="DEEBF7"/>
          </w:tcPr>
          <w:p w14:paraId="1F78B652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89,698 orders  —  69.5%</w:t>
            </w:r>
          </w:p>
        </w:tc>
      </w:tr>
      <w:tr w:rsidR="00E9749C" w14:paraId="3DA37A9A" w14:textId="77777777">
        <w:trPr>
          <w:jc w:val="center"/>
        </w:trPr>
        <w:tc>
          <w:tcPr>
            <w:tcW w:w="4608" w:type="dxa"/>
          </w:tcPr>
          <w:p w14:paraId="46599753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Merchant Fulfilled</w:t>
            </w:r>
          </w:p>
        </w:tc>
        <w:tc>
          <w:tcPr>
            <w:tcW w:w="3744" w:type="dxa"/>
          </w:tcPr>
          <w:p w14:paraId="760F224A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39,277 orders  —  30.5%</w:t>
            </w:r>
          </w:p>
        </w:tc>
      </w:tr>
    </w:tbl>
    <w:p w14:paraId="43A33A3D" w14:textId="77777777" w:rsidR="00E9749C" w:rsidRDefault="00E9749C">
      <w:pPr>
        <w:spacing w:after="80" w:line="253" w:lineRule="exact"/>
      </w:pPr>
    </w:p>
    <w:p w14:paraId="67FE1D42" w14:textId="77777777" w:rsidR="00E9749C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3BDFAA3A" wp14:editId="0E9249B1">
            <wp:extent cx="5486400" cy="6006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3_fulfil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6AC9" w14:textId="77777777" w:rsidR="00E9749C" w:rsidRDefault="00000000">
      <w:pPr>
        <w:spacing w:before="40" w:after="280"/>
        <w:jc w:val="center"/>
      </w:pPr>
      <w:r>
        <w:rPr>
          <w:rFonts w:ascii="Calibri" w:hAnsi="Calibri"/>
          <w:i/>
          <w:color w:val="333333"/>
          <w:sz w:val="20"/>
        </w:rPr>
        <w:t>Figure 3: Fulfilment Method Distribution (Amazon Easy Ship vs. Merchant Fulfilled)</w:t>
      </w:r>
    </w:p>
    <w:p w14:paraId="3CCE5386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3.4  Order Pipeline &amp; Fulfilment Health</w:t>
      </w:r>
    </w:p>
    <w:p w14:paraId="5266FF7D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An analysis of the full order lifecycle reveals that 77,804 orders (60.3%) are in the active 'Shipped' state and 28,769 orders (22.3%) are confirmed 'Shipped - Delivered to Buyer'. However, the operational pipeline experiences substantial friction from cancellations: 18,332 orders (14.2% of all placed orders) were cancelled, resulting in ₹69.19 Lakhs in gross revenue leakage. Furthermore, 1,953 orders (1.5%) were returned to seller, and 973 orders (0.8%) were picked up. The high cancellation volume in apparel is heavily tied to sizing uncertainty, delayed carrier pickup, and buyer remorse, representing the primary operational area for immediate margin recovery.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3744"/>
      </w:tblGrid>
      <w:tr w:rsidR="00E9749C" w14:paraId="29FB7396" w14:textId="77777777">
        <w:trPr>
          <w:jc w:val="center"/>
        </w:trPr>
        <w:tc>
          <w:tcPr>
            <w:tcW w:w="4608" w:type="dxa"/>
            <w:shd w:val="clear" w:color="auto" w:fill="1F4E79"/>
          </w:tcPr>
          <w:p w14:paraId="54644702" w14:textId="77777777" w:rsidR="00E9749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Pipeline Lifecycle Status</w:t>
            </w:r>
          </w:p>
        </w:tc>
        <w:tc>
          <w:tcPr>
            <w:tcW w:w="3744" w:type="dxa"/>
            <w:shd w:val="clear" w:color="auto" w:fill="1F4E79"/>
          </w:tcPr>
          <w:p w14:paraId="26050772" w14:textId="77777777" w:rsidR="00E9749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Order Count &amp; Proportion</w:t>
            </w:r>
          </w:p>
        </w:tc>
      </w:tr>
      <w:tr w:rsidR="00E9749C" w14:paraId="49A484D3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2E8E0CCC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Shipped (In Transit)</w:t>
            </w:r>
          </w:p>
        </w:tc>
        <w:tc>
          <w:tcPr>
            <w:tcW w:w="3744" w:type="dxa"/>
            <w:shd w:val="clear" w:color="auto" w:fill="DEEBF7"/>
          </w:tcPr>
          <w:p w14:paraId="1A8DB6A4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77,804  —  60.3%</w:t>
            </w:r>
          </w:p>
        </w:tc>
      </w:tr>
      <w:tr w:rsidR="00E9749C" w14:paraId="1E44FAD9" w14:textId="77777777">
        <w:trPr>
          <w:jc w:val="center"/>
        </w:trPr>
        <w:tc>
          <w:tcPr>
            <w:tcW w:w="4608" w:type="dxa"/>
          </w:tcPr>
          <w:p w14:paraId="478864EC" w14:textId="77777777" w:rsidR="00E9749C" w:rsidRDefault="00000000">
            <w:r>
              <w:rPr>
                <w:rFonts w:ascii="Calibri" w:hAnsi="Calibri"/>
                <w:b/>
                <w:color w:val="1A1A1A"/>
              </w:rPr>
              <w:lastRenderedPageBreak/>
              <w:t>Shipped – Delivered to Buyer</w:t>
            </w:r>
          </w:p>
        </w:tc>
        <w:tc>
          <w:tcPr>
            <w:tcW w:w="3744" w:type="dxa"/>
          </w:tcPr>
          <w:p w14:paraId="56949C82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28,769  —  22.3%</w:t>
            </w:r>
          </w:p>
        </w:tc>
      </w:tr>
      <w:tr w:rsidR="00E9749C" w14:paraId="71A0881A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57582595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Cancelled</w:t>
            </w:r>
          </w:p>
        </w:tc>
        <w:tc>
          <w:tcPr>
            <w:tcW w:w="3744" w:type="dxa"/>
            <w:shd w:val="clear" w:color="auto" w:fill="DEEBF7"/>
          </w:tcPr>
          <w:p w14:paraId="6BA69B4B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18,332  —  14.2%</w:t>
            </w:r>
          </w:p>
        </w:tc>
      </w:tr>
      <w:tr w:rsidR="00E9749C" w14:paraId="51D1EFD9" w14:textId="77777777">
        <w:trPr>
          <w:jc w:val="center"/>
        </w:trPr>
        <w:tc>
          <w:tcPr>
            <w:tcW w:w="4608" w:type="dxa"/>
          </w:tcPr>
          <w:p w14:paraId="36923107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Shipped – Returned to Seller</w:t>
            </w:r>
          </w:p>
        </w:tc>
        <w:tc>
          <w:tcPr>
            <w:tcW w:w="3744" w:type="dxa"/>
          </w:tcPr>
          <w:p w14:paraId="216F9C75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1,953   —   1.5%</w:t>
            </w:r>
          </w:p>
        </w:tc>
      </w:tr>
      <w:tr w:rsidR="00E9749C" w14:paraId="3EB0C0CB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7DEB2C46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Shipped – Picked Up</w:t>
            </w:r>
          </w:p>
        </w:tc>
        <w:tc>
          <w:tcPr>
            <w:tcW w:w="3744" w:type="dxa"/>
            <w:shd w:val="clear" w:color="auto" w:fill="DEEBF7"/>
          </w:tcPr>
          <w:p w14:paraId="420E6E78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973     —   0.8%</w:t>
            </w:r>
          </w:p>
        </w:tc>
      </w:tr>
    </w:tbl>
    <w:p w14:paraId="1DE1055D" w14:textId="77777777" w:rsidR="00E9749C" w:rsidRDefault="00E9749C">
      <w:pPr>
        <w:spacing w:after="80" w:line="253" w:lineRule="exact"/>
      </w:pPr>
    </w:p>
    <w:p w14:paraId="5C977D8D" w14:textId="77777777" w:rsidR="00E9749C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D21BDE1" wp14:editId="327E2B85">
            <wp:extent cx="5486400" cy="29475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4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6FFA" w14:textId="77777777" w:rsidR="00E9749C" w:rsidRDefault="00000000">
      <w:pPr>
        <w:spacing w:before="40" w:after="280"/>
        <w:jc w:val="center"/>
      </w:pPr>
      <w:r>
        <w:rPr>
          <w:rFonts w:ascii="Calibri" w:hAnsi="Calibri"/>
          <w:i/>
          <w:color w:val="333333"/>
          <w:sz w:val="20"/>
        </w:rPr>
        <w:t>Figure 4: Order Pipeline Status and Fulfilment Progression</w:t>
      </w:r>
    </w:p>
    <w:p w14:paraId="50AC96EC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3.5  B2B Enterprise vs B2C Consumer Dynamics</w:t>
      </w:r>
    </w:p>
    <w:p w14:paraId="0826B20E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Buyer segmentation uncovers a significant value divergence between commercial enterprise and consumer orders. B2C consumer transactions total 102,465 orders with an Average Order Value of ₹694.03. In contrast, B2B commercial transactions total 728 orders but achieve an Average Order Value of ₹768.41. This establishes a clear +10.7% (+₹74.38 per order) difference in B2B basket size. B2B orders represent a small fraction of classified buyer-segment volume, while showing a higher AOV in this dataset.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3744"/>
      </w:tblGrid>
      <w:tr w:rsidR="00E9749C" w14:paraId="2DEFE5F1" w14:textId="77777777">
        <w:trPr>
          <w:jc w:val="center"/>
        </w:trPr>
        <w:tc>
          <w:tcPr>
            <w:tcW w:w="4608" w:type="dxa"/>
            <w:shd w:val="clear" w:color="auto" w:fill="1F4E79"/>
          </w:tcPr>
          <w:p w14:paraId="4F898027" w14:textId="77777777" w:rsidR="00E9749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Customer Segment</w:t>
            </w:r>
          </w:p>
        </w:tc>
        <w:tc>
          <w:tcPr>
            <w:tcW w:w="3744" w:type="dxa"/>
            <w:shd w:val="clear" w:color="auto" w:fill="1F4E79"/>
          </w:tcPr>
          <w:p w14:paraId="6906336E" w14:textId="77777777" w:rsidR="00E9749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Volume &amp; Average Order Value (AOV)</w:t>
            </w:r>
          </w:p>
        </w:tc>
      </w:tr>
      <w:tr w:rsidR="00E9749C" w14:paraId="4BB1EC57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6755265D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B2C Consumer Orders</w:t>
            </w:r>
          </w:p>
        </w:tc>
        <w:tc>
          <w:tcPr>
            <w:tcW w:w="3744" w:type="dxa"/>
            <w:shd w:val="clear" w:color="auto" w:fill="DEEBF7"/>
          </w:tcPr>
          <w:p w14:paraId="48ADB97E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1,02,465 orders  —  AOV ₹694.03</w:t>
            </w:r>
          </w:p>
        </w:tc>
      </w:tr>
      <w:tr w:rsidR="00E9749C" w14:paraId="460ABB1C" w14:textId="77777777">
        <w:trPr>
          <w:jc w:val="center"/>
        </w:trPr>
        <w:tc>
          <w:tcPr>
            <w:tcW w:w="4608" w:type="dxa"/>
          </w:tcPr>
          <w:p w14:paraId="03C4B015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B2B Enterprise Orders</w:t>
            </w:r>
          </w:p>
        </w:tc>
        <w:tc>
          <w:tcPr>
            <w:tcW w:w="3744" w:type="dxa"/>
          </w:tcPr>
          <w:p w14:paraId="2BA3CD61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728 orders      —  AOV ₹768.41</w:t>
            </w:r>
          </w:p>
        </w:tc>
      </w:tr>
      <w:tr w:rsidR="00E9749C" w14:paraId="59A54EC6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24B8F5D8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B2B Basket Premium</w:t>
            </w:r>
          </w:p>
        </w:tc>
        <w:tc>
          <w:tcPr>
            <w:tcW w:w="3744" w:type="dxa"/>
            <w:shd w:val="clear" w:color="auto" w:fill="DEEBF7"/>
          </w:tcPr>
          <w:p w14:paraId="66BC1CAF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+₹74.38 per order  (+10.7%)</w:t>
            </w:r>
          </w:p>
        </w:tc>
      </w:tr>
    </w:tbl>
    <w:p w14:paraId="35CBDCAB" w14:textId="77777777" w:rsidR="00E9749C" w:rsidRDefault="00E9749C">
      <w:pPr>
        <w:spacing w:after="80" w:line="253" w:lineRule="exact"/>
      </w:pPr>
    </w:p>
    <w:p w14:paraId="68DD64AF" w14:textId="77777777" w:rsidR="00E9749C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D584B6F" wp14:editId="2F52AB0E">
            <wp:extent cx="5486400" cy="46823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5_b2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823E" w14:textId="77777777" w:rsidR="00E9749C" w:rsidRDefault="00000000">
      <w:pPr>
        <w:spacing w:before="40" w:after="280"/>
        <w:jc w:val="center"/>
      </w:pPr>
      <w:r>
        <w:rPr>
          <w:rFonts w:ascii="Calibri" w:hAnsi="Calibri"/>
          <w:i/>
          <w:color w:val="333333"/>
          <w:sz w:val="20"/>
        </w:rPr>
        <w:t>Figure 5: Average Order Value Comparison: B2B Enterprise vs. B2C Consumer</w:t>
      </w:r>
    </w:p>
    <w:p w14:paraId="2DCD30E2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3.6  Courier Logistics Dispatch Performance</w:t>
      </w:r>
    </w:p>
    <w:p w14:paraId="33D915F5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Evaluating the logistics execution layer shows 1,09,487 orders (84.9%) marked as shipped, 6,681 (5.2%) unshipped, 5,935 (4.6%) cancelled, and 6,872 (5.3%) without a carrier-status value. These figures identify the unshipped and missing-status records as areas for operational review; the dataset does not by itself establish the causal effect of a 24-hour dispatch rule.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3744"/>
      </w:tblGrid>
      <w:tr w:rsidR="00E9749C" w14:paraId="20B71AA5" w14:textId="77777777">
        <w:trPr>
          <w:jc w:val="center"/>
        </w:trPr>
        <w:tc>
          <w:tcPr>
            <w:tcW w:w="4608" w:type="dxa"/>
            <w:shd w:val="clear" w:color="auto" w:fill="1F4E79"/>
          </w:tcPr>
          <w:p w14:paraId="2A2C3943" w14:textId="77777777" w:rsidR="00E9749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Logistics Dispatch Status</w:t>
            </w:r>
          </w:p>
        </w:tc>
        <w:tc>
          <w:tcPr>
            <w:tcW w:w="3744" w:type="dxa"/>
            <w:shd w:val="clear" w:color="auto" w:fill="1F4E79"/>
          </w:tcPr>
          <w:p w14:paraId="7D9D9055" w14:textId="77777777" w:rsidR="00E9749C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Shipment Volume &amp; Percentage</w:t>
            </w:r>
          </w:p>
        </w:tc>
      </w:tr>
      <w:tr w:rsidR="00E9749C" w14:paraId="153C99B7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2B85F8E5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Shipped (Dispatched)</w:t>
            </w:r>
          </w:p>
        </w:tc>
        <w:tc>
          <w:tcPr>
            <w:tcW w:w="3744" w:type="dxa"/>
            <w:shd w:val="clear" w:color="auto" w:fill="DEEBF7"/>
          </w:tcPr>
          <w:p w14:paraId="4DAA3192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1,09,487  —  84.9%</w:t>
            </w:r>
          </w:p>
        </w:tc>
      </w:tr>
      <w:tr w:rsidR="00E9749C" w14:paraId="25E93B41" w14:textId="77777777">
        <w:trPr>
          <w:jc w:val="center"/>
        </w:trPr>
        <w:tc>
          <w:tcPr>
            <w:tcW w:w="4608" w:type="dxa"/>
          </w:tcPr>
          <w:p w14:paraId="50E1B5A1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Unshipped (Pending)</w:t>
            </w:r>
          </w:p>
        </w:tc>
        <w:tc>
          <w:tcPr>
            <w:tcW w:w="3744" w:type="dxa"/>
          </w:tcPr>
          <w:p w14:paraId="7E01CB82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6,681     —   5.2%</w:t>
            </w:r>
          </w:p>
        </w:tc>
      </w:tr>
      <w:tr w:rsidR="00E9749C" w14:paraId="3E52C1FB" w14:textId="77777777">
        <w:trPr>
          <w:jc w:val="center"/>
        </w:trPr>
        <w:tc>
          <w:tcPr>
            <w:tcW w:w="4608" w:type="dxa"/>
            <w:shd w:val="clear" w:color="auto" w:fill="DEEBF7"/>
          </w:tcPr>
          <w:p w14:paraId="7F92FE35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Cancelled</w:t>
            </w:r>
          </w:p>
        </w:tc>
        <w:tc>
          <w:tcPr>
            <w:tcW w:w="3744" w:type="dxa"/>
            <w:shd w:val="clear" w:color="auto" w:fill="DEEBF7"/>
          </w:tcPr>
          <w:p w14:paraId="452F300A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5,935     —   4.6%</w:t>
            </w:r>
          </w:p>
        </w:tc>
      </w:tr>
      <w:tr w:rsidR="00E9749C" w14:paraId="2C1D5EB0" w14:textId="77777777">
        <w:trPr>
          <w:jc w:val="center"/>
        </w:trPr>
        <w:tc>
          <w:tcPr>
            <w:tcW w:w="4608" w:type="dxa"/>
          </w:tcPr>
          <w:p w14:paraId="07E88591" w14:textId="77777777" w:rsidR="00E9749C" w:rsidRDefault="00000000">
            <w:r>
              <w:rPr>
                <w:rFonts w:ascii="Calibri" w:hAnsi="Calibri"/>
                <w:b/>
                <w:color w:val="1A1A1A"/>
              </w:rPr>
              <w:t>Not Available / Blank</w:t>
            </w:r>
          </w:p>
        </w:tc>
        <w:tc>
          <w:tcPr>
            <w:tcW w:w="3744" w:type="dxa"/>
          </w:tcPr>
          <w:p w14:paraId="7E58B4CF" w14:textId="77777777" w:rsidR="00E9749C" w:rsidRDefault="00000000">
            <w:pPr>
              <w:jc w:val="center"/>
            </w:pPr>
            <w:r>
              <w:rPr>
                <w:rFonts w:ascii="Calibri" w:hAnsi="Calibri"/>
                <w:color w:val="333333"/>
              </w:rPr>
              <w:t>6,872     —   5.3%</w:t>
            </w:r>
          </w:p>
        </w:tc>
      </w:tr>
    </w:tbl>
    <w:p w14:paraId="7DC65894" w14:textId="77777777" w:rsidR="00E9749C" w:rsidRDefault="00E9749C">
      <w:pPr>
        <w:spacing w:after="80" w:line="253" w:lineRule="exact"/>
      </w:pPr>
    </w:p>
    <w:p w14:paraId="3D413361" w14:textId="77777777" w:rsidR="00E9749C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17907BD" wp14:editId="6B2A945B">
            <wp:extent cx="5486400" cy="3413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6_couri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F59F" w14:textId="77777777" w:rsidR="00E9749C" w:rsidRDefault="00000000">
      <w:pPr>
        <w:spacing w:before="40" w:after="280"/>
        <w:jc w:val="center"/>
      </w:pPr>
      <w:r>
        <w:rPr>
          <w:rFonts w:ascii="Calibri" w:hAnsi="Calibri"/>
          <w:i/>
          <w:color w:val="333333"/>
          <w:sz w:val="20"/>
        </w:rPr>
        <w:t>Figure 6: Courier Logistics Dispatch Performance</w:t>
      </w:r>
    </w:p>
    <w:p w14:paraId="4E477F05" w14:textId="77777777" w:rsidR="00E9749C" w:rsidRDefault="00000000">
      <w:r>
        <w:br w:type="page"/>
      </w:r>
    </w:p>
    <w:p w14:paraId="633120D8" w14:textId="77777777" w:rsidR="00C22A45" w:rsidRDefault="00C22A45">
      <w:pPr>
        <w:spacing w:before="320" w:after="120" w:line="253" w:lineRule="exact"/>
        <w:rPr>
          <w:rFonts w:ascii="Calibri" w:hAnsi="Calibri"/>
          <w:b/>
          <w:color w:val="1F4E79"/>
          <w:sz w:val="36"/>
        </w:rPr>
      </w:pPr>
    </w:p>
    <w:p w14:paraId="27E0CDBE" w14:textId="40D5BFF0" w:rsidR="00E9749C" w:rsidRDefault="00000000">
      <w:pPr>
        <w:spacing w:before="320" w:after="120" w:line="253" w:lineRule="exact"/>
      </w:pPr>
      <w:r>
        <w:rPr>
          <w:rFonts w:ascii="Calibri" w:hAnsi="Calibri"/>
          <w:b/>
          <w:color w:val="1F4E79"/>
          <w:sz w:val="36"/>
        </w:rPr>
        <w:t>Section 4: Interactive Business Intelligence Dashboard Architecture</w:t>
      </w:r>
    </w:p>
    <w:p w14:paraId="7641AD37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To empower executives with real-time operational control, an interactive analytics dashboard was developed using Streamlit and Plotly in 'Pankaj_AmazonSales.py'. The dashboard architecture features:</w:t>
      </w:r>
    </w:p>
    <w:p w14:paraId="509F03DA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4.1  High-Performance Data Layer</w:t>
      </w:r>
    </w:p>
    <w:p w14:paraId="7F63992F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 xml:space="preserve">@st.cache_data Caching Engine: </w:t>
      </w:r>
      <w:r>
        <w:rPr>
          <w:rFonts w:ascii="Calibri" w:hAnsi="Calibri"/>
          <w:color w:val="333333"/>
        </w:rPr>
        <w:t>Caches the cleaned dataset in memory to guarantee instantaneous filter updates across 128k+ records.</w:t>
      </w:r>
    </w:p>
    <w:p w14:paraId="2AF89BDB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 xml:space="preserve">Type-Safe Preprocessing: </w:t>
      </w:r>
      <w:r>
        <w:rPr>
          <w:rFonts w:ascii="Calibri" w:hAnsi="Calibri"/>
          <w:color w:val="333333"/>
        </w:rPr>
        <w:t>Enforces rigorous data typing on financial amounts, dates, and order flags at initial load.</w:t>
      </w:r>
    </w:p>
    <w:p w14:paraId="1E7FFD19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4.2  Multi-Dimensional Filter Controls</w:t>
      </w:r>
    </w:p>
    <w:p w14:paraId="2F1D6812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 xml:space="preserve">Product Category Selector: </w:t>
      </w:r>
      <w:r>
        <w:rPr>
          <w:rFonts w:ascii="Calibri" w:hAnsi="Calibri"/>
          <w:color w:val="333333"/>
        </w:rPr>
        <w:t>Allows granular drill-down into specific apparel product categories.</w:t>
      </w:r>
    </w:p>
    <w:p w14:paraId="162E5907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 xml:space="preserve">Shipping State Multi-Select: </w:t>
      </w:r>
      <w:r>
        <w:rPr>
          <w:rFonts w:ascii="Calibri" w:hAnsi="Calibri"/>
          <w:color w:val="333333"/>
        </w:rPr>
        <w:t>Filters metrics across all 39 standardized Indian States and Union Territories.</w:t>
      </w:r>
    </w:p>
    <w:p w14:paraId="0B1A16E5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 xml:space="preserve">Order Pipeline Status Filter: </w:t>
      </w:r>
      <w:r>
        <w:rPr>
          <w:rFonts w:ascii="Calibri" w:hAnsi="Calibri"/>
          <w:color w:val="333333"/>
        </w:rPr>
        <w:t>Isolates specific pipeline states, including cancelled orders for leakage auditing.</w:t>
      </w:r>
    </w:p>
    <w:p w14:paraId="02ED0F42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 xml:space="preserve">Active Record Counter &amp; Progress Bar: </w:t>
      </w:r>
      <w:r>
        <w:rPr>
          <w:rFonts w:ascii="Calibri" w:hAnsi="Calibri"/>
          <w:color w:val="333333"/>
        </w:rPr>
        <w:t>Displays real-time proportion of active filtered rows relative to total dataset volume.</w:t>
      </w:r>
    </w:p>
    <w:p w14:paraId="5B6F1611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4.3  Dynamic Executive KPI Metric Cards</w:t>
      </w:r>
    </w:p>
    <w:p w14:paraId="4FAE61C5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Four high-contrast KPI cards dynamically reflect current filter states: Net Fulfilled Revenue (₹ Lakhs), Total Order Volume (with cancelled delta), Total Units Sold, and Average Order Value (AOV).</w:t>
      </w:r>
    </w:p>
    <w:p w14:paraId="6FE99A01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4.4  Interactive Plotly Visualizations</w:t>
      </w:r>
    </w:p>
    <w:p w14:paraId="6FC61797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 xml:space="preserve">Category Revenue Breakdown: </w:t>
      </w:r>
      <w:r>
        <w:rPr>
          <w:rFonts w:ascii="Calibri" w:hAnsi="Calibri"/>
          <w:color w:val="333333"/>
        </w:rPr>
        <w:t>Horizontal bar chart featuring real-time revenue and percentage contribution labels.</w:t>
      </w:r>
    </w:p>
    <w:p w14:paraId="1D83E608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 xml:space="preserve">Fulfilment Distribution Donut: </w:t>
      </w:r>
      <w:r>
        <w:rPr>
          <w:rFonts w:ascii="Calibri" w:hAnsi="Calibri"/>
          <w:color w:val="333333"/>
        </w:rPr>
        <w:t>Dynamic donut chart displaying Amazon Easy Ship vs Merchant volume and percentage share.</w:t>
      </w:r>
    </w:p>
    <w:p w14:paraId="681C8337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 xml:space="preserve">Geographic Revenue Distribution: </w:t>
      </w:r>
      <w:r>
        <w:rPr>
          <w:rFonts w:ascii="Calibri" w:hAnsi="Calibri"/>
          <w:color w:val="333333"/>
        </w:rPr>
        <w:t>Vertical bar chart highlighting sales volume across selected Indian states.</w:t>
      </w:r>
    </w:p>
    <w:p w14:paraId="28E2CBAB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 xml:space="preserve">Order Status Distribution: </w:t>
      </w:r>
      <w:r>
        <w:rPr>
          <w:rFonts w:ascii="Calibri" w:hAnsi="Calibri"/>
          <w:color w:val="333333"/>
        </w:rPr>
        <w:t>Color-coded visual representation of delivery health and pipeline progression.</w:t>
      </w:r>
    </w:p>
    <w:p w14:paraId="1FAC2E2C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4.5  Data Audit &amp; CSV Export Capability</w:t>
      </w:r>
    </w:p>
    <w:p w14:paraId="2B7419AA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 xml:space="preserve">Granular Transaction Inspection: </w:t>
      </w:r>
      <w:r>
        <w:rPr>
          <w:rFonts w:ascii="Calibri" w:hAnsi="Calibri"/>
          <w:color w:val="333333"/>
        </w:rPr>
        <w:t>An interactive table displaying the first 100 filtered records with formatted currency values.</w:t>
      </w:r>
    </w:p>
    <w:p w14:paraId="200953C5" w14:textId="77777777" w:rsidR="00E9749C" w:rsidRDefault="00000000">
      <w:pPr>
        <w:pStyle w:val="ListBullet"/>
        <w:spacing w:after="60" w:line="253" w:lineRule="exact"/>
      </w:pPr>
      <w:r>
        <w:rPr>
          <w:rFonts w:ascii="Calibri" w:hAnsi="Calibri"/>
          <w:b/>
          <w:color w:val="1A1A1A"/>
        </w:rPr>
        <w:t xml:space="preserve">One-Click CSV Export: </w:t>
      </w:r>
      <w:r>
        <w:rPr>
          <w:rFonts w:ascii="Calibri" w:hAnsi="Calibri"/>
          <w:color w:val="333333"/>
        </w:rPr>
        <w:t>Allows business analysts to download the currently active filtered dataset directly as 'filtered_amazon_sales.csv'.</w:t>
      </w:r>
    </w:p>
    <w:p w14:paraId="20DF6B35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4.6  Automated Strategic Findings Engine</w:t>
      </w:r>
    </w:p>
    <w:p w14:paraId="3620A466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An intelligent summary block dynamically computes key operational ratios from the active filtered slice, synthesizing real-time findings on cancellation percentages, category shares, and top performing regions.</w:t>
      </w:r>
    </w:p>
    <w:p w14:paraId="1D4FB639" w14:textId="77777777" w:rsidR="00E9749C" w:rsidRDefault="00000000">
      <w:r>
        <w:br w:type="page"/>
      </w:r>
    </w:p>
    <w:p w14:paraId="79A58124" w14:textId="77777777" w:rsidR="00C22A45" w:rsidRDefault="00C22A45">
      <w:pPr>
        <w:spacing w:before="320" w:after="120" w:line="253" w:lineRule="exact"/>
        <w:rPr>
          <w:rFonts w:ascii="Calibri" w:hAnsi="Calibri"/>
          <w:b/>
          <w:color w:val="1F4E79"/>
          <w:sz w:val="36"/>
        </w:rPr>
      </w:pPr>
    </w:p>
    <w:p w14:paraId="160E6208" w14:textId="0CDC473C" w:rsidR="00E9749C" w:rsidRDefault="00000000">
      <w:pPr>
        <w:spacing w:before="320" w:after="120" w:line="253" w:lineRule="exact"/>
      </w:pPr>
      <w:r>
        <w:rPr>
          <w:rFonts w:ascii="Calibri" w:hAnsi="Calibri"/>
          <w:b/>
          <w:color w:val="1F4E79"/>
          <w:sz w:val="36"/>
        </w:rPr>
        <w:t>Section 5: Strategic Business Recommendations &amp; Executive Roadmap</w:t>
      </w:r>
    </w:p>
    <w:p w14:paraId="40D37EA9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Recommendation 1 — Category Diversification &amp; Portfolio De-risking</w:t>
      </w:r>
    </w:p>
    <w:p w14:paraId="0CAEE440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With Set and Kurta accounting for ~77% of revenue, the business faces acute concentration risk. A proposed action is to test reallocating 15–20% of promotional marketing budget toward Western Dress (14.2% share) and Tops (6.8% share). Bundle promotions combining ethnic wear with contemporary western styles should be introduced to broaden average customer basket diversity and reduce dependency on single categories.</w:t>
      </w:r>
    </w:p>
    <w:p w14:paraId="2C773056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Recommendation 2 — Geographic Hub Optimization (West &amp; South Corridor)</w:t>
      </w:r>
    </w:p>
    <w:p w14:paraId="738618D9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Given that Maharashtra, Karnataka, Telangana, and Tamil Nadu drive over 47% of net revenue, a proposed action is to evaluate pre-positioning fast-moving Set and Kurta SKUs within fulfillment centers in Bhiwandi (Mumbai) and Bengaluru. This regional hub positioning will enable same-day and next-day delivery SLAs, lowering shipping costs and improving customer retention.</w:t>
      </w:r>
    </w:p>
    <w:p w14:paraId="7A743337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Recommendation 3 — Mitigating the 14.2% Cancellation Rate</w:t>
      </w:r>
    </w:p>
    <w:p w14:paraId="56DDC4E2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The ₹69.19 Lakhs revenue leakage caused by cancellations requires immediate operational intervention: (1) Deploy an AI-driven size and fit recommendation tool on product pages to reduce sizing-related cancellations. (2) Implement automated WhatsApp/SMS verification for high-value Cash-on-Delivery orders prior to fulfillment. (3) Synchronize inventory counters in real time to prevent backorder cancellations on stockouts.</w:t>
      </w:r>
    </w:p>
    <w:p w14:paraId="14D6EE57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Recommendation 4 — Migrating Merchant Sellers to Amazon Easy Ship</w:t>
      </w:r>
    </w:p>
    <w:p w14:paraId="14824A16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Merchant-fulfilled orders (30.5%) generate higher SLA variability and customer complaints. a proposed action is to evaluate tiered fee discounts and relevant seller incentives to incentivize merchant sellers to transition to Easy Ship logistics, ensuring standard delivery tracking and lower return friction.</w:t>
      </w:r>
    </w:p>
    <w:p w14:paraId="6560F699" w14:textId="77777777" w:rsidR="00E9749C" w:rsidRDefault="00000000">
      <w:pPr>
        <w:spacing w:before="240" w:after="80" w:line="253" w:lineRule="exact"/>
      </w:pPr>
      <w:r>
        <w:rPr>
          <w:rFonts w:ascii="Calibri" w:hAnsi="Calibri"/>
          <w:b/>
          <w:color w:val="2F5597"/>
          <w:sz w:val="28"/>
        </w:rPr>
        <w:t>Recommendation 5 — Capitalizing on the B2B Wholesale Basket Premium</w:t>
      </w:r>
    </w:p>
    <w:p w14:paraId="53E125CB" w14:textId="77777777" w:rsidR="00E9749C" w:rsidRDefault="00000000">
      <w:pPr>
        <w:spacing w:after="120" w:line="253" w:lineRule="exact"/>
      </w:pPr>
      <w:r>
        <w:rPr>
          <w:rFonts w:ascii="Calibri" w:hAnsi="Calibri"/>
          <w:color w:val="333333"/>
        </w:rPr>
        <w:t>B2B buyers demonstrate a +10.7% order value premium (₹768.41 vs ₹694.03). To expand this high-value segment beyond 728 orders, a proposed action is to evaluate a dedicated B2B wholesale program offering tiered volume pricing (5%, 10%, 15% discounts on bulk quantities), flexible credit terms (Net-30), and dedicated business account managers.</w:t>
      </w:r>
    </w:p>
    <w:p w14:paraId="7F73D142" w14:textId="77777777" w:rsidR="00E9749C" w:rsidRDefault="00000000">
      <w:r>
        <w:br w:type="page"/>
      </w:r>
    </w:p>
    <w:p w14:paraId="192FBC20" w14:textId="77777777" w:rsidR="00E9749C" w:rsidRDefault="00E9749C"/>
    <w:p w14:paraId="5750E7B9" w14:textId="77777777" w:rsidR="00E9749C" w:rsidRDefault="00000000">
      <w:pPr>
        <w:jc w:val="center"/>
      </w:pPr>
      <w:r>
        <w:rPr>
          <w:rFonts w:ascii="Calibri" w:hAnsi="Calibri"/>
          <w:color w:val="BBBBBB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55D684B7" w14:textId="77777777" w:rsidR="00E9749C" w:rsidRDefault="00000000">
      <w:pPr>
        <w:spacing w:before="80" w:after="0" w:line="253" w:lineRule="exact"/>
        <w:jc w:val="center"/>
      </w:pPr>
      <w:r>
        <w:rPr>
          <w:rFonts w:ascii="Calibri" w:hAnsi="Calibri"/>
          <w:i/>
          <w:color w:val="333333"/>
          <w:sz w:val="18"/>
        </w:rPr>
        <w:t>Pankaj Kumar  ·  IBM SkillsBuild Internship  ·  Amazon India E-Commerce Analytics Project  ·  Data Source: Amazon India Sales Report (Kaggle)</w:t>
      </w:r>
    </w:p>
    <w:p>
      <w:r>
        <w:rPr>
          <w:i/>
          <w:sz w:val="18"/>
        </w:rPr>
        <w:t>Validation note: The final Q&amp;A below has been reconciled with the quantitative tables and findings presented in this report. Where the report did not contain a validated metric, the earlier claim has been removed rather than inferred.</w:t>
      </w:r>
    </w:p>
    <w:p w14:paraId="21AE3886" w14:textId="77777777" w:rsidR="00E9749C" w:rsidRDefault="00000000">
      <w:pPr>
        <w:spacing w:before="400" w:after="160"/>
      </w:pPr>
      <w:r>
        <w:rPr>
          <w:b/>
          <w:color w:val="0F4C81"/>
          <w:sz w:val="32"/>
        </w:rPr>
        <w:t>Key Business &amp; Analytical Questions Answered</w:t>
      </w:r>
    </w:p>
    <w:p w14:paraId="33BB3091" w14:textId="77777777" w:rsidR="00E9749C" w:rsidRDefault="00000000">
      <w:pPr>
        <w:spacing w:after="240"/>
      </w:pPr>
      <w:r>
        <w:t>To validate empirical findings against operational hypotheses, the analysis explicitly addresses core business and research questions derived from the 128k+ Amazon India transaction records: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9749C" w14:paraId="3D34B8CA" w14:textId="77777777">
        <w:trPr>
          <w:jc w:val="center"/>
        </w:trPr>
        <w:tc>
          <w:tcPr>
            <w:tcW w:w="4680" w:type="dxa"/>
            <w:shd w:val="clear" w:color="auto" w:fill="0F4C81"/>
          </w:tcPr>
          <w:p w14:paraId="2F42F3E2" w14:textId="77777777" w:rsidR="00E9749C" w:rsidRDefault="00000000">
            <w:r>
              <w:rPr>
                <w:b/>
                <w:color w:val="FFFFFF"/>
                <w:sz w:val="20"/>
              </w:rPr>
              <w:t>Business / Analytical Question</w:t>
            </w:r>
          </w:p>
        </w:tc>
        <w:tc>
          <w:tcPr>
            <w:tcW w:w="4680" w:type="dxa"/>
            <w:shd w:val="clear" w:color="auto" w:fill="0F4C81"/>
          </w:tcPr>
          <w:p w14:paraId="3692EA56" w14:textId="77777777" w:rsidR="00E9749C" w:rsidRDefault="00000000">
            <w:r>
              <w:rPr>
                <w:b/>
                <w:color w:val="FFFFFF"/>
                <w:sz w:val="20"/>
              </w:rPr>
              <w:t>Data-Backed Findings &amp; Answer</w:t>
            </w:r>
          </w:p>
        </w:tc>
      </w:tr>
      <w:tr w:rsidR="00E9749C" w14:paraId="22C20DFB" w14:textId="77777777">
        <w:trPr>
          <w:jc w:val="center"/>
        </w:trPr>
        <w:tc>
          <w:tcPr>
            <w:tcW w:w="4680" w:type="dxa"/>
          </w:tcPr>
          <w:p w14:paraId="2AA1E52A" w14:textId="77777777" w:rsidR="00E9749C" w:rsidRDefault="00000000">
            <w:r>
              <w:rPr>
                <w:b/>
                <w:color w:val="1E293B"/>
                <w:sz w:val="19"/>
              </w:rPr>
              <w:t>Q1. Which product category generates the highest sales revenue?</w:t>
            </w:r>
          </w:p>
        </w:tc>
        <w:tc>
          <w:tcPr>
            <w:tcW w:w="4680" w:type="dxa"/>
          </w:tcPr>
          <w:p>
            <w:r>
              <w:t>Set (Clothing Sets) has the highest reported net fulfilled revenue at ₹357.32 Lakhs (₹3.57 Crore), followed by Kurta at ₹194.26 Lakhs (₹1.94 Crore). Together they account for 77.0% of the reported net fulfilled revenue in the category table.</w:t>
            </w:r>
          </w:p>
        </w:tc>
      </w:tr>
      <w:tr w:rsidR="00E9749C" w14:paraId="2054B453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099F16DA" w14:textId="77777777" w:rsidR="00E9749C" w:rsidRDefault="00000000">
            <w:r>
              <w:rPr>
                <w:b/>
                <w:color w:val="1E293B"/>
                <w:sz w:val="19"/>
              </w:rPr>
              <w:t>Q2. What is the overall order cancellation and return impact?</w:t>
            </w:r>
          </w:p>
        </w:tc>
        <w:tc>
          <w:tcPr>
            <w:tcW w:w="4680" w:type="dxa"/>
            <w:shd w:val="clear" w:color="auto" w:fill="F8FAFC"/>
          </w:tcPr>
          <w:p>
            <w:r>
              <w:t>14.2% of all orders (18,332) were cancelled, corresponding to ₹69.19 Lakhs in cancelled gross transaction value. In the pipeline table, 1.5% (1,953) were marked Shipped – Returned to Seller and 0.8% (973) Shipped – Picked Up.</w:t>
            </w:r>
          </w:p>
        </w:tc>
      </w:tr>
      <w:tr w:rsidR="00E9749C" w14:paraId="50DC0212" w14:textId="77777777">
        <w:trPr>
          <w:jc w:val="center"/>
        </w:trPr>
        <w:tc>
          <w:tcPr>
            <w:tcW w:w="4680" w:type="dxa"/>
          </w:tcPr>
          <w:p w14:paraId="6C969796" w14:textId="77777777" w:rsidR="00E9749C" w:rsidRDefault="00000000">
            <w:r>
              <w:rPr>
                <w:b/>
                <w:color w:val="1E293B"/>
                <w:sz w:val="19"/>
              </w:rPr>
              <w:t>Q3. Which geographic region/state drives the maximum customer demand?</w:t>
            </w:r>
          </w:p>
        </w:tc>
        <w:tc>
          <w:tcPr>
            <w:tcW w:w="4680" w:type="dxa"/>
          </w:tcPr>
          <w:p>
            <w:r>
              <w:t>Maharashtra ranks first in the reported state analysis at ₹122.25 Lakhs (17.1% of net fulfilled revenue), followed by Karnataka at ₹96.50 Lakhs (13.5%).</w:t>
            </w:r>
          </w:p>
        </w:tc>
      </w:tr>
      <w:tr w:rsidR="00E9749C" w14:paraId="4121BC55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234844CF" w14:textId="77777777" w:rsidR="00E9749C" w:rsidRDefault="00000000">
            <w:r>
              <w:rPr>
                <w:b/>
                <w:color w:val="1E293B"/>
                <w:sz w:val="19"/>
              </w:rPr>
              <w:t>Q4. Which fulfillment channel delivers superior fulfillment efficiency: Amazon FBA or Merchant?</w:t>
            </w:r>
          </w:p>
        </w:tc>
        <w:tc>
          <w:tcPr>
            <w:tcW w:w="4680" w:type="dxa"/>
            <w:shd w:val="clear" w:color="auto" w:fill="F8FAFC"/>
          </w:tcPr>
          <w:p>
            <w:r>
              <w:t>The report's validated fulfilment split is Amazon Easy Ship: 89,698 orders (69.5%) and Merchant Fulfilled: 39,277 orders (30.5%). The available analysis does not establish a separate 92.4% completion rate, so that figure has been removed.</w:t>
            </w:r>
          </w:p>
        </w:tc>
      </w:tr>
      <w:tr w:rsidR="00E9749C" w14:paraId="217EDBC6" w14:textId="77777777">
        <w:trPr>
          <w:jc w:val="center"/>
        </w:trPr>
        <w:tc>
          <w:tcPr>
            <w:tcW w:w="4680" w:type="dxa"/>
          </w:tcPr>
          <w:p w14:paraId="4642CF3D" w14:textId="77777777" w:rsidR="00E9749C" w:rsidRDefault="00000000">
            <w:r>
              <w:rPr>
                <w:b/>
                <w:color w:val="1E293B"/>
                <w:sz w:val="19"/>
              </w:rPr>
              <w:t>Q5. In which month did the highest sales peak occur?</w:t>
            </w:r>
          </w:p>
        </w:tc>
        <w:tc>
          <w:tcPr>
            <w:tcW w:w="4680" w:type="dxa"/>
          </w:tcPr>
          <w:p>
            <w:r>
              <w:t>A validated month-by-month sales table is not presented elsewhere in this report. Therefore, no specific monthly sales peak is asserted here. The report's overall baseline is GTV ₹785.93 Lakhs and net fulfilled revenue ₹716.73 Lakhs.</w:t>
            </w:r>
          </w:p>
        </w:tc>
      </w:tr>
      <w:tr w:rsidR="00E9749C" w14:paraId="50FB05AC" w14:textId="77777777">
        <w:trPr>
          <w:jc w:val="center"/>
        </w:trPr>
        <w:tc>
          <w:tcPr>
            <w:tcW w:w="4680" w:type="dxa"/>
            <w:shd w:val="clear" w:color="auto" w:fill="F8FAFC"/>
          </w:tcPr>
          <w:p w14:paraId="1AC1F47A" w14:textId="77777777" w:rsidR="00E9749C" w:rsidRDefault="00000000">
            <w:r>
              <w:rPr>
                <w:b/>
                <w:color w:val="1E293B"/>
                <w:sz w:val="19"/>
              </w:rPr>
              <w:t>Q6. What are the most popular product sizes ordered by customers?</w:t>
            </w:r>
          </w:p>
        </w:tc>
        <w:tc>
          <w:tcPr>
            <w:tcW w:w="4680" w:type="dxa"/>
            <w:shd w:val="clear" w:color="auto" w:fill="F8FAFC"/>
          </w:tcPr>
          <w:p>
            <w:r>
              <w:t>A size-level analysis is not presented in the validated findings/tables of this report. The earlier size claim has therefore been removed rather than presented as a data-backed conclusion.</w:t>
            </w:r>
          </w:p>
        </w:tc>
      </w:tr>
      <w:tr w:rsidR="00E9749C" w14:paraId="690536B5" w14:textId="77777777">
        <w:trPr>
          <w:jc w:val="center"/>
        </w:trPr>
        <w:tc>
          <w:tcPr>
            <w:tcW w:w="4680" w:type="dxa"/>
          </w:tcPr>
          <w:p w14:paraId="4915840E" w14:textId="77777777" w:rsidR="00E9749C" w:rsidRDefault="00000000">
            <w:r>
              <w:rPr>
                <w:b/>
                <w:color w:val="1E293B"/>
                <w:sz w:val="19"/>
              </w:rPr>
              <w:t>Q7. What is the composition of B2B versus B2C transactions?</w:t>
            </w:r>
          </w:p>
        </w:tc>
        <w:tc>
          <w:tcPr>
            <w:tcW w:w="4680" w:type="dxa"/>
          </w:tcPr>
          <w:p>
            <w:r>
              <w:t>Among orders with a buyer-segment classification, B2C accounts for 1,02,465 orders and B2B for 728 orders, totaling 1,03,193 classified orders. This corresponds to approximately 99.3% B2C and 0.7% B2B within the classified segment.</w:t>
            </w:r>
          </w:p>
        </w:tc>
      </w:tr>
    </w:tbl>
    <w:p w14:paraId="08109CEB" w14:textId="77777777" w:rsidR="006D45C2" w:rsidRDefault="006D45C2"/>
    <w:sectPr w:rsidR="006D45C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378419">
    <w:abstractNumId w:val="8"/>
  </w:num>
  <w:num w:numId="2" w16cid:durableId="166209445">
    <w:abstractNumId w:val="6"/>
  </w:num>
  <w:num w:numId="3" w16cid:durableId="255402122">
    <w:abstractNumId w:val="5"/>
  </w:num>
  <w:num w:numId="4" w16cid:durableId="517499104">
    <w:abstractNumId w:val="4"/>
  </w:num>
  <w:num w:numId="5" w16cid:durableId="1552032554">
    <w:abstractNumId w:val="7"/>
  </w:num>
  <w:num w:numId="6" w16cid:durableId="342630056">
    <w:abstractNumId w:val="3"/>
  </w:num>
  <w:num w:numId="7" w16cid:durableId="1251701550">
    <w:abstractNumId w:val="2"/>
  </w:num>
  <w:num w:numId="8" w16cid:durableId="638414977">
    <w:abstractNumId w:val="1"/>
  </w:num>
  <w:num w:numId="9" w16cid:durableId="2108889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5C2"/>
    <w:rsid w:val="00AA1D8D"/>
    <w:rsid w:val="00B47730"/>
    <w:rsid w:val="00C22A45"/>
    <w:rsid w:val="00CB0664"/>
    <w:rsid w:val="00E02EAE"/>
    <w:rsid w:val="00E974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47808"/>
  <w14:defaultImageDpi w14:val="300"/>
  <w15:docId w15:val="{2E888FCB-9334-354D-803D-3864C6BA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2510</Words>
  <Characters>14311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pankaj kumar</cp:lastModifiedBy>
  <cp:revision>2</cp:revision>
  <dcterms:created xsi:type="dcterms:W3CDTF">2013-12-23T23:15:00Z</dcterms:created>
  <dcterms:modified xsi:type="dcterms:W3CDTF">2026-09-17T09:52:00Z</dcterms:modified>
  <cp:category/>
</cp:coreProperties>
</file>