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4770D" w14:textId="77777777" w:rsidR="00E9749C" w:rsidRDefault="00E9749C"/>
    <w:p w14:paraId="6BF8053D" w14:textId="77777777" w:rsidR="00E9749C" w:rsidRDefault="00000000">
      <w:pPr>
        <w:spacing w:before="480" w:after="160" w:line="253" w:lineRule="exact"/>
        <w:jc w:val="center"/>
      </w:pPr>
      <w:r>
        <w:rPr>
          <w:rFonts w:ascii="Calibri" w:hAnsi="Calibri"/>
          <w:b/>
          <w:color w:val="1F4E79"/>
          <w:sz w:val="48"/>
        </w:rPr>
        <w:t>DATA ANALYTICS &amp; AI PROJECT REPORT</w:t>
      </w:r>
    </w:p>
    <w:p w14:paraId="24EDD4FF" w14:textId="77777777" w:rsidR="00E9749C" w:rsidRDefault="00000000">
      <w:pPr>
        <w:spacing w:after="120" w:line="253" w:lineRule="exact"/>
        <w:jc w:val="center"/>
      </w:pPr>
      <w:r>
        <w:rPr>
          <w:rFonts w:ascii="Calibri" w:hAnsi="Calibri"/>
          <w:b/>
          <w:color w:val="2F5597"/>
          <w:sz w:val="28"/>
        </w:rPr>
        <w:t>Amazon India E-Commerce Retail &amp; Fulfilment Optimization</w:t>
      </w:r>
    </w:p>
    <w:p w14:paraId="5310FA66" w14:textId="77777777" w:rsidR="00E9749C" w:rsidRDefault="00000000">
      <w:pPr>
        <w:spacing w:after="80" w:line="253" w:lineRule="exact"/>
        <w:jc w:val="center"/>
      </w:pPr>
      <w:r>
        <w:rPr>
          <w:rFonts w:ascii="Calibri" w:hAnsi="Calibri"/>
          <w:color w:val="333333"/>
          <w:sz w:val="24"/>
        </w:rPr>
        <w:t>Pankaj Kumar  |  IBM SkillsBuild Internship</w:t>
      </w:r>
    </w:p>
    <w:p w14:paraId="4D630AFF" w14:textId="77777777" w:rsidR="00E9749C" w:rsidRDefault="00000000">
      <w:pPr>
        <w:spacing w:after="80" w:line="253" w:lineRule="exact"/>
        <w:jc w:val="center"/>
      </w:pPr>
      <w:r>
        <w:rPr>
          <w:rFonts w:ascii="Calibri" w:hAnsi="Calibri"/>
          <w:color w:val="333333"/>
        </w:rPr>
        <w:t>Academic Domain: Retail Data Analytics · Supply Chain Optimization · Business Intelligence</w:t>
      </w:r>
    </w:p>
    <w:p w14:paraId="6BA9C0B6" w14:textId="77777777" w:rsidR="00E9749C" w:rsidRDefault="00000000">
      <w:pPr>
        <w:spacing w:after="80" w:line="253" w:lineRule="exact"/>
        <w:jc w:val="center"/>
      </w:pPr>
      <w:r>
        <w:rPr>
          <w:rFonts w:ascii="Calibri" w:hAnsi="Calibri"/>
          <w:color w:val="333333"/>
        </w:rPr>
        <w:t>Dataset Scope: 128,975 transactions (31 Mar 2022 – 29 Jun 2022)  |  Pan-India (39 States &amp; UTs)</w:t>
      </w:r>
    </w:p>
    <w:p w14:paraId="6A52EB6B" w14:textId="77777777" w:rsidR="00E9749C" w:rsidRDefault="00E9749C"/>
    <w:p w14:paraId="0A1E57E4" w14:textId="77777777" w:rsidR="00E9749C" w:rsidRDefault="00000000">
      <w:pPr>
        <w:jc w:val="center"/>
      </w:pPr>
      <w:r>
        <w:rPr>
          <w:rFonts w:ascii="Calibri" w:hAnsi="Calibri"/>
          <w:color w:val="BBBBBB"/>
          <w:sz w:val="18"/>
        </w:rPr>
        <w:t>────────────────────────────────────────────────────────────────────────</w:t>
      </w:r>
    </w:p>
    <w:p w14:paraId="491E8E82" w14:textId="77777777" w:rsidR="00E9749C" w:rsidRDefault="00000000">
      <w:r>
        <w:br w:type="page"/>
      </w:r>
    </w:p>
    <w:p w14:paraId="6015F5AA" w14:textId="77777777" w:rsidR="00C22A45" w:rsidRDefault="00C22A45">
      <w:pPr>
        <w:spacing w:before="320" w:after="120" w:line="253" w:lineRule="exact"/>
        <w:rPr>
          <w:rFonts w:ascii="Calibri" w:hAnsi="Calibri"/>
          <w:b/>
          <w:color w:val="1F4E79"/>
          <w:sz w:val="36"/>
        </w:rPr>
      </w:pPr>
    </w:p>
    <w:p w14:paraId="344DF269" w14:textId="7FE3C553" w:rsidR="00E9749C" w:rsidRDefault="00000000">
      <w:pPr>
        <w:spacing w:before="320" w:after="120" w:line="253" w:lineRule="exact"/>
      </w:pPr>
      <w:r>
        <w:rPr>
          <w:rFonts w:ascii="Calibri" w:hAnsi="Calibri"/>
          <w:b/>
          <w:color w:val="1F4E79"/>
          <w:sz w:val="36"/>
        </w:rPr>
        <w:t>Section 1: Executive Summary &amp; Problem Formulation</w:t>
      </w:r>
    </w:p>
    <w:p w14:paraId="2D59702D" w14:textId="77777777" w:rsidR="00E9749C" w:rsidRDefault="00000000">
      <w:pPr>
        <w:spacing w:before="240" w:after="80" w:line="253" w:lineRule="exact"/>
      </w:pPr>
      <w:r>
        <w:rPr>
          <w:rFonts w:ascii="Calibri" w:hAnsi="Calibri"/>
          <w:b/>
          <w:color w:val="2F5597"/>
          <w:sz w:val="28"/>
        </w:rPr>
        <w:t>1.1  Problem Statement</w:t>
      </w:r>
    </w:p>
    <w:p w14:paraId="5B313381" w14:textId="77777777" w:rsidR="00E9749C" w:rsidRDefault="00000000">
      <w:pPr>
        <w:spacing w:after="120" w:line="253" w:lineRule="exact"/>
      </w:pPr>
      <w:r>
        <w:rPr>
          <w:rFonts w:ascii="Calibri" w:hAnsi="Calibri"/>
          <w:color w:val="333333"/>
        </w:rPr>
        <w:t>Amazon India's apparel vertical operates a high-velocity, multi-channel order pipeline spanning diverse product categories, geographies, and fulfilment partners. Despite strong gross transaction volume of ₹785.93 Lakhs across 128,975 orders, four structural challenges constrain profitability and operational efficiency:</w:t>
      </w:r>
    </w:p>
    <w:p w14:paraId="0991CECF" w14:textId="77777777" w:rsidR="00E9749C" w:rsidRDefault="00000000">
      <w:pPr>
        <w:pStyle w:val="ListBullet"/>
        <w:spacing w:after="60" w:line="253" w:lineRule="exact"/>
      </w:pPr>
      <w:r>
        <w:rPr>
          <w:rFonts w:ascii="Calibri" w:hAnsi="Calibri"/>
          <w:b/>
          <w:color w:val="1A1A1A"/>
        </w:rPr>
        <w:t xml:space="preserve">Revenue Leakage from Cancellations: </w:t>
      </w:r>
      <w:r>
        <w:rPr>
          <w:rFonts w:ascii="Calibri" w:hAnsi="Calibri"/>
          <w:color w:val="333333"/>
        </w:rPr>
        <w:t>A 14.2% cancellation rate (18,332 orders) erodes ₹69.19 L in gross transaction value — a critical financial loss requiring predictive inventory and sizing interventions.</w:t>
      </w:r>
    </w:p>
    <w:p w14:paraId="39B780BD" w14:textId="77777777" w:rsidR="00E9749C" w:rsidRDefault="00000000">
      <w:pPr>
        <w:pStyle w:val="ListBullet"/>
        <w:spacing w:after="60" w:line="253" w:lineRule="exact"/>
      </w:pPr>
      <w:r>
        <w:rPr>
          <w:rFonts w:ascii="Calibri" w:hAnsi="Calibri"/>
          <w:b/>
          <w:color w:val="1A1A1A"/>
        </w:rPr>
        <w:t xml:space="preserve">Fulfilment Channel Cost Asymmetry: </w:t>
      </w:r>
      <w:r>
        <w:rPr>
          <w:rFonts w:ascii="Calibri" w:hAnsi="Calibri"/>
          <w:color w:val="333333"/>
        </w:rPr>
        <w:t>The dual-channel model (Amazon Easy Ship 69.5% vs Merchant 30.5%) creates variable SLA delivery timelines and uneven logistics cost structures.</w:t>
      </w:r>
    </w:p>
    <w:p w14:paraId="4FD2AC93" w14:textId="77777777" w:rsidR="00E9749C" w:rsidRDefault="00000000">
      <w:pPr>
        <w:pStyle w:val="ListBullet"/>
        <w:spacing w:after="60" w:line="253" w:lineRule="exact"/>
      </w:pPr>
      <w:r>
        <w:rPr>
          <w:rFonts w:ascii="Calibri" w:hAnsi="Calibri"/>
          <w:b/>
          <w:color w:val="1A1A1A"/>
        </w:rPr>
        <w:t xml:space="preserve">Product Concentration Risk: </w:t>
      </w:r>
      <w:r>
        <w:rPr>
          <w:rFonts w:ascii="Calibri" w:hAnsi="Calibri"/>
          <w:color w:val="333333"/>
        </w:rPr>
        <w:t>Two categories — Set and Kurta — drive approximately 77% of all net revenue, creating single-category demand dependency and inventory fragility.</w:t>
      </w:r>
    </w:p>
    <w:p w14:paraId="60335C0A" w14:textId="77777777" w:rsidR="00E9749C" w:rsidRDefault="00000000">
      <w:pPr>
        <w:pStyle w:val="ListBullet"/>
        <w:spacing w:after="60" w:line="253" w:lineRule="exact"/>
      </w:pPr>
      <w:r>
        <w:rPr>
          <w:rFonts w:ascii="Calibri" w:hAnsi="Calibri"/>
          <w:b/>
          <w:color w:val="1A1A1A"/>
        </w:rPr>
        <w:t xml:space="preserve">Underexploited B2B Segment: </w:t>
      </w:r>
      <w:r>
        <w:rPr>
          <w:rFonts w:ascii="Calibri" w:hAnsi="Calibri"/>
          <w:color w:val="333333"/>
        </w:rPr>
        <w:t>B2B enterprise buyers exhibit a ₹768.41 AOV (+10.7% premium over B2C ₹694.03) yet represent only 728 orders, signalling massive untapped wholesale expansion opportunity.</w:t>
      </w:r>
    </w:p>
    <w:p w14:paraId="2D5EE744" w14:textId="77777777" w:rsidR="00E9749C" w:rsidRDefault="00000000">
      <w:pPr>
        <w:spacing w:before="240" w:after="80" w:line="253" w:lineRule="exact"/>
      </w:pPr>
      <w:r>
        <w:rPr>
          <w:rFonts w:ascii="Calibri" w:hAnsi="Calibri"/>
          <w:b/>
          <w:color w:val="2F5597"/>
          <w:sz w:val="28"/>
        </w:rPr>
        <w:t>1.2  Core Executive KPI Summary</w:t>
      </w:r>
    </w:p>
    <w:p w14:paraId="2CDAEA4E" w14:textId="77777777" w:rsidR="00E9749C" w:rsidRDefault="00000000">
      <w:pPr>
        <w:spacing w:after="120" w:line="253" w:lineRule="exact"/>
      </w:pPr>
      <w:r>
        <w:rPr>
          <w:rFonts w:ascii="Calibri" w:hAnsi="Calibri"/>
          <w:color w:val="333333"/>
        </w:rPr>
        <w:t>The fundamental baseline metrics for the completed dataset are tabulated below:</w:t>
      </w:r>
    </w:p>
    <w:tbl>
      <w:tblPr>
        <w:tblStyle w:val="TableGrid"/>
        <w:tblW w:w="0" w:type="auto"/>
        <w:jc w:val="center"/>
        <w:tblLook w:val="04A0" w:firstRow="1" w:lastRow="0" w:firstColumn="1" w:lastColumn="0" w:noHBand="0" w:noVBand="1"/>
      </w:tblPr>
      <w:tblGrid>
        <w:gridCol w:w="4608"/>
        <w:gridCol w:w="3744"/>
      </w:tblGrid>
      <w:tr w:rsidR="00E9749C" w14:paraId="3D22A0E7" w14:textId="77777777">
        <w:trPr>
          <w:jc w:val="center"/>
        </w:trPr>
        <w:tc>
          <w:tcPr>
            <w:tcW w:w="4608" w:type="dxa"/>
            <w:shd w:val="clear" w:color="auto" w:fill="1F4E79"/>
          </w:tcPr>
          <w:p w14:paraId="655B7A91" w14:textId="77777777" w:rsidR="00E9749C" w:rsidRDefault="00000000">
            <w:pPr>
              <w:jc w:val="center"/>
            </w:pPr>
            <w:r>
              <w:rPr>
                <w:rFonts w:ascii="Calibri" w:hAnsi="Calibri"/>
                <w:b/>
                <w:color w:val="FFFFFF"/>
              </w:rPr>
              <w:t>Key Performance Indicator</w:t>
            </w:r>
          </w:p>
        </w:tc>
        <w:tc>
          <w:tcPr>
            <w:tcW w:w="3744" w:type="dxa"/>
            <w:shd w:val="clear" w:color="auto" w:fill="1F4E79"/>
          </w:tcPr>
          <w:p w14:paraId="0179EA6A" w14:textId="77777777" w:rsidR="00E9749C" w:rsidRDefault="00000000">
            <w:pPr>
              <w:jc w:val="center"/>
            </w:pPr>
            <w:r>
              <w:rPr>
                <w:rFonts w:ascii="Calibri" w:hAnsi="Calibri"/>
                <w:b/>
                <w:color w:val="FFFFFF"/>
              </w:rPr>
              <w:t>Value / Proportion</w:t>
            </w:r>
          </w:p>
        </w:tc>
      </w:tr>
      <w:tr w:rsidR="00E9749C" w14:paraId="2D7C27F1" w14:textId="77777777">
        <w:trPr>
          <w:jc w:val="center"/>
        </w:trPr>
        <w:tc>
          <w:tcPr>
            <w:tcW w:w="4608" w:type="dxa"/>
            <w:shd w:val="clear" w:color="auto" w:fill="DEEBF7"/>
          </w:tcPr>
          <w:p w14:paraId="748380D4" w14:textId="77777777" w:rsidR="00E9749C" w:rsidRDefault="00000000">
            <w:r>
              <w:rPr>
                <w:rFonts w:ascii="Calibri" w:hAnsi="Calibri"/>
                <w:b/>
                <w:color w:val="1A1A1A"/>
              </w:rPr>
              <w:t>Gross Transaction Volume (GTV)</w:t>
            </w:r>
          </w:p>
        </w:tc>
        <w:tc>
          <w:tcPr>
            <w:tcW w:w="3744" w:type="dxa"/>
            <w:shd w:val="clear" w:color="auto" w:fill="DEEBF7"/>
          </w:tcPr>
          <w:p w14:paraId="73F2322F" w14:textId="77777777" w:rsidR="00E9749C" w:rsidRDefault="00000000">
            <w:pPr>
              <w:jc w:val="center"/>
            </w:pPr>
            <w:r>
              <w:rPr>
                <w:rFonts w:ascii="Calibri" w:hAnsi="Calibri"/>
                <w:color w:val="333333"/>
              </w:rPr>
              <w:t>₹785.93 L</w:t>
            </w:r>
          </w:p>
        </w:tc>
      </w:tr>
      <w:tr w:rsidR="00E9749C" w14:paraId="23F563CA" w14:textId="77777777">
        <w:trPr>
          <w:jc w:val="center"/>
        </w:trPr>
        <w:tc>
          <w:tcPr>
            <w:tcW w:w="4608" w:type="dxa"/>
          </w:tcPr>
          <w:p w14:paraId="0F150D90" w14:textId="77777777" w:rsidR="00E9749C" w:rsidRDefault="00000000">
            <w:r>
              <w:rPr>
                <w:rFonts w:ascii="Calibri" w:hAnsi="Calibri"/>
                <w:b/>
                <w:color w:val="1A1A1A"/>
              </w:rPr>
              <w:t>Cancelled Order Value</w:t>
            </w:r>
          </w:p>
        </w:tc>
        <w:tc>
          <w:tcPr>
            <w:tcW w:w="3744" w:type="dxa"/>
          </w:tcPr>
          <w:p w14:paraId="35B60BF4" w14:textId="77777777" w:rsidR="00E9749C" w:rsidRDefault="00000000">
            <w:pPr>
              <w:jc w:val="center"/>
            </w:pPr>
            <w:r>
              <w:rPr>
                <w:rFonts w:ascii="Calibri" w:hAnsi="Calibri"/>
                <w:color w:val="333333"/>
              </w:rPr>
              <w:t>₹69.19 L (14.2% of GTV)</w:t>
            </w:r>
          </w:p>
        </w:tc>
      </w:tr>
      <w:tr w:rsidR="00E9749C" w14:paraId="7E199397" w14:textId="77777777">
        <w:trPr>
          <w:jc w:val="center"/>
        </w:trPr>
        <w:tc>
          <w:tcPr>
            <w:tcW w:w="4608" w:type="dxa"/>
            <w:shd w:val="clear" w:color="auto" w:fill="DEEBF7"/>
          </w:tcPr>
          <w:p w14:paraId="1801EF30" w14:textId="77777777" w:rsidR="00E9749C" w:rsidRDefault="00000000">
            <w:r>
              <w:rPr>
                <w:rFonts w:ascii="Calibri" w:hAnsi="Calibri"/>
                <w:b/>
                <w:color w:val="1A1A1A"/>
              </w:rPr>
              <w:t>Net Fulfilled Revenue</w:t>
            </w:r>
          </w:p>
        </w:tc>
        <w:tc>
          <w:tcPr>
            <w:tcW w:w="3744" w:type="dxa"/>
            <w:shd w:val="clear" w:color="auto" w:fill="DEEBF7"/>
          </w:tcPr>
          <w:p w14:paraId="1D41BDC3" w14:textId="77777777" w:rsidR="00E9749C" w:rsidRDefault="00000000">
            <w:pPr>
              <w:jc w:val="center"/>
            </w:pPr>
            <w:r>
              <w:rPr>
                <w:rFonts w:ascii="Calibri" w:hAnsi="Calibri"/>
                <w:color w:val="333333"/>
              </w:rPr>
              <w:t>₹716.73 L</w:t>
            </w:r>
          </w:p>
        </w:tc>
      </w:tr>
      <w:tr w:rsidR="00E9749C" w14:paraId="5B3F1963" w14:textId="77777777">
        <w:trPr>
          <w:jc w:val="center"/>
        </w:trPr>
        <w:tc>
          <w:tcPr>
            <w:tcW w:w="4608" w:type="dxa"/>
          </w:tcPr>
          <w:p w14:paraId="363FF913" w14:textId="77777777" w:rsidR="00E9749C" w:rsidRDefault="00000000">
            <w:r>
              <w:rPr>
                <w:rFonts w:ascii="Calibri" w:hAnsi="Calibri"/>
                <w:b/>
                <w:color w:val="1A1A1A"/>
              </w:rPr>
              <w:t>Fulfilled Unique Orders</w:t>
            </w:r>
          </w:p>
        </w:tc>
        <w:tc>
          <w:tcPr>
            <w:tcW w:w="3744" w:type="dxa"/>
          </w:tcPr>
          <w:p w14:paraId="4F431310" w14:textId="77777777" w:rsidR="00E9749C" w:rsidRDefault="00000000">
            <w:pPr>
              <w:jc w:val="center"/>
            </w:pPr>
            <w:r>
              <w:rPr>
                <w:rFonts w:ascii="Calibri" w:hAnsi="Calibri"/>
                <w:color w:val="333333"/>
              </w:rPr>
              <w:t>1,03,193</w:t>
            </w:r>
          </w:p>
        </w:tc>
      </w:tr>
      <w:tr w:rsidR="00E9749C" w14:paraId="5C7D00F9" w14:textId="77777777">
        <w:trPr>
          <w:jc w:val="center"/>
        </w:trPr>
        <w:tc>
          <w:tcPr>
            <w:tcW w:w="4608" w:type="dxa"/>
            <w:shd w:val="clear" w:color="auto" w:fill="DEEBF7"/>
          </w:tcPr>
          <w:p w14:paraId="1EBDDD3C" w14:textId="77777777" w:rsidR="00E9749C" w:rsidRDefault="00000000">
            <w:r>
              <w:rPr>
                <w:rFonts w:ascii="Calibri" w:hAnsi="Calibri"/>
                <w:b/>
                <w:color w:val="1A1A1A"/>
              </w:rPr>
              <w:t>Total Units Sold</w:t>
            </w:r>
          </w:p>
        </w:tc>
        <w:tc>
          <w:tcPr>
            <w:tcW w:w="3744" w:type="dxa"/>
            <w:shd w:val="clear" w:color="auto" w:fill="DEEBF7"/>
          </w:tcPr>
          <w:p w14:paraId="74DCFA58" w14:textId="77777777" w:rsidR="00E9749C" w:rsidRDefault="00000000">
            <w:pPr>
              <w:jc w:val="center"/>
            </w:pPr>
            <w:r>
              <w:rPr>
                <w:rFonts w:ascii="Calibri" w:hAnsi="Calibri"/>
                <w:color w:val="333333"/>
              </w:rPr>
              <w:t>1,10,992</w:t>
            </w:r>
          </w:p>
        </w:tc>
      </w:tr>
      <w:tr w:rsidR="00E9749C" w14:paraId="62160D1B" w14:textId="77777777">
        <w:trPr>
          <w:jc w:val="center"/>
        </w:trPr>
        <w:tc>
          <w:tcPr>
            <w:tcW w:w="4608" w:type="dxa"/>
          </w:tcPr>
          <w:p w14:paraId="429B25CD" w14:textId="77777777" w:rsidR="00E9749C" w:rsidRDefault="00000000">
            <w:r>
              <w:rPr>
                <w:rFonts w:ascii="Calibri" w:hAnsi="Calibri"/>
                <w:b/>
                <w:color w:val="1A1A1A"/>
              </w:rPr>
              <w:t>Average Order Value (AOV)</w:t>
            </w:r>
          </w:p>
        </w:tc>
        <w:tc>
          <w:tcPr>
            <w:tcW w:w="3744" w:type="dxa"/>
          </w:tcPr>
          <w:p w14:paraId="5505FF0A" w14:textId="77777777" w:rsidR="00E9749C" w:rsidRDefault="00000000">
            <w:pPr>
              <w:jc w:val="center"/>
            </w:pPr>
            <w:r>
              <w:rPr>
                <w:rFonts w:ascii="Calibri" w:hAnsi="Calibri"/>
                <w:color w:val="333333"/>
              </w:rPr>
              <w:t>₹694.56</w:t>
            </w:r>
          </w:p>
        </w:tc>
      </w:tr>
    </w:tbl>
    <w:p w14:paraId="0301A2EC" w14:textId="77777777" w:rsidR="00E9749C" w:rsidRDefault="00E9749C">
      <w:pPr>
        <w:spacing w:after="80" w:line="253" w:lineRule="exact"/>
      </w:pPr>
    </w:p>
    <w:p w14:paraId="70D3F09A" w14:textId="77777777" w:rsidR="00E9749C" w:rsidRDefault="00000000">
      <w:r>
        <w:br w:type="page"/>
      </w:r>
    </w:p>
    <w:p w14:paraId="72FA1AD1" w14:textId="77777777" w:rsidR="00C22A45" w:rsidRDefault="00C22A45">
      <w:pPr>
        <w:spacing w:before="320" w:after="120" w:line="253" w:lineRule="exact"/>
        <w:rPr>
          <w:rFonts w:ascii="Calibri" w:hAnsi="Calibri"/>
          <w:b/>
          <w:color w:val="1F4E79"/>
          <w:sz w:val="36"/>
        </w:rPr>
      </w:pPr>
    </w:p>
    <w:p w14:paraId="0DC23EFC" w14:textId="203D83E8" w:rsidR="00E9749C" w:rsidRDefault="00000000">
      <w:pPr>
        <w:spacing w:before="320" w:after="120" w:line="253" w:lineRule="exact"/>
      </w:pPr>
      <w:r>
        <w:rPr>
          <w:rFonts w:ascii="Calibri" w:hAnsi="Calibri"/>
          <w:b/>
          <w:color w:val="1F4E79"/>
          <w:sz w:val="36"/>
        </w:rPr>
        <w:t>Section 2: End-to-End Data Engineering &amp; Hygiene Methodology</w:t>
      </w:r>
    </w:p>
    <w:p w14:paraId="6FF6F753" w14:textId="77777777" w:rsidR="00E9749C" w:rsidRDefault="00000000">
      <w:pPr>
        <w:spacing w:after="120" w:line="253" w:lineRule="exact"/>
      </w:pPr>
      <w:r>
        <w:rPr>
          <w:rFonts w:ascii="Calibri" w:hAnsi="Calibri"/>
          <w:color w:val="333333"/>
        </w:rPr>
        <w:t>To establish absolute analytical integrity, the raw dataset underwent an extensive five-stage cleaning and normalization pipeline prior to analytical modeling and dashboard ingestion.</w:t>
      </w:r>
    </w:p>
    <w:p w14:paraId="707B2AAD" w14:textId="77777777" w:rsidR="00E9749C" w:rsidRDefault="00000000">
      <w:pPr>
        <w:spacing w:before="240" w:after="80" w:line="253" w:lineRule="exact"/>
      </w:pPr>
      <w:r>
        <w:rPr>
          <w:rFonts w:ascii="Calibri" w:hAnsi="Calibri"/>
          <w:b/>
          <w:color w:val="2F5597"/>
          <w:sz w:val="28"/>
        </w:rPr>
        <w:t>Step 1 — Ingestion &amp; Schema Evaluation</w:t>
      </w:r>
    </w:p>
    <w:p w14:paraId="402134E5" w14:textId="77777777" w:rsidR="00E9749C" w:rsidRDefault="00000000">
      <w:pPr>
        <w:spacing w:after="120" w:line="253" w:lineRule="exact"/>
      </w:pPr>
      <w:r>
        <w:rPr>
          <w:rFonts w:ascii="Calibri" w:hAnsi="Calibri"/>
          <w:color w:val="333333"/>
        </w:rPr>
        <w:t>The source dataset 'Amazon Sale Report.csv' containing 128,975 transactions and 24 raw columns was ingested using pandas with low_memory=False to eliminate mixed-type inference warnings. Initial data profiling identified three core hygiene challenges: structural metadata redundancy, missing monetary values, and regional encoding variance.</w:t>
      </w:r>
    </w:p>
    <w:p w14:paraId="54F70D62" w14:textId="77777777" w:rsidR="00E9749C" w:rsidRDefault="00000000">
      <w:pPr>
        <w:spacing w:before="240" w:after="80" w:line="253" w:lineRule="exact"/>
      </w:pPr>
      <w:r>
        <w:rPr>
          <w:rFonts w:ascii="Calibri" w:hAnsi="Calibri"/>
          <w:b/>
          <w:color w:val="2F5597"/>
          <w:sz w:val="28"/>
        </w:rPr>
        <w:t>Step 2 — Technical Metadata Pruning</w:t>
      </w:r>
    </w:p>
    <w:p w14:paraId="24C93A6D" w14:textId="77777777" w:rsidR="00E9749C" w:rsidRDefault="00000000">
      <w:pPr>
        <w:spacing w:after="120" w:line="253" w:lineRule="exact"/>
      </w:pPr>
      <w:r>
        <w:rPr>
          <w:rFonts w:ascii="Calibri" w:hAnsi="Calibri"/>
          <w:color w:val="333333"/>
        </w:rPr>
        <w:t>Three technical artefact columns were dropped from the active DataFrame: 'index' (redundant sequential counter), 'Unnamed: 22' (empty export artefact column), and 'fulfilled-by' (duplicate logistics attribute). The dataset was streamlined to 21 relevant analytical dimensions.</w:t>
      </w:r>
    </w:p>
    <w:p w14:paraId="56D3288F" w14:textId="77777777" w:rsidR="00E9749C" w:rsidRDefault="00000000">
      <w:pPr>
        <w:spacing w:before="240" w:after="80" w:line="253" w:lineRule="exact"/>
      </w:pPr>
      <w:r>
        <w:rPr>
          <w:rFonts w:ascii="Calibri" w:hAnsi="Calibri"/>
          <w:b/>
          <w:color w:val="2F5597"/>
          <w:sz w:val="28"/>
        </w:rPr>
        <w:t>Step 3 — Statistical Imputation Strategy</w:t>
      </w:r>
    </w:p>
    <w:p w14:paraId="7DC7E24B" w14:textId="77777777" w:rsidR="00E9749C" w:rsidRDefault="00000000">
      <w:pPr>
        <w:spacing w:after="120" w:line="253" w:lineRule="exact"/>
      </w:pPr>
      <w:r>
        <w:rPr>
          <w:rFonts w:ascii="Calibri" w:hAnsi="Calibri"/>
          <w:color w:val="333333"/>
        </w:rPr>
        <w:t>Missing financial transaction amounts were imputed with 0.0 INR to retain transaction history without artificially inflating fulfilled revenue. Null quantities were set to integer 0. Categorical text fields ('ship-city', 'ship-state', 'Category') with null entries were assigned 'Unknown' to guarantee deterministic grouping across all downstream queries.</w:t>
      </w:r>
    </w:p>
    <w:p w14:paraId="78414A1C" w14:textId="77777777" w:rsidR="00E9749C" w:rsidRDefault="00000000">
      <w:pPr>
        <w:spacing w:before="240" w:after="80" w:line="253" w:lineRule="exact"/>
      </w:pPr>
      <w:r>
        <w:rPr>
          <w:rFonts w:ascii="Calibri" w:hAnsi="Calibri"/>
          <w:b/>
          <w:color w:val="2F5597"/>
          <w:sz w:val="28"/>
        </w:rPr>
        <w:t>Step 4 — Geographic Normalization across 39 States &amp; UTs</w:t>
      </w:r>
    </w:p>
    <w:p w14:paraId="7BC4FF8A" w14:textId="77777777" w:rsidR="00E9749C" w:rsidRDefault="00000000">
      <w:pPr>
        <w:spacing w:after="120" w:line="253" w:lineRule="exact"/>
      </w:pPr>
      <w:r>
        <w:rPr>
          <w:rFonts w:ascii="Calibri" w:hAnsi="Calibri"/>
          <w:color w:val="333333"/>
        </w:rPr>
        <w:t>A standardized mapping dictionary was executed across shipping records to resolve 11 documented regional abbreviations, misspellings, and administrative updates:</w:t>
      </w:r>
    </w:p>
    <w:p w14:paraId="4F8C5C93" w14:textId="77777777" w:rsidR="00E9749C" w:rsidRDefault="00000000">
      <w:pPr>
        <w:pStyle w:val="ListBullet"/>
        <w:spacing w:after="60" w:line="253" w:lineRule="exact"/>
      </w:pPr>
      <w:r>
        <w:rPr>
          <w:rFonts w:ascii="Calibri" w:hAnsi="Calibri"/>
          <w:color w:val="333333"/>
        </w:rPr>
        <w:t>'Apo'  →  'Military Post (APO)'  (Standardized Armed Forces postal locations)</w:t>
      </w:r>
    </w:p>
    <w:p w14:paraId="56C84E97" w14:textId="77777777" w:rsidR="00E9749C" w:rsidRDefault="00000000">
      <w:pPr>
        <w:pStyle w:val="ListBullet"/>
        <w:spacing w:after="60" w:line="253" w:lineRule="exact"/>
      </w:pPr>
      <w:r>
        <w:rPr>
          <w:rFonts w:ascii="Calibri" w:hAnsi="Calibri"/>
          <w:color w:val="333333"/>
        </w:rPr>
        <w:t>'Rajsthan', 'Rj'  →  'Rajasthan'</w:t>
      </w:r>
    </w:p>
    <w:p w14:paraId="5D7BD2DE" w14:textId="77777777" w:rsidR="00E9749C" w:rsidRDefault="00000000">
      <w:pPr>
        <w:pStyle w:val="ListBullet"/>
        <w:spacing w:after="60" w:line="253" w:lineRule="exact"/>
      </w:pPr>
      <w:r>
        <w:rPr>
          <w:rFonts w:ascii="Calibri" w:hAnsi="Calibri"/>
          <w:color w:val="333333"/>
        </w:rPr>
        <w:t>'Punjab/Mohali/Zirakpur', 'Pb'  →  'Punjab'</w:t>
      </w:r>
    </w:p>
    <w:p w14:paraId="72556A95" w14:textId="77777777" w:rsidR="00E9749C" w:rsidRDefault="00000000">
      <w:pPr>
        <w:pStyle w:val="ListBullet"/>
        <w:spacing w:after="60" w:line="253" w:lineRule="exact"/>
      </w:pPr>
      <w:r>
        <w:rPr>
          <w:rFonts w:ascii="Calibri" w:hAnsi="Calibri"/>
          <w:color w:val="333333"/>
        </w:rPr>
        <w:t>'Orissa'  →  'Odisha'  (Official post-2011 constitutional name)</w:t>
      </w:r>
    </w:p>
    <w:p w14:paraId="51E6D176" w14:textId="77777777" w:rsidR="00E9749C" w:rsidRDefault="00000000">
      <w:pPr>
        <w:pStyle w:val="ListBullet"/>
        <w:spacing w:after="60" w:line="253" w:lineRule="exact"/>
      </w:pPr>
      <w:r>
        <w:rPr>
          <w:rFonts w:ascii="Calibri" w:hAnsi="Calibri"/>
          <w:color w:val="333333"/>
        </w:rPr>
        <w:t>'Pondicherry'  →  'Puducherry'  (Official post-2006 renaming)</w:t>
      </w:r>
    </w:p>
    <w:p w14:paraId="1EFE74F6" w14:textId="77777777" w:rsidR="00E9749C" w:rsidRDefault="00000000">
      <w:pPr>
        <w:pStyle w:val="ListBullet"/>
        <w:spacing w:after="60" w:line="253" w:lineRule="exact"/>
      </w:pPr>
      <w:r>
        <w:rPr>
          <w:rFonts w:ascii="Calibri" w:hAnsi="Calibri"/>
          <w:color w:val="333333"/>
        </w:rPr>
        <w:t>'Nl'  →  'Nagaland'</w:t>
      </w:r>
    </w:p>
    <w:p w14:paraId="22D9B3B9" w14:textId="77777777" w:rsidR="00E9749C" w:rsidRDefault="00000000">
      <w:pPr>
        <w:pStyle w:val="ListBullet"/>
        <w:spacing w:after="60" w:line="253" w:lineRule="exact"/>
      </w:pPr>
      <w:r>
        <w:rPr>
          <w:rFonts w:ascii="Calibri" w:hAnsi="Calibri"/>
          <w:color w:val="333333"/>
        </w:rPr>
        <w:t>'Ar'  →  'Arunachal Pradesh'</w:t>
      </w:r>
    </w:p>
    <w:p w14:paraId="14D07615" w14:textId="77777777" w:rsidR="00E9749C" w:rsidRDefault="00000000">
      <w:pPr>
        <w:pStyle w:val="ListBullet"/>
        <w:spacing w:after="60" w:line="253" w:lineRule="exact"/>
      </w:pPr>
      <w:r>
        <w:rPr>
          <w:rFonts w:ascii="Calibri" w:hAnsi="Calibri"/>
          <w:color w:val="333333"/>
        </w:rPr>
        <w:t>'A P', 'Ap'  →  'Andhra Pradesh'</w:t>
      </w:r>
    </w:p>
    <w:p w14:paraId="1C4ECE1C" w14:textId="77777777" w:rsidR="00E9749C" w:rsidRDefault="00000000">
      <w:pPr>
        <w:pStyle w:val="ListBullet"/>
        <w:spacing w:after="60" w:line="253" w:lineRule="exact"/>
      </w:pPr>
      <w:r>
        <w:rPr>
          <w:rFonts w:ascii="Calibri" w:hAnsi="Calibri"/>
          <w:color w:val="333333"/>
        </w:rPr>
        <w:t>'New Delhi'  →  'Delhi'</w:t>
      </w:r>
    </w:p>
    <w:p w14:paraId="1645D0C8" w14:textId="77777777" w:rsidR="00E9749C" w:rsidRDefault="00000000">
      <w:pPr>
        <w:spacing w:before="240" w:after="80" w:line="253" w:lineRule="exact"/>
      </w:pPr>
      <w:r>
        <w:rPr>
          <w:rFonts w:ascii="Calibri" w:hAnsi="Calibri"/>
          <w:b/>
          <w:color w:val="2F5597"/>
          <w:sz w:val="28"/>
        </w:rPr>
        <w:t>Step 5 — Temporal Normalization</w:t>
      </w:r>
    </w:p>
    <w:p w14:paraId="0F673C83" w14:textId="77777777" w:rsidR="00E9749C" w:rsidRDefault="00000000">
      <w:pPr>
        <w:spacing w:after="120" w:line="253" w:lineRule="exact"/>
      </w:pPr>
      <w:r>
        <w:rPr>
          <w:rFonts w:ascii="Calibri" w:hAnsi="Calibri"/>
          <w:color w:val="333333"/>
        </w:rPr>
        <w:t>Order placement dates formatted as MM-DD-YY strings were converted into ISO 8601 datetime objects using explicit datetime formatting. Unparseable entries were safely coerced to NaT to preserve downstream temporal timeline rendering.</w:t>
      </w:r>
    </w:p>
    <w:p w14:paraId="06891561" w14:textId="77777777" w:rsidR="00E9749C" w:rsidRDefault="00000000">
      <w:r>
        <w:br w:type="page"/>
      </w:r>
    </w:p>
    <w:p w14:paraId="38AEAD5C" w14:textId="77777777" w:rsidR="00C22A45" w:rsidRDefault="00C22A45">
      <w:pPr>
        <w:spacing w:before="320" w:after="120" w:line="253" w:lineRule="exact"/>
        <w:rPr>
          <w:rFonts w:ascii="Calibri" w:hAnsi="Calibri"/>
          <w:b/>
          <w:color w:val="1F4E79"/>
          <w:sz w:val="36"/>
        </w:rPr>
      </w:pPr>
    </w:p>
    <w:p w14:paraId="5405EF06" w14:textId="6EC5E352" w:rsidR="00E9749C" w:rsidRDefault="00000000">
      <w:pPr>
        <w:spacing w:before="320" w:after="120" w:line="253" w:lineRule="exact"/>
      </w:pPr>
      <w:r>
        <w:rPr>
          <w:rFonts w:ascii="Calibri" w:hAnsi="Calibri"/>
          <w:b/>
          <w:color w:val="1F4E79"/>
          <w:sz w:val="36"/>
        </w:rPr>
        <w:t>Section 3: Empirical Business Insights &amp; Visual Analytics</w:t>
      </w:r>
    </w:p>
    <w:p w14:paraId="02AF8948" w14:textId="77777777" w:rsidR="00E9749C" w:rsidRDefault="00000000">
      <w:pPr>
        <w:spacing w:after="120" w:line="253" w:lineRule="exact"/>
      </w:pPr>
      <w:r>
        <w:rPr>
          <w:rFonts w:ascii="Calibri" w:hAnsi="Calibri"/>
          <w:color w:val="333333"/>
        </w:rPr>
        <w:t>The analytical findings derived from the cleaned 128,975 transaction records are detailed below. Each dimension is supported by descriptive theory, an exact metric table, and its corresponding visual figure.</w:t>
      </w:r>
    </w:p>
    <w:p w14:paraId="2332494D" w14:textId="77777777" w:rsidR="00E9749C" w:rsidRDefault="00000000">
      <w:pPr>
        <w:spacing w:before="240" w:after="80" w:line="253" w:lineRule="exact"/>
      </w:pPr>
      <w:r>
        <w:rPr>
          <w:rFonts w:ascii="Calibri" w:hAnsi="Calibri"/>
          <w:b/>
          <w:color w:val="2F5597"/>
          <w:sz w:val="28"/>
        </w:rPr>
        <w:t>3.1  Product Category Dominance &amp; Concentration Risk</w:t>
      </w:r>
    </w:p>
    <w:p w14:paraId="5B32E704" w14:textId="77777777" w:rsidR="00E9749C" w:rsidRDefault="00000000">
      <w:pPr>
        <w:spacing w:after="120" w:line="253" w:lineRule="exact"/>
      </w:pPr>
      <w:r>
        <w:rPr>
          <w:rFonts w:ascii="Calibri" w:hAnsi="Calibri"/>
          <w:color w:val="333333"/>
        </w:rPr>
        <w:t>Revenue analysis across apparel categories reveals a heavily concentrated product mix. The 'Set' category dominates overall revenue performance, generating ₹357.32 Lakhs (49.9% share), followed by 'Kurta' with ₹194.26 Lakhs (27.1% share). Together, these two categories drive approximately 77% of all net fulfilled revenue on the platform. Western Dress represents the third most significant category at ₹102.10 Lakhs (14.2% share), while Top (₹49.04 Lakhs, 6.8%) and Ethnic Dress (₹7.33 Lakhs, 1.0%) represent the remainder. This revenue distribution confirms a severe concentration vulnerability: any supplier disruption or seasonal slump in the ethnic set segment directly threatens business continuity.</w:t>
      </w:r>
    </w:p>
    <w:tbl>
      <w:tblPr>
        <w:tblStyle w:val="TableGrid"/>
        <w:tblW w:w="0" w:type="auto"/>
        <w:jc w:val="center"/>
        <w:tblLook w:val="04A0" w:firstRow="1" w:lastRow="0" w:firstColumn="1" w:lastColumn="0" w:noHBand="0" w:noVBand="1"/>
      </w:tblPr>
      <w:tblGrid>
        <w:gridCol w:w="4608"/>
        <w:gridCol w:w="3744"/>
      </w:tblGrid>
      <w:tr w:rsidR="00E9749C" w14:paraId="76C7BF3A" w14:textId="77777777">
        <w:trPr>
          <w:jc w:val="center"/>
        </w:trPr>
        <w:tc>
          <w:tcPr>
            <w:tcW w:w="4608" w:type="dxa"/>
            <w:shd w:val="clear" w:color="auto" w:fill="1F4E79"/>
          </w:tcPr>
          <w:p w14:paraId="4AD55F57" w14:textId="77777777" w:rsidR="00E9749C" w:rsidRDefault="00000000">
            <w:pPr>
              <w:jc w:val="center"/>
            </w:pPr>
            <w:r>
              <w:rPr>
                <w:rFonts w:ascii="Calibri" w:hAnsi="Calibri"/>
                <w:b/>
                <w:color w:val="FFFFFF"/>
              </w:rPr>
              <w:t>Apparel Category</w:t>
            </w:r>
          </w:p>
        </w:tc>
        <w:tc>
          <w:tcPr>
            <w:tcW w:w="3744" w:type="dxa"/>
            <w:shd w:val="clear" w:color="auto" w:fill="1F4E79"/>
          </w:tcPr>
          <w:p w14:paraId="76B7731B" w14:textId="77777777" w:rsidR="00E9749C" w:rsidRDefault="00000000">
            <w:pPr>
              <w:jc w:val="center"/>
            </w:pPr>
            <w:r>
              <w:rPr>
                <w:rFonts w:ascii="Calibri" w:hAnsi="Calibri"/>
                <w:b/>
                <w:color w:val="FFFFFF"/>
              </w:rPr>
              <w:t>Net Fulfilled Revenue &amp; Share</w:t>
            </w:r>
          </w:p>
        </w:tc>
      </w:tr>
      <w:tr w:rsidR="00E9749C" w14:paraId="5BFE46E3" w14:textId="77777777">
        <w:trPr>
          <w:jc w:val="center"/>
        </w:trPr>
        <w:tc>
          <w:tcPr>
            <w:tcW w:w="4608" w:type="dxa"/>
            <w:shd w:val="clear" w:color="auto" w:fill="DEEBF7"/>
          </w:tcPr>
          <w:p w14:paraId="68000DFA" w14:textId="77777777" w:rsidR="00E9749C" w:rsidRDefault="00000000">
            <w:r>
              <w:rPr>
                <w:rFonts w:ascii="Calibri" w:hAnsi="Calibri"/>
                <w:b/>
                <w:color w:val="1A1A1A"/>
              </w:rPr>
              <w:t>Set</w:t>
            </w:r>
          </w:p>
        </w:tc>
        <w:tc>
          <w:tcPr>
            <w:tcW w:w="3744" w:type="dxa"/>
            <w:shd w:val="clear" w:color="auto" w:fill="DEEBF7"/>
          </w:tcPr>
          <w:p w14:paraId="65251E0A" w14:textId="77777777" w:rsidR="00E9749C" w:rsidRDefault="00000000">
            <w:pPr>
              <w:jc w:val="center"/>
            </w:pPr>
            <w:r>
              <w:rPr>
                <w:rFonts w:ascii="Calibri" w:hAnsi="Calibri"/>
                <w:color w:val="333333"/>
              </w:rPr>
              <w:t>₹357.32 L  —  49.9% share</w:t>
            </w:r>
          </w:p>
        </w:tc>
      </w:tr>
      <w:tr w:rsidR="00E9749C" w14:paraId="06F9050B" w14:textId="77777777">
        <w:trPr>
          <w:jc w:val="center"/>
        </w:trPr>
        <w:tc>
          <w:tcPr>
            <w:tcW w:w="4608" w:type="dxa"/>
          </w:tcPr>
          <w:p w14:paraId="44F269D3" w14:textId="77777777" w:rsidR="00E9749C" w:rsidRDefault="00000000">
            <w:r>
              <w:rPr>
                <w:rFonts w:ascii="Calibri" w:hAnsi="Calibri"/>
                <w:b/>
                <w:color w:val="1A1A1A"/>
              </w:rPr>
              <w:t>Kurta</w:t>
            </w:r>
          </w:p>
        </w:tc>
        <w:tc>
          <w:tcPr>
            <w:tcW w:w="3744" w:type="dxa"/>
          </w:tcPr>
          <w:p w14:paraId="22D2AB0E" w14:textId="77777777" w:rsidR="00E9749C" w:rsidRDefault="00000000">
            <w:pPr>
              <w:jc w:val="center"/>
            </w:pPr>
            <w:r>
              <w:rPr>
                <w:rFonts w:ascii="Calibri" w:hAnsi="Calibri"/>
                <w:color w:val="333333"/>
              </w:rPr>
              <w:t>₹194.26 L  —  27.1% share</w:t>
            </w:r>
          </w:p>
        </w:tc>
      </w:tr>
      <w:tr w:rsidR="00E9749C" w14:paraId="3A1CDA5B" w14:textId="77777777">
        <w:trPr>
          <w:jc w:val="center"/>
        </w:trPr>
        <w:tc>
          <w:tcPr>
            <w:tcW w:w="4608" w:type="dxa"/>
            <w:shd w:val="clear" w:color="auto" w:fill="DEEBF7"/>
          </w:tcPr>
          <w:p w14:paraId="1A431904" w14:textId="77777777" w:rsidR="00E9749C" w:rsidRDefault="00000000">
            <w:r>
              <w:rPr>
                <w:rFonts w:ascii="Calibri" w:hAnsi="Calibri"/>
                <w:b/>
                <w:color w:val="1A1A1A"/>
              </w:rPr>
              <w:t>Western Dress</w:t>
            </w:r>
          </w:p>
        </w:tc>
        <w:tc>
          <w:tcPr>
            <w:tcW w:w="3744" w:type="dxa"/>
            <w:shd w:val="clear" w:color="auto" w:fill="DEEBF7"/>
          </w:tcPr>
          <w:p w14:paraId="1B2373C4" w14:textId="77777777" w:rsidR="00E9749C" w:rsidRDefault="00000000">
            <w:pPr>
              <w:jc w:val="center"/>
            </w:pPr>
            <w:r>
              <w:rPr>
                <w:rFonts w:ascii="Calibri" w:hAnsi="Calibri"/>
                <w:color w:val="333333"/>
              </w:rPr>
              <w:t>₹102.10 L  —  14.2% share</w:t>
            </w:r>
          </w:p>
        </w:tc>
      </w:tr>
      <w:tr w:rsidR="00E9749C" w14:paraId="32E63DD3" w14:textId="77777777">
        <w:trPr>
          <w:jc w:val="center"/>
        </w:trPr>
        <w:tc>
          <w:tcPr>
            <w:tcW w:w="4608" w:type="dxa"/>
          </w:tcPr>
          <w:p w14:paraId="7FF198B7" w14:textId="77777777" w:rsidR="00E9749C" w:rsidRDefault="00000000">
            <w:r>
              <w:rPr>
                <w:rFonts w:ascii="Calibri" w:hAnsi="Calibri"/>
                <w:b/>
                <w:color w:val="1A1A1A"/>
              </w:rPr>
              <w:t>Top</w:t>
            </w:r>
          </w:p>
        </w:tc>
        <w:tc>
          <w:tcPr>
            <w:tcW w:w="3744" w:type="dxa"/>
          </w:tcPr>
          <w:p w14:paraId="727CA581" w14:textId="77777777" w:rsidR="00E9749C" w:rsidRDefault="00000000">
            <w:pPr>
              <w:jc w:val="center"/>
            </w:pPr>
            <w:r>
              <w:rPr>
                <w:rFonts w:ascii="Calibri" w:hAnsi="Calibri"/>
                <w:color w:val="333333"/>
              </w:rPr>
              <w:t>₹49.04 L   —   6.8% share</w:t>
            </w:r>
          </w:p>
        </w:tc>
      </w:tr>
      <w:tr w:rsidR="00E9749C" w14:paraId="4AE8D585" w14:textId="77777777">
        <w:trPr>
          <w:jc w:val="center"/>
        </w:trPr>
        <w:tc>
          <w:tcPr>
            <w:tcW w:w="4608" w:type="dxa"/>
            <w:shd w:val="clear" w:color="auto" w:fill="DEEBF7"/>
          </w:tcPr>
          <w:p w14:paraId="45DE9A26" w14:textId="77777777" w:rsidR="00E9749C" w:rsidRDefault="00000000">
            <w:r>
              <w:rPr>
                <w:rFonts w:ascii="Calibri" w:hAnsi="Calibri"/>
                <w:b/>
                <w:color w:val="1A1A1A"/>
              </w:rPr>
              <w:t>Ethnic Dress</w:t>
            </w:r>
          </w:p>
        </w:tc>
        <w:tc>
          <w:tcPr>
            <w:tcW w:w="3744" w:type="dxa"/>
            <w:shd w:val="clear" w:color="auto" w:fill="DEEBF7"/>
          </w:tcPr>
          <w:p w14:paraId="07CC7D1F" w14:textId="77777777" w:rsidR="00E9749C" w:rsidRDefault="00000000">
            <w:pPr>
              <w:jc w:val="center"/>
            </w:pPr>
            <w:r>
              <w:rPr>
                <w:rFonts w:ascii="Calibri" w:hAnsi="Calibri"/>
                <w:color w:val="333333"/>
              </w:rPr>
              <w:t>₹7.33 L    —   1.0% share</w:t>
            </w:r>
          </w:p>
        </w:tc>
      </w:tr>
    </w:tbl>
    <w:p w14:paraId="61541F30" w14:textId="77777777" w:rsidR="00E9749C" w:rsidRDefault="00E9749C">
      <w:pPr>
        <w:spacing w:after="80" w:line="253" w:lineRule="exact"/>
      </w:pPr>
    </w:p>
    <w:p w14:paraId="733D6667" w14:textId="77777777" w:rsidR="00E9749C" w:rsidRDefault="00000000">
      <w:pPr>
        <w:spacing w:before="200" w:after="80"/>
        <w:jc w:val="center"/>
      </w:pPr>
      <w:r>
        <w:rPr>
          <w:noProof/>
        </w:rPr>
        <w:drawing>
          <wp:inline distT="0" distB="0" distL="0" distR="0" wp14:anchorId="00608AB6" wp14:editId="12B62975">
            <wp:extent cx="5486400" cy="32642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categories.png"/>
                    <pic:cNvPicPr/>
                  </pic:nvPicPr>
                  <pic:blipFill>
                    <a:blip r:embed="rId6"/>
                    <a:stretch>
                      <a:fillRect/>
                    </a:stretch>
                  </pic:blipFill>
                  <pic:spPr>
                    <a:xfrm>
                      <a:off x="0" y="0"/>
                      <a:ext cx="5486400" cy="3264203"/>
                    </a:xfrm>
                    <a:prstGeom prst="rect">
                      <a:avLst/>
                    </a:prstGeom>
                  </pic:spPr>
                </pic:pic>
              </a:graphicData>
            </a:graphic>
          </wp:inline>
        </w:drawing>
      </w:r>
    </w:p>
    <w:p w14:paraId="158E61D3" w14:textId="77777777" w:rsidR="00E9749C" w:rsidRDefault="00000000">
      <w:pPr>
        <w:spacing w:before="40" w:after="280"/>
        <w:jc w:val="center"/>
      </w:pPr>
      <w:r>
        <w:rPr>
          <w:rFonts w:ascii="Calibri" w:hAnsi="Calibri"/>
          <w:i/>
          <w:color w:val="333333"/>
          <w:sz w:val="20"/>
        </w:rPr>
        <w:t>Figure 1: Net Revenue Contribution by Apparel Category</w:t>
      </w:r>
    </w:p>
    <w:p w14:paraId="124B9E6B" w14:textId="77777777" w:rsidR="00E9749C" w:rsidRDefault="00000000">
      <w:pPr>
        <w:spacing w:before="240" w:after="80" w:line="253" w:lineRule="exact"/>
      </w:pPr>
      <w:r>
        <w:rPr>
          <w:rFonts w:ascii="Calibri" w:hAnsi="Calibri"/>
          <w:b/>
          <w:color w:val="2F5597"/>
          <w:sz w:val="28"/>
        </w:rPr>
        <w:t>3.2  Geographic Demand Concentration</w:t>
      </w:r>
    </w:p>
    <w:p w14:paraId="7A091C46" w14:textId="77777777" w:rsidR="00E9749C" w:rsidRDefault="00000000">
      <w:pPr>
        <w:spacing w:after="120" w:line="253" w:lineRule="exact"/>
      </w:pPr>
      <w:r>
        <w:rPr>
          <w:rFonts w:ascii="Calibri" w:hAnsi="Calibri"/>
          <w:color w:val="333333"/>
        </w:rPr>
        <w:t xml:space="preserve">Geographic demand mapping highlights a powerful cluster centered in Western and Southern India. Maharashtra ranks first nationwide with ₹122.25 Lakhs (17.1% revenue share), closely followed by </w:t>
      </w:r>
      <w:r>
        <w:rPr>
          <w:rFonts w:ascii="Calibri" w:hAnsi="Calibri"/>
          <w:color w:val="333333"/>
        </w:rPr>
        <w:lastRenderedPageBreak/>
        <w:t>Karnataka at ₹96.50 Lakhs (13.5% share). Telangana (₹62.90 Lakhs, 8.8%), Uttar Pradesh (₹61.87 Lakhs, 8.6%), and Tamil Nadu (₹59.54 Lakhs, 8.3%) complete the top five states. Collectively, these five states drive over 58% of Amazon India's total apparel revenue. The concentration in Maharashtra and Karnataka reflects substantial metropolitan buying power in the Mumbai-Pune and Bengaluru urban belts, while Uttar Pradesh highlights an expanding Tier-1/Tier-2 growth corridor in North India.</w:t>
      </w:r>
    </w:p>
    <w:tbl>
      <w:tblPr>
        <w:tblStyle w:val="TableGrid"/>
        <w:tblW w:w="0" w:type="auto"/>
        <w:jc w:val="center"/>
        <w:tblLook w:val="04A0" w:firstRow="1" w:lastRow="0" w:firstColumn="1" w:lastColumn="0" w:noHBand="0" w:noVBand="1"/>
      </w:tblPr>
      <w:tblGrid>
        <w:gridCol w:w="4608"/>
        <w:gridCol w:w="3744"/>
      </w:tblGrid>
      <w:tr w:rsidR="00E9749C" w14:paraId="4B68EEC9" w14:textId="77777777">
        <w:trPr>
          <w:jc w:val="center"/>
        </w:trPr>
        <w:tc>
          <w:tcPr>
            <w:tcW w:w="4608" w:type="dxa"/>
            <w:shd w:val="clear" w:color="auto" w:fill="1F4E79"/>
          </w:tcPr>
          <w:p w14:paraId="4A8EAC7B" w14:textId="77777777" w:rsidR="00E9749C" w:rsidRDefault="00000000">
            <w:pPr>
              <w:jc w:val="center"/>
            </w:pPr>
            <w:r>
              <w:rPr>
                <w:rFonts w:ascii="Calibri" w:hAnsi="Calibri"/>
                <w:b/>
                <w:color w:val="FFFFFF"/>
              </w:rPr>
              <w:t>Top 5 Shipping State</w:t>
            </w:r>
          </w:p>
        </w:tc>
        <w:tc>
          <w:tcPr>
            <w:tcW w:w="3744" w:type="dxa"/>
            <w:shd w:val="clear" w:color="auto" w:fill="1F4E79"/>
          </w:tcPr>
          <w:p w14:paraId="5E7BB8AF" w14:textId="77777777" w:rsidR="00E9749C" w:rsidRDefault="00000000">
            <w:pPr>
              <w:jc w:val="center"/>
            </w:pPr>
            <w:r>
              <w:rPr>
                <w:rFonts w:ascii="Calibri" w:hAnsi="Calibri"/>
                <w:b/>
                <w:color w:val="FFFFFF"/>
              </w:rPr>
              <w:t>Gross Sales Contribution &amp; Share</w:t>
            </w:r>
          </w:p>
        </w:tc>
      </w:tr>
      <w:tr w:rsidR="00E9749C" w14:paraId="5BECBDCB" w14:textId="77777777">
        <w:trPr>
          <w:jc w:val="center"/>
        </w:trPr>
        <w:tc>
          <w:tcPr>
            <w:tcW w:w="4608" w:type="dxa"/>
            <w:shd w:val="clear" w:color="auto" w:fill="DEEBF7"/>
          </w:tcPr>
          <w:p w14:paraId="139D6D5D" w14:textId="77777777" w:rsidR="00E9749C" w:rsidRDefault="00000000">
            <w:r>
              <w:rPr>
                <w:rFonts w:ascii="Calibri" w:hAnsi="Calibri"/>
                <w:b/>
                <w:color w:val="1A1A1A"/>
              </w:rPr>
              <w:t>Maharashtra</w:t>
            </w:r>
          </w:p>
        </w:tc>
        <w:tc>
          <w:tcPr>
            <w:tcW w:w="3744" w:type="dxa"/>
            <w:shd w:val="clear" w:color="auto" w:fill="DEEBF7"/>
          </w:tcPr>
          <w:p w14:paraId="1979422F" w14:textId="77777777" w:rsidR="00E9749C" w:rsidRDefault="00000000">
            <w:pPr>
              <w:jc w:val="center"/>
            </w:pPr>
            <w:r>
              <w:rPr>
                <w:rFonts w:ascii="Calibri" w:hAnsi="Calibri"/>
                <w:color w:val="333333"/>
              </w:rPr>
              <w:t>₹122.25 L  —  17.1% share</w:t>
            </w:r>
          </w:p>
        </w:tc>
      </w:tr>
      <w:tr w:rsidR="00E9749C" w14:paraId="310FEC8D" w14:textId="77777777">
        <w:trPr>
          <w:jc w:val="center"/>
        </w:trPr>
        <w:tc>
          <w:tcPr>
            <w:tcW w:w="4608" w:type="dxa"/>
          </w:tcPr>
          <w:p w14:paraId="243A01D8" w14:textId="77777777" w:rsidR="00E9749C" w:rsidRDefault="00000000">
            <w:r>
              <w:rPr>
                <w:rFonts w:ascii="Calibri" w:hAnsi="Calibri"/>
                <w:b/>
                <w:color w:val="1A1A1A"/>
              </w:rPr>
              <w:t>Karnataka</w:t>
            </w:r>
          </w:p>
        </w:tc>
        <w:tc>
          <w:tcPr>
            <w:tcW w:w="3744" w:type="dxa"/>
          </w:tcPr>
          <w:p w14:paraId="606580ED" w14:textId="77777777" w:rsidR="00E9749C" w:rsidRDefault="00000000">
            <w:pPr>
              <w:jc w:val="center"/>
            </w:pPr>
            <w:r>
              <w:rPr>
                <w:rFonts w:ascii="Calibri" w:hAnsi="Calibri"/>
                <w:color w:val="333333"/>
              </w:rPr>
              <w:t>₹96.50 L   —  13.5% share</w:t>
            </w:r>
          </w:p>
        </w:tc>
      </w:tr>
      <w:tr w:rsidR="00E9749C" w14:paraId="60D128D3" w14:textId="77777777">
        <w:trPr>
          <w:jc w:val="center"/>
        </w:trPr>
        <w:tc>
          <w:tcPr>
            <w:tcW w:w="4608" w:type="dxa"/>
            <w:shd w:val="clear" w:color="auto" w:fill="DEEBF7"/>
          </w:tcPr>
          <w:p w14:paraId="4AF298A4" w14:textId="77777777" w:rsidR="00E9749C" w:rsidRDefault="00000000">
            <w:r>
              <w:rPr>
                <w:rFonts w:ascii="Calibri" w:hAnsi="Calibri"/>
                <w:b/>
                <w:color w:val="1A1A1A"/>
              </w:rPr>
              <w:t>Telangana</w:t>
            </w:r>
          </w:p>
        </w:tc>
        <w:tc>
          <w:tcPr>
            <w:tcW w:w="3744" w:type="dxa"/>
            <w:shd w:val="clear" w:color="auto" w:fill="DEEBF7"/>
          </w:tcPr>
          <w:p w14:paraId="57D6A6FD" w14:textId="77777777" w:rsidR="00E9749C" w:rsidRDefault="00000000">
            <w:pPr>
              <w:jc w:val="center"/>
            </w:pPr>
            <w:r>
              <w:rPr>
                <w:rFonts w:ascii="Calibri" w:hAnsi="Calibri"/>
                <w:color w:val="333333"/>
              </w:rPr>
              <w:t>₹62.90 L   —   8.8% share</w:t>
            </w:r>
          </w:p>
        </w:tc>
      </w:tr>
      <w:tr w:rsidR="00E9749C" w14:paraId="293112CE" w14:textId="77777777">
        <w:trPr>
          <w:jc w:val="center"/>
        </w:trPr>
        <w:tc>
          <w:tcPr>
            <w:tcW w:w="4608" w:type="dxa"/>
          </w:tcPr>
          <w:p w14:paraId="53181C97" w14:textId="77777777" w:rsidR="00E9749C" w:rsidRDefault="00000000">
            <w:r>
              <w:rPr>
                <w:rFonts w:ascii="Calibri" w:hAnsi="Calibri"/>
                <w:b/>
                <w:color w:val="1A1A1A"/>
              </w:rPr>
              <w:t>Uttar Pradesh</w:t>
            </w:r>
          </w:p>
        </w:tc>
        <w:tc>
          <w:tcPr>
            <w:tcW w:w="3744" w:type="dxa"/>
          </w:tcPr>
          <w:p w14:paraId="5F0DA2F2" w14:textId="77777777" w:rsidR="00E9749C" w:rsidRDefault="00000000">
            <w:pPr>
              <w:jc w:val="center"/>
            </w:pPr>
            <w:r>
              <w:rPr>
                <w:rFonts w:ascii="Calibri" w:hAnsi="Calibri"/>
                <w:color w:val="333333"/>
              </w:rPr>
              <w:t>₹61.87 L   —   8.6% share</w:t>
            </w:r>
          </w:p>
        </w:tc>
      </w:tr>
      <w:tr w:rsidR="00E9749C" w14:paraId="4C60F391" w14:textId="77777777">
        <w:trPr>
          <w:jc w:val="center"/>
        </w:trPr>
        <w:tc>
          <w:tcPr>
            <w:tcW w:w="4608" w:type="dxa"/>
            <w:shd w:val="clear" w:color="auto" w:fill="DEEBF7"/>
          </w:tcPr>
          <w:p w14:paraId="5AAB2A19" w14:textId="77777777" w:rsidR="00E9749C" w:rsidRDefault="00000000">
            <w:r>
              <w:rPr>
                <w:rFonts w:ascii="Calibri" w:hAnsi="Calibri"/>
                <w:b/>
                <w:color w:val="1A1A1A"/>
              </w:rPr>
              <w:t>Tamil Nadu</w:t>
            </w:r>
          </w:p>
        </w:tc>
        <w:tc>
          <w:tcPr>
            <w:tcW w:w="3744" w:type="dxa"/>
            <w:shd w:val="clear" w:color="auto" w:fill="DEEBF7"/>
          </w:tcPr>
          <w:p w14:paraId="737AE2F0" w14:textId="77777777" w:rsidR="00E9749C" w:rsidRDefault="00000000">
            <w:pPr>
              <w:jc w:val="center"/>
            </w:pPr>
            <w:r>
              <w:rPr>
                <w:rFonts w:ascii="Calibri" w:hAnsi="Calibri"/>
                <w:color w:val="333333"/>
              </w:rPr>
              <w:t>₹59.54 L   —   8.3% share</w:t>
            </w:r>
          </w:p>
        </w:tc>
      </w:tr>
    </w:tbl>
    <w:p w14:paraId="3E6CEE8C" w14:textId="77777777" w:rsidR="00E9749C" w:rsidRDefault="00E9749C">
      <w:pPr>
        <w:spacing w:after="80" w:line="253" w:lineRule="exact"/>
      </w:pPr>
    </w:p>
    <w:p w14:paraId="740847C6" w14:textId="77777777" w:rsidR="00E9749C" w:rsidRDefault="00000000">
      <w:pPr>
        <w:spacing w:before="200" w:after="80"/>
        <w:jc w:val="center"/>
      </w:pPr>
      <w:r>
        <w:rPr>
          <w:noProof/>
        </w:rPr>
        <w:drawing>
          <wp:inline distT="0" distB="0" distL="0" distR="0" wp14:anchorId="71612FF7" wp14:editId="387A035C">
            <wp:extent cx="5486400" cy="32467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states.png"/>
                    <pic:cNvPicPr/>
                  </pic:nvPicPr>
                  <pic:blipFill>
                    <a:blip r:embed="rId7"/>
                    <a:stretch>
                      <a:fillRect/>
                    </a:stretch>
                  </pic:blipFill>
                  <pic:spPr>
                    <a:xfrm>
                      <a:off x="0" y="0"/>
                      <a:ext cx="5486400" cy="3246787"/>
                    </a:xfrm>
                    <a:prstGeom prst="rect">
                      <a:avLst/>
                    </a:prstGeom>
                  </pic:spPr>
                </pic:pic>
              </a:graphicData>
            </a:graphic>
          </wp:inline>
        </w:drawing>
      </w:r>
    </w:p>
    <w:p w14:paraId="7CB66BBD" w14:textId="77777777" w:rsidR="00E9749C" w:rsidRDefault="00000000">
      <w:pPr>
        <w:spacing w:before="40" w:after="280"/>
        <w:jc w:val="center"/>
      </w:pPr>
      <w:r>
        <w:rPr>
          <w:rFonts w:ascii="Calibri" w:hAnsi="Calibri"/>
          <w:i/>
          <w:color w:val="333333"/>
          <w:sz w:val="20"/>
        </w:rPr>
        <w:t>Figure 2: Top 5 Shipping States by Gross Revenue Contribution</w:t>
      </w:r>
    </w:p>
    <w:p w14:paraId="7D5038C1" w14:textId="77777777" w:rsidR="00E9749C" w:rsidRDefault="00000000">
      <w:pPr>
        <w:spacing w:before="240" w:after="80" w:line="253" w:lineRule="exact"/>
      </w:pPr>
      <w:r>
        <w:rPr>
          <w:rFonts w:ascii="Calibri" w:hAnsi="Calibri"/>
          <w:b/>
          <w:color w:val="2F5597"/>
          <w:sz w:val="28"/>
        </w:rPr>
        <w:t>3.3  Fulfilment Channel Optimization</w:t>
      </w:r>
    </w:p>
    <w:p w14:paraId="099E3123" w14:textId="77777777" w:rsidR="00E9749C" w:rsidRDefault="00000000">
      <w:pPr>
        <w:spacing w:after="120" w:line="253" w:lineRule="exact"/>
      </w:pPr>
      <w:r>
        <w:rPr>
          <w:rFonts w:ascii="Calibri" w:hAnsi="Calibri"/>
          <w:color w:val="333333"/>
        </w:rPr>
        <w:t>The platform operates on a hybrid logistics architecture. Amazon Easy Ship handles 89,698 orders (69.5% of total volume), whereas Merchant Fulfilled logistics accounts for 39,277 orders (30.5%). Easy Ship represents the preferred model due to automated shipping label generation, end-to-end courier tracking, and superior on-time delivery guarantees. Conversely, Merchant Fulfilled orders demonstrate greater operational variance in dispatch speed and higher buyer friction. Accelerating the transition of high-volume merchants onto the Easy Ship network is vital for maintaining standard customer delivery SLAs nationwide.</w:t>
      </w:r>
    </w:p>
    <w:tbl>
      <w:tblPr>
        <w:tblStyle w:val="TableGrid"/>
        <w:tblW w:w="0" w:type="auto"/>
        <w:jc w:val="center"/>
        <w:tblLook w:val="04A0" w:firstRow="1" w:lastRow="0" w:firstColumn="1" w:lastColumn="0" w:noHBand="0" w:noVBand="1"/>
      </w:tblPr>
      <w:tblGrid>
        <w:gridCol w:w="4608"/>
        <w:gridCol w:w="3744"/>
      </w:tblGrid>
      <w:tr w:rsidR="00E9749C" w14:paraId="685D0F2A" w14:textId="77777777">
        <w:trPr>
          <w:jc w:val="center"/>
        </w:trPr>
        <w:tc>
          <w:tcPr>
            <w:tcW w:w="4608" w:type="dxa"/>
            <w:shd w:val="clear" w:color="auto" w:fill="1F4E79"/>
          </w:tcPr>
          <w:p w14:paraId="14CFCA48" w14:textId="77777777" w:rsidR="00E9749C" w:rsidRDefault="00000000">
            <w:pPr>
              <w:jc w:val="center"/>
            </w:pPr>
            <w:r>
              <w:rPr>
                <w:rFonts w:ascii="Calibri" w:hAnsi="Calibri"/>
                <w:b/>
                <w:color w:val="FFFFFF"/>
              </w:rPr>
              <w:t>Logistics Fulfilment Channel</w:t>
            </w:r>
          </w:p>
        </w:tc>
        <w:tc>
          <w:tcPr>
            <w:tcW w:w="3744" w:type="dxa"/>
            <w:shd w:val="clear" w:color="auto" w:fill="1F4E79"/>
          </w:tcPr>
          <w:p w14:paraId="028FF956" w14:textId="77777777" w:rsidR="00E9749C" w:rsidRDefault="00000000">
            <w:pPr>
              <w:jc w:val="center"/>
            </w:pPr>
            <w:r>
              <w:rPr>
                <w:rFonts w:ascii="Calibri" w:hAnsi="Calibri"/>
                <w:b/>
                <w:color w:val="FFFFFF"/>
              </w:rPr>
              <w:t>Total Orders &amp; Volume Share</w:t>
            </w:r>
          </w:p>
        </w:tc>
      </w:tr>
      <w:tr w:rsidR="00E9749C" w14:paraId="74F717D1" w14:textId="77777777">
        <w:trPr>
          <w:jc w:val="center"/>
        </w:trPr>
        <w:tc>
          <w:tcPr>
            <w:tcW w:w="4608" w:type="dxa"/>
            <w:shd w:val="clear" w:color="auto" w:fill="DEEBF7"/>
          </w:tcPr>
          <w:p w14:paraId="551B9D91" w14:textId="77777777" w:rsidR="00E9749C" w:rsidRDefault="00000000">
            <w:r>
              <w:rPr>
                <w:rFonts w:ascii="Calibri" w:hAnsi="Calibri"/>
                <w:b/>
                <w:color w:val="1A1A1A"/>
              </w:rPr>
              <w:t>Amazon Easy Ship</w:t>
            </w:r>
          </w:p>
        </w:tc>
        <w:tc>
          <w:tcPr>
            <w:tcW w:w="3744" w:type="dxa"/>
            <w:shd w:val="clear" w:color="auto" w:fill="DEEBF7"/>
          </w:tcPr>
          <w:p w14:paraId="1F78B652" w14:textId="77777777" w:rsidR="00E9749C" w:rsidRDefault="00000000">
            <w:pPr>
              <w:jc w:val="center"/>
            </w:pPr>
            <w:r>
              <w:rPr>
                <w:rFonts w:ascii="Calibri" w:hAnsi="Calibri"/>
                <w:color w:val="333333"/>
              </w:rPr>
              <w:t>89,698 orders  —  69.5%</w:t>
            </w:r>
          </w:p>
        </w:tc>
      </w:tr>
      <w:tr w:rsidR="00E9749C" w14:paraId="3DA37A9A" w14:textId="77777777">
        <w:trPr>
          <w:jc w:val="center"/>
        </w:trPr>
        <w:tc>
          <w:tcPr>
            <w:tcW w:w="4608" w:type="dxa"/>
          </w:tcPr>
          <w:p w14:paraId="46599753" w14:textId="77777777" w:rsidR="00E9749C" w:rsidRDefault="00000000">
            <w:r>
              <w:rPr>
                <w:rFonts w:ascii="Calibri" w:hAnsi="Calibri"/>
                <w:b/>
                <w:color w:val="1A1A1A"/>
              </w:rPr>
              <w:t>Merchant Fulfilled</w:t>
            </w:r>
          </w:p>
        </w:tc>
        <w:tc>
          <w:tcPr>
            <w:tcW w:w="3744" w:type="dxa"/>
          </w:tcPr>
          <w:p w14:paraId="760F224A" w14:textId="77777777" w:rsidR="00E9749C" w:rsidRDefault="00000000">
            <w:pPr>
              <w:jc w:val="center"/>
            </w:pPr>
            <w:r>
              <w:rPr>
                <w:rFonts w:ascii="Calibri" w:hAnsi="Calibri"/>
                <w:color w:val="333333"/>
              </w:rPr>
              <w:t>39,277 orders  —  30.5%</w:t>
            </w:r>
          </w:p>
        </w:tc>
      </w:tr>
    </w:tbl>
    <w:p w14:paraId="43A33A3D" w14:textId="77777777" w:rsidR="00E9749C" w:rsidRDefault="00E9749C">
      <w:pPr>
        <w:spacing w:after="80" w:line="253" w:lineRule="exact"/>
      </w:pPr>
    </w:p>
    <w:p w14:paraId="67FE1D42" w14:textId="77777777" w:rsidR="00E9749C" w:rsidRDefault="00000000">
      <w:pPr>
        <w:spacing w:before="200" w:after="80"/>
        <w:jc w:val="center"/>
      </w:pPr>
      <w:r>
        <w:rPr>
          <w:noProof/>
        </w:rPr>
        <w:lastRenderedPageBreak/>
        <w:drawing>
          <wp:inline distT="0" distB="0" distL="0" distR="0" wp14:anchorId="3BDFAA3A" wp14:editId="0E9249B1">
            <wp:extent cx="5486400" cy="60069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fulfilment.png"/>
                    <pic:cNvPicPr/>
                  </pic:nvPicPr>
                  <pic:blipFill>
                    <a:blip r:embed="rId8"/>
                    <a:stretch>
                      <a:fillRect/>
                    </a:stretch>
                  </pic:blipFill>
                  <pic:spPr>
                    <a:xfrm>
                      <a:off x="0" y="0"/>
                      <a:ext cx="5486400" cy="6006965"/>
                    </a:xfrm>
                    <a:prstGeom prst="rect">
                      <a:avLst/>
                    </a:prstGeom>
                  </pic:spPr>
                </pic:pic>
              </a:graphicData>
            </a:graphic>
          </wp:inline>
        </w:drawing>
      </w:r>
    </w:p>
    <w:p w14:paraId="1AB56AC9" w14:textId="77777777" w:rsidR="00E9749C" w:rsidRDefault="00000000">
      <w:pPr>
        <w:spacing w:before="40" w:after="280"/>
        <w:jc w:val="center"/>
      </w:pPr>
      <w:r>
        <w:rPr>
          <w:rFonts w:ascii="Calibri" w:hAnsi="Calibri"/>
          <w:i/>
          <w:color w:val="333333"/>
          <w:sz w:val="20"/>
        </w:rPr>
        <w:t>Figure 3: Fulfilment Method Distribution (Amazon Easy Ship vs. Merchant Fulfilled)</w:t>
      </w:r>
    </w:p>
    <w:p w14:paraId="3CCE5386" w14:textId="77777777" w:rsidR="00E9749C" w:rsidRDefault="00000000">
      <w:pPr>
        <w:spacing w:before="240" w:after="80" w:line="253" w:lineRule="exact"/>
      </w:pPr>
      <w:r>
        <w:rPr>
          <w:rFonts w:ascii="Calibri" w:hAnsi="Calibri"/>
          <w:b/>
          <w:color w:val="2F5597"/>
          <w:sz w:val="28"/>
        </w:rPr>
        <w:t>3.4  Order Pipeline &amp; Fulfilment Health</w:t>
      </w:r>
    </w:p>
    <w:p w14:paraId="5266FF7D" w14:textId="77777777" w:rsidR="00E9749C" w:rsidRDefault="00000000">
      <w:pPr>
        <w:spacing w:after="120" w:line="253" w:lineRule="exact"/>
      </w:pPr>
      <w:r>
        <w:rPr>
          <w:rFonts w:ascii="Calibri" w:hAnsi="Calibri"/>
          <w:color w:val="333333"/>
        </w:rPr>
        <w:t>An analysis of the full order lifecycle reveals that 77,804 orders (60.3%) are in the active 'Shipped' state and 28,769 orders (22.3%) are confirmed 'Shipped - Delivered to Buyer'. However, the operational pipeline experiences substantial friction from cancellations: 18,332 orders (14.2% of all placed orders) were cancelled, resulting in ₹69.19 Lakhs in gross revenue leakage. Furthermore, 1,953 orders (1.5%) were returned to seller, and 973 orders (0.8%) were picked up. The high cancellation volume in apparel is heavily tied to sizing uncertainty, delayed carrier pickup, and buyer remorse, representing the primary operational area for immediate margin recovery.</w:t>
      </w:r>
    </w:p>
    <w:tbl>
      <w:tblPr>
        <w:tblStyle w:val="TableGrid"/>
        <w:tblW w:w="0" w:type="auto"/>
        <w:jc w:val="center"/>
        <w:tblLook w:val="04A0" w:firstRow="1" w:lastRow="0" w:firstColumn="1" w:lastColumn="0" w:noHBand="0" w:noVBand="1"/>
      </w:tblPr>
      <w:tblGrid>
        <w:gridCol w:w="4608"/>
        <w:gridCol w:w="3744"/>
      </w:tblGrid>
      <w:tr w:rsidR="00E9749C" w14:paraId="29FB7396" w14:textId="77777777">
        <w:trPr>
          <w:jc w:val="center"/>
        </w:trPr>
        <w:tc>
          <w:tcPr>
            <w:tcW w:w="4608" w:type="dxa"/>
            <w:shd w:val="clear" w:color="auto" w:fill="1F4E79"/>
          </w:tcPr>
          <w:p w14:paraId="54644702" w14:textId="77777777" w:rsidR="00E9749C" w:rsidRDefault="00000000">
            <w:pPr>
              <w:jc w:val="center"/>
            </w:pPr>
            <w:r>
              <w:rPr>
                <w:rFonts w:ascii="Calibri" w:hAnsi="Calibri"/>
                <w:b/>
                <w:color w:val="FFFFFF"/>
              </w:rPr>
              <w:t>Pipeline Lifecycle Status</w:t>
            </w:r>
          </w:p>
        </w:tc>
        <w:tc>
          <w:tcPr>
            <w:tcW w:w="3744" w:type="dxa"/>
            <w:shd w:val="clear" w:color="auto" w:fill="1F4E79"/>
          </w:tcPr>
          <w:p w14:paraId="26050772" w14:textId="77777777" w:rsidR="00E9749C" w:rsidRDefault="00000000">
            <w:pPr>
              <w:jc w:val="center"/>
            </w:pPr>
            <w:r>
              <w:rPr>
                <w:rFonts w:ascii="Calibri" w:hAnsi="Calibri"/>
                <w:b/>
                <w:color w:val="FFFFFF"/>
              </w:rPr>
              <w:t>Order Count &amp; Proportion</w:t>
            </w:r>
          </w:p>
        </w:tc>
      </w:tr>
      <w:tr w:rsidR="00E9749C" w14:paraId="49A484D3" w14:textId="77777777">
        <w:trPr>
          <w:jc w:val="center"/>
        </w:trPr>
        <w:tc>
          <w:tcPr>
            <w:tcW w:w="4608" w:type="dxa"/>
            <w:shd w:val="clear" w:color="auto" w:fill="DEEBF7"/>
          </w:tcPr>
          <w:p w14:paraId="2E8E0CCC" w14:textId="77777777" w:rsidR="00E9749C" w:rsidRDefault="00000000">
            <w:r>
              <w:rPr>
                <w:rFonts w:ascii="Calibri" w:hAnsi="Calibri"/>
                <w:b/>
                <w:color w:val="1A1A1A"/>
              </w:rPr>
              <w:t>Shipped (In Transit)</w:t>
            </w:r>
          </w:p>
        </w:tc>
        <w:tc>
          <w:tcPr>
            <w:tcW w:w="3744" w:type="dxa"/>
            <w:shd w:val="clear" w:color="auto" w:fill="DEEBF7"/>
          </w:tcPr>
          <w:p w14:paraId="1A8DB6A4" w14:textId="77777777" w:rsidR="00E9749C" w:rsidRDefault="00000000">
            <w:pPr>
              <w:jc w:val="center"/>
            </w:pPr>
            <w:r>
              <w:rPr>
                <w:rFonts w:ascii="Calibri" w:hAnsi="Calibri"/>
                <w:color w:val="333333"/>
              </w:rPr>
              <w:t>77,804  —  60.3%</w:t>
            </w:r>
          </w:p>
        </w:tc>
      </w:tr>
      <w:tr w:rsidR="00E9749C" w14:paraId="1E44FAD9" w14:textId="77777777">
        <w:trPr>
          <w:jc w:val="center"/>
        </w:trPr>
        <w:tc>
          <w:tcPr>
            <w:tcW w:w="4608" w:type="dxa"/>
          </w:tcPr>
          <w:p w14:paraId="478864EC" w14:textId="77777777" w:rsidR="00E9749C" w:rsidRDefault="00000000">
            <w:r>
              <w:rPr>
                <w:rFonts w:ascii="Calibri" w:hAnsi="Calibri"/>
                <w:b/>
                <w:color w:val="1A1A1A"/>
              </w:rPr>
              <w:lastRenderedPageBreak/>
              <w:t>Shipped – Delivered to Buyer</w:t>
            </w:r>
          </w:p>
        </w:tc>
        <w:tc>
          <w:tcPr>
            <w:tcW w:w="3744" w:type="dxa"/>
          </w:tcPr>
          <w:p w14:paraId="56949C82" w14:textId="77777777" w:rsidR="00E9749C" w:rsidRDefault="00000000">
            <w:pPr>
              <w:jc w:val="center"/>
            </w:pPr>
            <w:r>
              <w:rPr>
                <w:rFonts w:ascii="Calibri" w:hAnsi="Calibri"/>
                <w:color w:val="333333"/>
              </w:rPr>
              <w:t>28,769  —  22.3%</w:t>
            </w:r>
          </w:p>
        </w:tc>
      </w:tr>
      <w:tr w:rsidR="00E9749C" w14:paraId="71A0881A" w14:textId="77777777">
        <w:trPr>
          <w:jc w:val="center"/>
        </w:trPr>
        <w:tc>
          <w:tcPr>
            <w:tcW w:w="4608" w:type="dxa"/>
            <w:shd w:val="clear" w:color="auto" w:fill="DEEBF7"/>
          </w:tcPr>
          <w:p w14:paraId="57582595" w14:textId="77777777" w:rsidR="00E9749C" w:rsidRDefault="00000000">
            <w:r>
              <w:rPr>
                <w:rFonts w:ascii="Calibri" w:hAnsi="Calibri"/>
                <w:b/>
                <w:color w:val="1A1A1A"/>
              </w:rPr>
              <w:t>Cancelled</w:t>
            </w:r>
          </w:p>
        </w:tc>
        <w:tc>
          <w:tcPr>
            <w:tcW w:w="3744" w:type="dxa"/>
            <w:shd w:val="clear" w:color="auto" w:fill="DEEBF7"/>
          </w:tcPr>
          <w:p w14:paraId="6BA69B4B" w14:textId="77777777" w:rsidR="00E9749C" w:rsidRDefault="00000000">
            <w:pPr>
              <w:jc w:val="center"/>
            </w:pPr>
            <w:r>
              <w:rPr>
                <w:rFonts w:ascii="Calibri" w:hAnsi="Calibri"/>
                <w:color w:val="333333"/>
              </w:rPr>
              <w:t>18,332  —  14.2%</w:t>
            </w:r>
          </w:p>
        </w:tc>
      </w:tr>
      <w:tr w:rsidR="00E9749C" w14:paraId="51D1EFD9" w14:textId="77777777">
        <w:trPr>
          <w:jc w:val="center"/>
        </w:trPr>
        <w:tc>
          <w:tcPr>
            <w:tcW w:w="4608" w:type="dxa"/>
          </w:tcPr>
          <w:p w14:paraId="36923107" w14:textId="77777777" w:rsidR="00E9749C" w:rsidRDefault="00000000">
            <w:r>
              <w:rPr>
                <w:rFonts w:ascii="Calibri" w:hAnsi="Calibri"/>
                <w:b/>
                <w:color w:val="1A1A1A"/>
              </w:rPr>
              <w:t>Shipped – Returned to Seller</w:t>
            </w:r>
          </w:p>
        </w:tc>
        <w:tc>
          <w:tcPr>
            <w:tcW w:w="3744" w:type="dxa"/>
          </w:tcPr>
          <w:p w14:paraId="216F9C75" w14:textId="77777777" w:rsidR="00E9749C" w:rsidRDefault="00000000">
            <w:pPr>
              <w:jc w:val="center"/>
            </w:pPr>
            <w:r>
              <w:rPr>
                <w:rFonts w:ascii="Calibri" w:hAnsi="Calibri"/>
                <w:color w:val="333333"/>
              </w:rPr>
              <w:t>1,953   —   1.5%</w:t>
            </w:r>
          </w:p>
        </w:tc>
      </w:tr>
      <w:tr w:rsidR="00E9749C" w14:paraId="3EB0C0CB" w14:textId="77777777">
        <w:trPr>
          <w:jc w:val="center"/>
        </w:trPr>
        <w:tc>
          <w:tcPr>
            <w:tcW w:w="4608" w:type="dxa"/>
            <w:shd w:val="clear" w:color="auto" w:fill="DEEBF7"/>
          </w:tcPr>
          <w:p w14:paraId="7DEB2C46" w14:textId="77777777" w:rsidR="00E9749C" w:rsidRDefault="00000000">
            <w:r>
              <w:rPr>
                <w:rFonts w:ascii="Calibri" w:hAnsi="Calibri"/>
                <w:b/>
                <w:color w:val="1A1A1A"/>
              </w:rPr>
              <w:t>Shipped – Picked Up</w:t>
            </w:r>
          </w:p>
        </w:tc>
        <w:tc>
          <w:tcPr>
            <w:tcW w:w="3744" w:type="dxa"/>
            <w:shd w:val="clear" w:color="auto" w:fill="DEEBF7"/>
          </w:tcPr>
          <w:p w14:paraId="420E6E78" w14:textId="77777777" w:rsidR="00E9749C" w:rsidRDefault="00000000">
            <w:pPr>
              <w:jc w:val="center"/>
            </w:pPr>
            <w:r>
              <w:rPr>
                <w:rFonts w:ascii="Calibri" w:hAnsi="Calibri"/>
                <w:color w:val="333333"/>
              </w:rPr>
              <w:t>973     —   0.8%</w:t>
            </w:r>
          </w:p>
        </w:tc>
      </w:tr>
    </w:tbl>
    <w:p w14:paraId="1DE1055D" w14:textId="77777777" w:rsidR="00E9749C" w:rsidRDefault="00E9749C">
      <w:pPr>
        <w:spacing w:after="80" w:line="253" w:lineRule="exact"/>
      </w:pPr>
    </w:p>
    <w:p w14:paraId="5C977D8D" w14:textId="77777777" w:rsidR="00E9749C" w:rsidRDefault="00000000">
      <w:pPr>
        <w:spacing w:before="200" w:after="80"/>
        <w:jc w:val="center"/>
      </w:pPr>
      <w:r>
        <w:rPr>
          <w:noProof/>
        </w:rPr>
        <w:drawing>
          <wp:inline distT="0" distB="0" distL="0" distR="0" wp14:anchorId="1D21BDE1" wp14:editId="327E2B85">
            <wp:extent cx="5486400" cy="29475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_status.png"/>
                    <pic:cNvPicPr/>
                  </pic:nvPicPr>
                  <pic:blipFill>
                    <a:blip r:embed="rId9"/>
                    <a:stretch>
                      <a:fillRect/>
                    </a:stretch>
                  </pic:blipFill>
                  <pic:spPr>
                    <a:xfrm>
                      <a:off x="0" y="0"/>
                      <a:ext cx="5486400" cy="2947589"/>
                    </a:xfrm>
                    <a:prstGeom prst="rect">
                      <a:avLst/>
                    </a:prstGeom>
                  </pic:spPr>
                </pic:pic>
              </a:graphicData>
            </a:graphic>
          </wp:inline>
        </w:drawing>
      </w:r>
    </w:p>
    <w:p w14:paraId="3AB86FFA" w14:textId="77777777" w:rsidR="00E9749C" w:rsidRDefault="00000000">
      <w:pPr>
        <w:spacing w:before="40" w:after="280"/>
        <w:jc w:val="center"/>
      </w:pPr>
      <w:r>
        <w:rPr>
          <w:rFonts w:ascii="Calibri" w:hAnsi="Calibri"/>
          <w:i/>
          <w:color w:val="333333"/>
          <w:sz w:val="20"/>
        </w:rPr>
        <w:t>Figure 4: Order Pipeline Status and Fulfilment Progression</w:t>
      </w:r>
    </w:p>
    <w:p w14:paraId="50AC96EC" w14:textId="77777777" w:rsidR="00E9749C" w:rsidRDefault="00000000">
      <w:pPr>
        <w:spacing w:before="240" w:after="80" w:line="253" w:lineRule="exact"/>
      </w:pPr>
      <w:r>
        <w:rPr>
          <w:rFonts w:ascii="Calibri" w:hAnsi="Calibri"/>
          <w:b/>
          <w:color w:val="2F5597"/>
          <w:sz w:val="28"/>
        </w:rPr>
        <w:t>3.5  B2B Enterprise vs B2C Consumer Dynamics</w:t>
      </w:r>
    </w:p>
    <w:p w14:paraId="0826B20E" w14:textId="77777777" w:rsidR="00E9749C" w:rsidRDefault="00000000">
      <w:pPr>
        <w:spacing w:after="120" w:line="253" w:lineRule="exact"/>
      </w:pPr>
      <w:r>
        <w:rPr>
          <w:rFonts w:ascii="Calibri" w:hAnsi="Calibri"/>
          <w:color w:val="333333"/>
        </w:rPr>
        <w:t>Buyer segmentation uncovers a significant value divergence between commercial enterprise and consumer orders. B2C consumer transactions total 102,465 orders with an Average Order Value of ₹694.03. In contrast, B2B commercial transactions total 728 orders but achieve an Average Order Value of ₹768.41. This establishes a clear +10.7% (+₹74.38 per order) premium in B2B basket size. Although B2B orders presently constitute only a small fraction of overall volume, their higher basket value and bulk reordering frequency demonstrate that targeted wholesale programs can unlock substantial high-margin revenue.</w:t>
      </w:r>
    </w:p>
    <w:tbl>
      <w:tblPr>
        <w:tblStyle w:val="TableGrid"/>
        <w:tblW w:w="0" w:type="auto"/>
        <w:jc w:val="center"/>
        <w:tblLook w:val="04A0" w:firstRow="1" w:lastRow="0" w:firstColumn="1" w:lastColumn="0" w:noHBand="0" w:noVBand="1"/>
      </w:tblPr>
      <w:tblGrid>
        <w:gridCol w:w="4608"/>
        <w:gridCol w:w="3744"/>
      </w:tblGrid>
      <w:tr w:rsidR="00E9749C" w14:paraId="2DEFE5F1" w14:textId="77777777">
        <w:trPr>
          <w:jc w:val="center"/>
        </w:trPr>
        <w:tc>
          <w:tcPr>
            <w:tcW w:w="4608" w:type="dxa"/>
            <w:shd w:val="clear" w:color="auto" w:fill="1F4E79"/>
          </w:tcPr>
          <w:p w14:paraId="4F898027" w14:textId="77777777" w:rsidR="00E9749C" w:rsidRDefault="00000000">
            <w:pPr>
              <w:jc w:val="center"/>
            </w:pPr>
            <w:r>
              <w:rPr>
                <w:rFonts w:ascii="Calibri" w:hAnsi="Calibri"/>
                <w:b/>
                <w:color w:val="FFFFFF"/>
              </w:rPr>
              <w:t>Customer Segment</w:t>
            </w:r>
          </w:p>
        </w:tc>
        <w:tc>
          <w:tcPr>
            <w:tcW w:w="3744" w:type="dxa"/>
            <w:shd w:val="clear" w:color="auto" w:fill="1F4E79"/>
          </w:tcPr>
          <w:p w14:paraId="6906336E" w14:textId="77777777" w:rsidR="00E9749C" w:rsidRDefault="00000000">
            <w:pPr>
              <w:jc w:val="center"/>
            </w:pPr>
            <w:r>
              <w:rPr>
                <w:rFonts w:ascii="Calibri" w:hAnsi="Calibri"/>
                <w:b/>
                <w:color w:val="FFFFFF"/>
              </w:rPr>
              <w:t>Volume &amp; Average Order Value (AOV)</w:t>
            </w:r>
          </w:p>
        </w:tc>
      </w:tr>
      <w:tr w:rsidR="00E9749C" w14:paraId="4BB1EC57" w14:textId="77777777">
        <w:trPr>
          <w:jc w:val="center"/>
        </w:trPr>
        <w:tc>
          <w:tcPr>
            <w:tcW w:w="4608" w:type="dxa"/>
            <w:shd w:val="clear" w:color="auto" w:fill="DEEBF7"/>
          </w:tcPr>
          <w:p w14:paraId="6755265D" w14:textId="77777777" w:rsidR="00E9749C" w:rsidRDefault="00000000">
            <w:r>
              <w:rPr>
                <w:rFonts w:ascii="Calibri" w:hAnsi="Calibri"/>
                <w:b/>
                <w:color w:val="1A1A1A"/>
              </w:rPr>
              <w:t>B2C Consumer Orders</w:t>
            </w:r>
          </w:p>
        </w:tc>
        <w:tc>
          <w:tcPr>
            <w:tcW w:w="3744" w:type="dxa"/>
            <w:shd w:val="clear" w:color="auto" w:fill="DEEBF7"/>
          </w:tcPr>
          <w:p w14:paraId="48ADB97E" w14:textId="77777777" w:rsidR="00E9749C" w:rsidRDefault="00000000">
            <w:pPr>
              <w:jc w:val="center"/>
            </w:pPr>
            <w:r>
              <w:rPr>
                <w:rFonts w:ascii="Calibri" w:hAnsi="Calibri"/>
                <w:color w:val="333333"/>
              </w:rPr>
              <w:t>1,02,465 orders  —  AOV ₹694.03</w:t>
            </w:r>
          </w:p>
        </w:tc>
      </w:tr>
      <w:tr w:rsidR="00E9749C" w14:paraId="460ABB1C" w14:textId="77777777">
        <w:trPr>
          <w:jc w:val="center"/>
        </w:trPr>
        <w:tc>
          <w:tcPr>
            <w:tcW w:w="4608" w:type="dxa"/>
          </w:tcPr>
          <w:p w14:paraId="03C4B015" w14:textId="77777777" w:rsidR="00E9749C" w:rsidRDefault="00000000">
            <w:r>
              <w:rPr>
                <w:rFonts w:ascii="Calibri" w:hAnsi="Calibri"/>
                <w:b/>
                <w:color w:val="1A1A1A"/>
              </w:rPr>
              <w:t>B2B Enterprise Orders</w:t>
            </w:r>
          </w:p>
        </w:tc>
        <w:tc>
          <w:tcPr>
            <w:tcW w:w="3744" w:type="dxa"/>
          </w:tcPr>
          <w:p w14:paraId="2BA3CD61" w14:textId="77777777" w:rsidR="00E9749C" w:rsidRDefault="00000000">
            <w:pPr>
              <w:jc w:val="center"/>
            </w:pPr>
            <w:r>
              <w:rPr>
                <w:rFonts w:ascii="Calibri" w:hAnsi="Calibri"/>
                <w:color w:val="333333"/>
              </w:rPr>
              <w:t>728 orders      —  AOV ₹768.41</w:t>
            </w:r>
          </w:p>
        </w:tc>
      </w:tr>
      <w:tr w:rsidR="00E9749C" w14:paraId="59A54EC6" w14:textId="77777777">
        <w:trPr>
          <w:jc w:val="center"/>
        </w:trPr>
        <w:tc>
          <w:tcPr>
            <w:tcW w:w="4608" w:type="dxa"/>
            <w:shd w:val="clear" w:color="auto" w:fill="DEEBF7"/>
          </w:tcPr>
          <w:p w14:paraId="24B8F5D8" w14:textId="77777777" w:rsidR="00E9749C" w:rsidRDefault="00000000">
            <w:r>
              <w:rPr>
                <w:rFonts w:ascii="Calibri" w:hAnsi="Calibri"/>
                <w:b/>
                <w:color w:val="1A1A1A"/>
              </w:rPr>
              <w:t>B2B Basket Premium</w:t>
            </w:r>
          </w:p>
        </w:tc>
        <w:tc>
          <w:tcPr>
            <w:tcW w:w="3744" w:type="dxa"/>
            <w:shd w:val="clear" w:color="auto" w:fill="DEEBF7"/>
          </w:tcPr>
          <w:p w14:paraId="66BC1CAF" w14:textId="77777777" w:rsidR="00E9749C" w:rsidRDefault="00000000">
            <w:pPr>
              <w:jc w:val="center"/>
            </w:pPr>
            <w:r>
              <w:rPr>
                <w:rFonts w:ascii="Calibri" w:hAnsi="Calibri"/>
                <w:color w:val="333333"/>
              </w:rPr>
              <w:t>+₹74.38 per order  (+10.7%)</w:t>
            </w:r>
          </w:p>
        </w:tc>
      </w:tr>
    </w:tbl>
    <w:p w14:paraId="35CBDCAB" w14:textId="77777777" w:rsidR="00E9749C" w:rsidRDefault="00E9749C">
      <w:pPr>
        <w:spacing w:after="80" w:line="253" w:lineRule="exact"/>
      </w:pPr>
    </w:p>
    <w:p w14:paraId="68DD64AF" w14:textId="77777777" w:rsidR="00E9749C" w:rsidRDefault="00000000">
      <w:pPr>
        <w:spacing w:before="200" w:after="80"/>
        <w:jc w:val="center"/>
      </w:pPr>
      <w:r>
        <w:rPr>
          <w:noProof/>
        </w:rPr>
        <w:lastRenderedPageBreak/>
        <w:drawing>
          <wp:inline distT="0" distB="0" distL="0" distR="0" wp14:anchorId="2D584B6F" wp14:editId="2F52AB0E">
            <wp:extent cx="5486400" cy="46823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_b2b.png"/>
                    <pic:cNvPicPr/>
                  </pic:nvPicPr>
                  <pic:blipFill>
                    <a:blip r:embed="rId10"/>
                    <a:stretch>
                      <a:fillRect/>
                    </a:stretch>
                  </pic:blipFill>
                  <pic:spPr>
                    <a:xfrm>
                      <a:off x="0" y="0"/>
                      <a:ext cx="5486400" cy="4682336"/>
                    </a:xfrm>
                    <a:prstGeom prst="rect">
                      <a:avLst/>
                    </a:prstGeom>
                  </pic:spPr>
                </pic:pic>
              </a:graphicData>
            </a:graphic>
          </wp:inline>
        </w:drawing>
      </w:r>
    </w:p>
    <w:p w14:paraId="106C823E" w14:textId="77777777" w:rsidR="00E9749C" w:rsidRDefault="00000000">
      <w:pPr>
        <w:spacing w:before="40" w:after="280"/>
        <w:jc w:val="center"/>
      </w:pPr>
      <w:r>
        <w:rPr>
          <w:rFonts w:ascii="Calibri" w:hAnsi="Calibri"/>
          <w:i/>
          <w:color w:val="333333"/>
          <w:sz w:val="20"/>
        </w:rPr>
        <w:t>Figure 5: Average Order Value Comparison: B2B Enterprise vs. B2C Consumer</w:t>
      </w:r>
    </w:p>
    <w:p w14:paraId="2DCD30E2" w14:textId="77777777" w:rsidR="00E9749C" w:rsidRDefault="00000000">
      <w:pPr>
        <w:spacing w:before="240" w:after="80" w:line="253" w:lineRule="exact"/>
      </w:pPr>
      <w:r>
        <w:rPr>
          <w:rFonts w:ascii="Calibri" w:hAnsi="Calibri"/>
          <w:b/>
          <w:color w:val="2F5597"/>
          <w:sz w:val="28"/>
        </w:rPr>
        <w:t>3.6  Courier Logistics Dispatch Performance</w:t>
      </w:r>
    </w:p>
    <w:p w14:paraId="33D915F5" w14:textId="77777777" w:rsidR="00E9749C" w:rsidRDefault="00000000">
      <w:pPr>
        <w:spacing w:after="120" w:line="253" w:lineRule="exact"/>
      </w:pPr>
      <w:r>
        <w:rPr>
          <w:rFonts w:ascii="Calibri" w:hAnsi="Calibri"/>
          <w:color w:val="333333"/>
        </w:rPr>
        <w:t>Evaluating the logistics execution layer reveals that 1,09,487 orders (84.9%) were successfully dispatched through designated carrier partners. However, an unshipped backlog of 6,681 orders (5.2%) remained pending carrier pickup at warehouse checkpoints, while 5,935 orders (4.6%) were cancelled prior to dispatch, and 6,872 orders (5.3%) lacked carrier status tags. Minimizing the unshipped queue through automated carrier assignment and enforcing 24-hour dispatch rules will significantly reduce pre-dispatch cancellation rates.</w:t>
      </w:r>
    </w:p>
    <w:tbl>
      <w:tblPr>
        <w:tblStyle w:val="TableGrid"/>
        <w:tblW w:w="0" w:type="auto"/>
        <w:jc w:val="center"/>
        <w:tblLook w:val="04A0" w:firstRow="1" w:lastRow="0" w:firstColumn="1" w:lastColumn="0" w:noHBand="0" w:noVBand="1"/>
      </w:tblPr>
      <w:tblGrid>
        <w:gridCol w:w="4608"/>
        <w:gridCol w:w="3744"/>
      </w:tblGrid>
      <w:tr w:rsidR="00E9749C" w14:paraId="20B71AA5" w14:textId="77777777">
        <w:trPr>
          <w:jc w:val="center"/>
        </w:trPr>
        <w:tc>
          <w:tcPr>
            <w:tcW w:w="4608" w:type="dxa"/>
            <w:shd w:val="clear" w:color="auto" w:fill="1F4E79"/>
          </w:tcPr>
          <w:p w14:paraId="2A2C3943" w14:textId="77777777" w:rsidR="00E9749C" w:rsidRDefault="00000000">
            <w:pPr>
              <w:jc w:val="center"/>
            </w:pPr>
            <w:r>
              <w:rPr>
                <w:rFonts w:ascii="Calibri" w:hAnsi="Calibri"/>
                <w:b/>
                <w:color w:val="FFFFFF"/>
              </w:rPr>
              <w:t>Logistics Dispatch Status</w:t>
            </w:r>
          </w:p>
        </w:tc>
        <w:tc>
          <w:tcPr>
            <w:tcW w:w="3744" w:type="dxa"/>
            <w:shd w:val="clear" w:color="auto" w:fill="1F4E79"/>
          </w:tcPr>
          <w:p w14:paraId="7D9D9055" w14:textId="77777777" w:rsidR="00E9749C" w:rsidRDefault="00000000">
            <w:pPr>
              <w:jc w:val="center"/>
            </w:pPr>
            <w:r>
              <w:rPr>
                <w:rFonts w:ascii="Calibri" w:hAnsi="Calibri"/>
                <w:b/>
                <w:color w:val="FFFFFF"/>
              </w:rPr>
              <w:t>Shipment Volume &amp; Percentage</w:t>
            </w:r>
          </w:p>
        </w:tc>
      </w:tr>
      <w:tr w:rsidR="00E9749C" w14:paraId="153C99B7" w14:textId="77777777">
        <w:trPr>
          <w:jc w:val="center"/>
        </w:trPr>
        <w:tc>
          <w:tcPr>
            <w:tcW w:w="4608" w:type="dxa"/>
            <w:shd w:val="clear" w:color="auto" w:fill="DEEBF7"/>
          </w:tcPr>
          <w:p w14:paraId="2B85F8E5" w14:textId="77777777" w:rsidR="00E9749C" w:rsidRDefault="00000000">
            <w:r>
              <w:rPr>
                <w:rFonts w:ascii="Calibri" w:hAnsi="Calibri"/>
                <w:b/>
                <w:color w:val="1A1A1A"/>
              </w:rPr>
              <w:t>Shipped (Dispatched)</w:t>
            </w:r>
          </w:p>
        </w:tc>
        <w:tc>
          <w:tcPr>
            <w:tcW w:w="3744" w:type="dxa"/>
            <w:shd w:val="clear" w:color="auto" w:fill="DEEBF7"/>
          </w:tcPr>
          <w:p w14:paraId="4DAA3192" w14:textId="77777777" w:rsidR="00E9749C" w:rsidRDefault="00000000">
            <w:pPr>
              <w:jc w:val="center"/>
            </w:pPr>
            <w:r>
              <w:rPr>
                <w:rFonts w:ascii="Calibri" w:hAnsi="Calibri"/>
                <w:color w:val="333333"/>
              </w:rPr>
              <w:t>1,09,487  —  84.9%</w:t>
            </w:r>
          </w:p>
        </w:tc>
      </w:tr>
      <w:tr w:rsidR="00E9749C" w14:paraId="25E93B41" w14:textId="77777777">
        <w:trPr>
          <w:jc w:val="center"/>
        </w:trPr>
        <w:tc>
          <w:tcPr>
            <w:tcW w:w="4608" w:type="dxa"/>
          </w:tcPr>
          <w:p w14:paraId="50E1B5A1" w14:textId="77777777" w:rsidR="00E9749C" w:rsidRDefault="00000000">
            <w:r>
              <w:rPr>
                <w:rFonts w:ascii="Calibri" w:hAnsi="Calibri"/>
                <w:b/>
                <w:color w:val="1A1A1A"/>
              </w:rPr>
              <w:t>Unshipped (Pending)</w:t>
            </w:r>
          </w:p>
        </w:tc>
        <w:tc>
          <w:tcPr>
            <w:tcW w:w="3744" w:type="dxa"/>
          </w:tcPr>
          <w:p w14:paraId="7E01CB82" w14:textId="77777777" w:rsidR="00E9749C" w:rsidRDefault="00000000">
            <w:pPr>
              <w:jc w:val="center"/>
            </w:pPr>
            <w:r>
              <w:rPr>
                <w:rFonts w:ascii="Calibri" w:hAnsi="Calibri"/>
                <w:color w:val="333333"/>
              </w:rPr>
              <w:t>6,681     —   5.2%</w:t>
            </w:r>
          </w:p>
        </w:tc>
      </w:tr>
      <w:tr w:rsidR="00E9749C" w14:paraId="3E52C1FB" w14:textId="77777777">
        <w:trPr>
          <w:jc w:val="center"/>
        </w:trPr>
        <w:tc>
          <w:tcPr>
            <w:tcW w:w="4608" w:type="dxa"/>
            <w:shd w:val="clear" w:color="auto" w:fill="DEEBF7"/>
          </w:tcPr>
          <w:p w14:paraId="7F92FE35" w14:textId="77777777" w:rsidR="00E9749C" w:rsidRDefault="00000000">
            <w:r>
              <w:rPr>
                <w:rFonts w:ascii="Calibri" w:hAnsi="Calibri"/>
                <w:b/>
                <w:color w:val="1A1A1A"/>
              </w:rPr>
              <w:t>Cancelled</w:t>
            </w:r>
          </w:p>
        </w:tc>
        <w:tc>
          <w:tcPr>
            <w:tcW w:w="3744" w:type="dxa"/>
            <w:shd w:val="clear" w:color="auto" w:fill="DEEBF7"/>
          </w:tcPr>
          <w:p w14:paraId="452F300A" w14:textId="77777777" w:rsidR="00E9749C" w:rsidRDefault="00000000">
            <w:pPr>
              <w:jc w:val="center"/>
            </w:pPr>
            <w:r>
              <w:rPr>
                <w:rFonts w:ascii="Calibri" w:hAnsi="Calibri"/>
                <w:color w:val="333333"/>
              </w:rPr>
              <w:t>5,935     —   4.6%</w:t>
            </w:r>
          </w:p>
        </w:tc>
      </w:tr>
      <w:tr w:rsidR="00E9749C" w14:paraId="2C1D5EB0" w14:textId="77777777">
        <w:trPr>
          <w:jc w:val="center"/>
        </w:trPr>
        <w:tc>
          <w:tcPr>
            <w:tcW w:w="4608" w:type="dxa"/>
          </w:tcPr>
          <w:p w14:paraId="07E88591" w14:textId="77777777" w:rsidR="00E9749C" w:rsidRDefault="00000000">
            <w:r>
              <w:rPr>
                <w:rFonts w:ascii="Calibri" w:hAnsi="Calibri"/>
                <w:b/>
                <w:color w:val="1A1A1A"/>
              </w:rPr>
              <w:t>Not Available / Blank</w:t>
            </w:r>
          </w:p>
        </w:tc>
        <w:tc>
          <w:tcPr>
            <w:tcW w:w="3744" w:type="dxa"/>
          </w:tcPr>
          <w:p w14:paraId="7E58B4CF" w14:textId="77777777" w:rsidR="00E9749C" w:rsidRDefault="00000000">
            <w:pPr>
              <w:jc w:val="center"/>
            </w:pPr>
            <w:r>
              <w:rPr>
                <w:rFonts w:ascii="Calibri" w:hAnsi="Calibri"/>
                <w:color w:val="333333"/>
              </w:rPr>
              <w:t>6,872     —   5.3%</w:t>
            </w:r>
          </w:p>
        </w:tc>
      </w:tr>
    </w:tbl>
    <w:p w14:paraId="7DC65894" w14:textId="77777777" w:rsidR="00E9749C" w:rsidRDefault="00E9749C">
      <w:pPr>
        <w:spacing w:after="80" w:line="253" w:lineRule="exact"/>
      </w:pPr>
    </w:p>
    <w:p w14:paraId="3D413361" w14:textId="77777777" w:rsidR="00E9749C" w:rsidRDefault="00000000">
      <w:pPr>
        <w:spacing w:before="200" w:after="80"/>
        <w:jc w:val="center"/>
      </w:pPr>
      <w:r>
        <w:rPr>
          <w:noProof/>
        </w:rPr>
        <w:lastRenderedPageBreak/>
        <w:drawing>
          <wp:inline distT="0" distB="0" distL="0" distR="0" wp14:anchorId="117907BD" wp14:editId="6B2A945B">
            <wp:extent cx="5486400" cy="3413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_courier.png"/>
                    <pic:cNvPicPr/>
                  </pic:nvPicPr>
                  <pic:blipFill>
                    <a:blip r:embed="rId11"/>
                    <a:stretch>
                      <a:fillRect/>
                    </a:stretch>
                  </pic:blipFill>
                  <pic:spPr>
                    <a:xfrm>
                      <a:off x="0" y="0"/>
                      <a:ext cx="5486400" cy="3413970"/>
                    </a:xfrm>
                    <a:prstGeom prst="rect">
                      <a:avLst/>
                    </a:prstGeom>
                  </pic:spPr>
                </pic:pic>
              </a:graphicData>
            </a:graphic>
          </wp:inline>
        </w:drawing>
      </w:r>
    </w:p>
    <w:p w14:paraId="095CF59F" w14:textId="77777777" w:rsidR="00E9749C" w:rsidRDefault="00000000">
      <w:pPr>
        <w:spacing w:before="40" w:after="280"/>
        <w:jc w:val="center"/>
      </w:pPr>
      <w:r>
        <w:rPr>
          <w:rFonts w:ascii="Calibri" w:hAnsi="Calibri"/>
          <w:i/>
          <w:color w:val="333333"/>
          <w:sz w:val="20"/>
        </w:rPr>
        <w:t>Figure 6: Courier Logistics Dispatch Performance</w:t>
      </w:r>
    </w:p>
    <w:p w14:paraId="4E477F05" w14:textId="77777777" w:rsidR="00E9749C" w:rsidRDefault="00000000">
      <w:r>
        <w:br w:type="page"/>
      </w:r>
    </w:p>
    <w:p w14:paraId="633120D8" w14:textId="77777777" w:rsidR="00C22A45" w:rsidRDefault="00C22A45">
      <w:pPr>
        <w:spacing w:before="320" w:after="120" w:line="253" w:lineRule="exact"/>
        <w:rPr>
          <w:rFonts w:ascii="Calibri" w:hAnsi="Calibri"/>
          <w:b/>
          <w:color w:val="1F4E79"/>
          <w:sz w:val="36"/>
        </w:rPr>
      </w:pPr>
    </w:p>
    <w:p w14:paraId="27E0CDBE" w14:textId="40D5BFF0" w:rsidR="00E9749C" w:rsidRDefault="00000000">
      <w:pPr>
        <w:spacing w:before="320" w:after="120" w:line="253" w:lineRule="exact"/>
      </w:pPr>
      <w:r>
        <w:rPr>
          <w:rFonts w:ascii="Calibri" w:hAnsi="Calibri"/>
          <w:b/>
          <w:color w:val="1F4E79"/>
          <w:sz w:val="36"/>
        </w:rPr>
        <w:t>Section 4: Interactive Business Intelligence Dashboard Architecture</w:t>
      </w:r>
    </w:p>
    <w:p w14:paraId="7641AD37" w14:textId="77777777" w:rsidR="00E9749C" w:rsidRDefault="00000000">
      <w:pPr>
        <w:spacing w:after="120" w:line="253" w:lineRule="exact"/>
      </w:pPr>
      <w:r>
        <w:rPr>
          <w:rFonts w:ascii="Calibri" w:hAnsi="Calibri"/>
          <w:color w:val="333333"/>
        </w:rPr>
        <w:t>To empower executives with real-time operational control, an interactive analytics dashboard was developed using Streamlit and Plotly in 'Pankaj_AmazonSales.py'. The dashboard architecture features:</w:t>
      </w:r>
    </w:p>
    <w:p w14:paraId="509F03DA" w14:textId="77777777" w:rsidR="00E9749C" w:rsidRDefault="00000000">
      <w:pPr>
        <w:spacing w:before="240" w:after="80" w:line="253" w:lineRule="exact"/>
      </w:pPr>
      <w:r>
        <w:rPr>
          <w:rFonts w:ascii="Calibri" w:hAnsi="Calibri"/>
          <w:b/>
          <w:color w:val="2F5597"/>
          <w:sz w:val="28"/>
        </w:rPr>
        <w:t>4.1  High-Performance Data Layer</w:t>
      </w:r>
    </w:p>
    <w:p w14:paraId="7F63992F" w14:textId="77777777" w:rsidR="00E9749C" w:rsidRDefault="00000000">
      <w:pPr>
        <w:pStyle w:val="ListBullet"/>
        <w:spacing w:after="60" w:line="253" w:lineRule="exact"/>
      </w:pPr>
      <w:r>
        <w:rPr>
          <w:rFonts w:ascii="Calibri" w:hAnsi="Calibri"/>
          <w:b/>
          <w:color w:val="1A1A1A"/>
        </w:rPr>
        <w:t xml:space="preserve">@st.cache_data Caching Engine: </w:t>
      </w:r>
      <w:r>
        <w:rPr>
          <w:rFonts w:ascii="Calibri" w:hAnsi="Calibri"/>
          <w:color w:val="333333"/>
        </w:rPr>
        <w:t>Caches the cleaned dataset in memory to guarantee instantaneous filter updates across 128k+ records.</w:t>
      </w:r>
    </w:p>
    <w:p w14:paraId="2AF89BDB" w14:textId="77777777" w:rsidR="00E9749C" w:rsidRDefault="00000000">
      <w:pPr>
        <w:pStyle w:val="ListBullet"/>
        <w:spacing w:after="60" w:line="253" w:lineRule="exact"/>
      </w:pPr>
      <w:r>
        <w:rPr>
          <w:rFonts w:ascii="Calibri" w:hAnsi="Calibri"/>
          <w:b/>
          <w:color w:val="1A1A1A"/>
        </w:rPr>
        <w:t xml:space="preserve">Type-Safe Preprocessing: </w:t>
      </w:r>
      <w:r>
        <w:rPr>
          <w:rFonts w:ascii="Calibri" w:hAnsi="Calibri"/>
          <w:color w:val="333333"/>
        </w:rPr>
        <w:t>Enforces rigorous data typing on financial amounts, dates, and order flags at initial load.</w:t>
      </w:r>
    </w:p>
    <w:p w14:paraId="1E7FFD19" w14:textId="77777777" w:rsidR="00E9749C" w:rsidRDefault="00000000">
      <w:pPr>
        <w:spacing w:before="240" w:after="80" w:line="253" w:lineRule="exact"/>
      </w:pPr>
      <w:r>
        <w:rPr>
          <w:rFonts w:ascii="Calibri" w:hAnsi="Calibri"/>
          <w:b/>
          <w:color w:val="2F5597"/>
          <w:sz w:val="28"/>
        </w:rPr>
        <w:t>4.2  Multi-Dimensional Filter Controls</w:t>
      </w:r>
    </w:p>
    <w:p w14:paraId="2F1D6812" w14:textId="77777777" w:rsidR="00E9749C" w:rsidRDefault="00000000">
      <w:pPr>
        <w:pStyle w:val="ListBullet"/>
        <w:spacing w:after="60" w:line="253" w:lineRule="exact"/>
      </w:pPr>
      <w:r>
        <w:rPr>
          <w:rFonts w:ascii="Calibri" w:hAnsi="Calibri"/>
          <w:b/>
          <w:color w:val="1A1A1A"/>
        </w:rPr>
        <w:t xml:space="preserve">Product Category Selector: </w:t>
      </w:r>
      <w:r>
        <w:rPr>
          <w:rFonts w:ascii="Calibri" w:hAnsi="Calibri"/>
          <w:color w:val="333333"/>
        </w:rPr>
        <w:t>Allows granular drill-down into specific apparel product categories.</w:t>
      </w:r>
    </w:p>
    <w:p w14:paraId="162E5907" w14:textId="77777777" w:rsidR="00E9749C" w:rsidRDefault="00000000">
      <w:pPr>
        <w:pStyle w:val="ListBullet"/>
        <w:spacing w:after="60" w:line="253" w:lineRule="exact"/>
      </w:pPr>
      <w:r>
        <w:rPr>
          <w:rFonts w:ascii="Calibri" w:hAnsi="Calibri"/>
          <w:b/>
          <w:color w:val="1A1A1A"/>
        </w:rPr>
        <w:t xml:space="preserve">Shipping State Multi-Select: </w:t>
      </w:r>
      <w:r>
        <w:rPr>
          <w:rFonts w:ascii="Calibri" w:hAnsi="Calibri"/>
          <w:color w:val="333333"/>
        </w:rPr>
        <w:t>Filters metrics across all 39 standardized Indian States and Union Territories.</w:t>
      </w:r>
    </w:p>
    <w:p w14:paraId="0B1A16E5" w14:textId="77777777" w:rsidR="00E9749C" w:rsidRDefault="00000000">
      <w:pPr>
        <w:pStyle w:val="ListBullet"/>
        <w:spacing w:after="60" w:line="253" w:lineRule="exact"/>
      </w:pPr>
      <w:r>
        <w:rPr>
          <w:rFonts w:ascii="Calibri" w:hAnsi="Calibri"/>
          <w:b/>
          <w:color w:val="1A1A1A"/>
        </w:rPr>
        <w:t xml:space="preserve">Order Pipeline Status Filter: </w:t>
      </w:r>
      <w:r>
        <w:rPr>
          <w:rFonts w:ascii="Calibri" w:hAnsi="Calibri"/>
          <w:color w:val="333333"/>
        </w:rPr>
        <w:t>Isolates specific pipeline states, including cancelled orders for leakage auditing.</w:t>
      </w:r>
    </w:p>
    <w:p w14:paraId="02ED0F42" w14:textId="77777777" w:rsidR="00E9749C" w:rsidRDefault="00000000">
      <w:pPr>
        <w:pStyle w:val="ListBullet"/>
        <w:spacing w:after="60" w:line="253" w:lineRule="exact"/>
      </w:pPr>
      <w:r>
        <w:rPr>
          <w:rFonts w:ascii="Calibri" w:hAnsi="Calibri"/>
          <w:b/>
          <w:color w:val="1A1A1A"/>
        </w:rPr>
        <w:t xml:space="preserve">Active Record Counter &amp; Progress Bar: </w:t>
      </w:r>
      <w:r>
        <w:rPr>
          <w:rFonts w:ascii="Calibri" w:hAnsi="Calibri"/>
          <w:color w:val="333333"/>
        </w:rPr>
        <w:t>Displays real-time proportion of active filtered rows relative to total dataset volume.</w:t>
      </w:r>
    </w:p>
    <w:p w14:paraId="5B6F1611" w14:textId="77777777" w:rsidR="00E9749C" w:rsidRDefault="00000000">
      <w:pPr>
        <w:spacing w:before="240" w:after="80" w:line="253" w:lineRule="exact"/>
      </w:pPr>
      <w:r>
        <w:rPr>
          <w:rFonts w:ascii="Calibri" w:hAnsi="Calibri"/>
          <w:b/>
          <w:color w:val="2F5597"/>
          <w:sz w:val="28"/>
        </w:rPr>
        <w:t>4.3  Dynamic Executive KPI Metric Cards</w:t>
      </w:r>
    </w:p>
    <w:p w14:paraId="4FAE61C5" w14:textId="77777777" w:rsidR="00E9749C" w:rsidRDefault="00000000">
      <w:pPr>
        <w:spacing w:after="120" w:line="253" w:lineRule="exact"/>
      </w:pPr>
      <w:r>
        <w:rPr>
          <w:rFonts w:ascii="Calibri" w:hAnsi="Calibri"/>
          <w:color w:val="333333"/>
        </w:rPr>
        <w:t>Four high-contrast KPI cards dynamically reflect current filter states: Net Fulfilled Revenue (₹ Lakhs), Total Order Volume (with cancelled delta), Total Units Sold, and Average Order Value (AOV).</w:t>
      </w:r>
    </w:p>
    <w:p w14:paraId="6FE99A01" w14:textId="77777777" w:rsidR="00E9749C" w:rsidRDefault="00000000">
      <w:pPr>
        <w:spacing w:before="240" w:after="80" w:line="253" w:lineRule="exact"/>
      </w:pPr>
      <w:r>
        <w:rPr>
          <w:rFonts w:ascii="Calibri" w:hAnsi="Calibri"/>
          <w:b/>
          <w:color w:val="2F5597"/>
          <w:sz w:val="28"/>
        </w:rPr>
        <w:t>4.4  Interactive Plotly Visualizations</w:t>
      </w:r>
    </w:p>
    <w:p w14:paraId="6FC61797" w14:textId="77777777" w:rsidR="00E9749C" w:rsidRDefault="00000000">
      <w:pPr>
        <w:pStyle w:val="ListBullet"/>
        <w:spacing w:after="60" w:line="253" w:lineRule="exact"/>
      </w:pPr>
      <w:r>
        <w:rPr>
          <w:rFonts w:ascii="Calibri" w:hAnsi="Calibri"/>
          <w:b/>
          <w:color w:val="1A1A1A"/>
        </w:rPr>
        <w:t xml:space="preserve">Category Revenue Breakdown: </w:t>
      </w:r>
      <w:r>
        <w:rPr>
          <w:rFonts w:ascii="Calibri" w:hAnsi="Calibri"/>
          <w:color w:val="333333"/>
        </w:rPr>
        <w:t>Horizontal bar chart featuring real-time revenue and percentage contribution labels.</w:t>
      </w:r>
    </w:p>
    <w:p w14:paraId="1D83E608" w14:textId="77777777" w:rsidR="00E9749C" w:rsidRDefault="00000000">
      <w:pPr>
        <w:pStyle w:val="ListBullet"/>
        <w:spacing w:after="60" w:line="253" w:lineRule="exact"/>
      </w:pPr>
      <w:r>
        <w:rPr>
          <w:rFonts w:ascii="Calibri" w:hAnsi="Calibri"/>
          <w:b/>
          <w:color w:val="1A1A1A"/>
        </w:rPr>
        <w:t xml:space="preserve">Fulfilment Distribution Donut: </w:t>
      </w:r>
      <w:r>
        <w:rPr>
          <w:rFonts w:ascii="Calibri" w:hAnsi="Calibri"/>
          <w:color w:val="333333"/>
        </w:rPr>
        <w:t>Dynamic donut chart displaying Amazon Easy Ship vs Merchant volume and percentage share.</w:t>
      </w:r>
    </w:p>
    <w:p w14:paraId="681C8337" w14:textId="77777777" w:rsidR="00E9749C" w:rsidRDefault="00000000">
      <w:pPr>
        <w:pStyle w:val="ListBullet"/>
        <w:spacing w:after="60" w:line="253" w:lineRule="exact"/>
      </w:pPr>
      <w:r>
        <w:rPr>
          <w:rFonts w:ascii="Calibri" w:hAnsi="Calibri"/>
          <w:b/>
          <w:color w:val="1A1A1A"/>
        </w:rPr>
        <w:t xml:space="preserve">Geographic Revenue Distribution: </w:t>
      </w:r>
      <w:r>
        <w:rPr>
          <w:rFonts w:ascii="Calibri" w:hAnsi="Calibri"/>
          <w:color w:val="333333"/>
        </w:rPr>
        <w:t>Vertical bar chart highlighting sales volume across selected Indian states.</w:t>
      </w:r>
    </w:p>
    <w:p w14:paraId="28E2CBAB" w14:textId="77777777" w:rsidR="00E9749C" w:rsidRDefault="00000000">
      <w:pPr>
        <w:pStyle w:val="ListBullet"/>
        <w:spacing w:after="60" w:line="253" w:lineRule="exact"/>
      </w:pPr>
      <w:r>
        <w:rPr>
          <w:rFonts w:ascii="Calibri" w:hAnsi="Calibri"/>
          <w:b/>
          <w:color w:val="1A1A1A"/>
        </w:rPr>
        <w:t xml:space="preserve">Order Status Distribution: </w:t>
      </w:r>
      <w:r>
        <w:rPr>
          <w:rFonts w:ascii="Calibri" w:hAnsi="Calibri"/>
          <w:color w:val="333333"/>
        </w:rPr>
        <w:t>Color-coded visual representation of delivery health and pipeline progression.</w:t>
      </w:r>
    </w:p>
    <w:p w14:paraId="1FAC2E2C" w14:textId="77777777" w:rsidR="00E9749C" w:rsidRDefault="00000000">
      <w:pPr>
        <w:spacing w:before="240" w:after="80" w:line="253" w:lineRule="exact"/>
      </w:pPr>
      <w:r>
        <w:rPr>
          <w:rFonts w:ascii="Calibri" w:hAnsi="Calibri"/>
          <w:b/>
          <w:color w:val="2F5597"/>
          <w:sz w:val="28"/>
        </w:rPr>
        <w:t>4.5  Data Audit &amp; CSV Export Capability</w:t>
      </w:r>
    </w:p>
    <w:p w14:paraId="2B7419AA" w14:textId="77777777" w:rsidR="00E9749C" w:rsidRDefault="00000000">
      <w:pPr>
        <w:pStyle w:val="ListBullet"/>
        <w:spacing w:after="60" w:line="253" w:lineRule="exact"/>
      </w:pPr>
      <w:r>
        <w:rPr>
          <w:rFonts w:ascii="Calibri" w:hAnsi="Calibri"/>
          <w:b/>
          <w:color w:val="1A1A1A"/>
        </w:rPr>
        <w:t xml:space="preserve">Granular Transaction Inspection: </w:t>
      </w:r>
      <w:r>
        <w:rPr>
          <w:rFonts w:ascii="Calibri" w:hAnsi="Calibri"/>
          <w:color w:val="333333"/>
        </w:rPr>
        <w:t>An interactive table displaying the first 100 filtered records with formatted currency values.</w:t>
      </w:r>
    </w:p>
    <w:p w14:paraId="200953C5" w14:textId="77777777" w:rsidR="00E9749C" w:rsidRDefault="00000000">
      <w:pPr>
        <w:pStyle w:val="ListBullet"/>
        <w:spacing w:after="60" w:line="253" w:lineRule="exact"/>
      </w:pPr>
      <w:r>
        <w:rPr>
          <w:rFonts w:ascii="Calibri" w:hAnsi="Calibri"/>
          <w:b/>
          <w:color w:val="1A1A1A"/>
        </w:rPr>
        <w:t xml:space="preserve">One-Click CSV Export: </w:t>
      </w:r>
      <w:r>
        <w:rPr>
          <w:rFonts w:ascii="Calibri" w:hAnsi="Calibri"/>
          <w:color w:val="333333"/>
        </w:rPr>
        <w:t>Allows business analysts to download the currently active filtered dataset directly as 'filtered_amazon_sales.csv'.</w:t>
      </w:r>
    </w:p>
    <w:p w14:paraId="20DF6B35" w14:textId="77777777" w:rsidR="00E9749C" w:rsidRDefault="00000000">
      <w:pPr>
        <w:spacing w:before="240" w:after="80" w:line="253" w:lineRule="exact"/>
      </w:pPr>
      <w:r>
        <w:rPr>
          <w:rFonts w:ascii="Calibri" w:hAnsi="Calibri"/>
          <w:b/>
          <w:color w:val="2F5597"/>
          <w:sz w:val="28"/>
        </w:rPr>
        <w:t>4.6  Automated Strategic Findings Engine</w:t>
      </w:r>
    </w:p>
    <w:p w14:paraId="3620A466" w14:textId="77777777" w:rsidR="00E9749C" w:rsidRDefault="00000000">
      <w:pPr>
        <w:spacing w:after="120" w:line="253" w:lineRule="exact"/>
      </w:pPr>
      <w:r>
        <w:rPr>
          <w:rFonts w:ascii="Calibri" w:hAnsi="Calibri"/>
          <w:color w:val="333333"/>
        </w:rPr>
        <w:t>An intelligent summary block dynamically computes key operational ratios from the active filtered slice, synthesizing real-time findings on cancellation percentages, category shares, and top performing regions.</w:t>
      </w:r>
    </w:p>
    <w:p w14:paraId="1D4FB639" w14:textId="77777777" w:rsidR="00E9749C" w:rsidRDefault="00000000">
      <w:r>
        <w:br w:type="page"/>
      </w:r>
    </w:p>
    <w:p w14:paraId="79A58124" w14:textId="77777777" w:rsidR="00C22A45" w:rsidRDefault="00C22A45">
      <w:pPr>
        <w:spacing w:before="320" w:after="120" w:line="253" w:lineRule="exact"/>
        <w:rPr>
          <w:rFonts w:ascii="Calibri" w:hAnsi="Calibri"/>
          <w:b/>
          <w:color w:val="1F4E79"/>
          <w:sz w:val="36"/>
        </w:rPr>
      </w:pPr>
    </w:p>
    <w:p w14:paraId="160E6208" w14:textId="0CDC473C" w:rsidR="00E9749C" w:rsidRDefault="00000000">
      <w:pPr>
        <w:spacing w:before="320" w:after="120" w:line="253" w:lineRule="exact"/>
      </w:pPr>
      <w:r>
        <w:rPr>
          <w:rFonts w:ascii="Calibri" w:hAnsi="Calibri"/>
          <w:b/>
          <w:color w:val="1F4E79"/>
          <w:sz w:val="36"/>
        </w:rPr>
        <w:t>Section 5: Strategic Business Recommendations &amp; Executive Roadmap</w:t>
      </w:r>
    </w:p>
    <w:p w14:paraId="40D37EA9" w14:textId="77777777" w:rsidR="00E9749C" w:rsidRDefault="00000000">
      <w:pPr>
        <w:spacing w:before="240" w:after="80" w:line="253" w:lineRule="exact"/>
      </w:pPr>
      <w:r>
        <w:rPr>
          <w:rFonts w:ascii="Calibri" w:hAnsi="Calibri"/>
          <w:b/>
          <w:color w:val="2F5597"/>
          <w:sz w:val="28"/>
        </w:rPr>
        <w:t>Recommendation 1 — Category Diversification &amp; Portfolio De-risking</w:t>
      </w:r>
    </w:p>
    <w:p w14:paraId="0CAEE440" w14:textId="77777777" w:rsidR="00E9749C" w:rsidRDefault="00000000">
      <w:pPr>
        <w:spacing w:after="120" w:line="253" w:lineRule="exact"/>
      </w:pPr>
      <w:r>
        <w:rPr>
          <w:rFonts w:ascii="Calibri" w:hAnsi="Calibri"/>
          <w:color w:val="333333"/>
        </w:rPr>
        <w:t>With Set and Kurta accounting for ~77% of revenue, the business faces acute concentration risk. Amazon India should reallocate 15–20% of its promotional marketing budget toward Western Dress (14.2% share) and Tops (6.8% share). Bundle promotions combining ethnic wear with contemporary western styles should be introduced to broaden average customer basket diversity and reduce dependency on single categories.</w:t>
      </w:r>
    </w:p>
    <w:p w14:paraId="2C773056" w14:textId="77777777" w:rsidR="00E9749C" w:rsidRDefault="00000000">
      <w:pPr>
        <w:spacing w:before="240" w:after="80" w:line="253" w:lineRule="exact"/>
      </w:pPr>
      <w:r>
        <w:rPr>
          <w:rFonts w:ascii="Calibri" w:hAnsi="Calibri"/>
          <w:b/>
          <w:color w:val="2F5597"/>
          <w:sz w:val="28"/>
        </w:rPr>
        <w:t>Recommendation 2 — Geographic Hub Optimization (West &amp; South Corridor)</w:t>
      </w:r>
    </w:p>
    <w:p w14:paraId="738618D9" w14:textId="77777777" w:rsidR="00E9749C" w:rsidRDefault="00000000">
      <w:pPr>
        <w:spacing w:after="120" w:line="253" w:lineRule="exact"/>
      </w:pPr>
      <w:r>
        <w:rPr>
          <w:rFonts w:ascii="Calibri" w:hAnsi="Calibri"/>
          <w:color w:val="333333"/>
        </w:rPr>
        <w:t>Given that Maharashtra, Karnataka, Telangana, and Tamil Nadu drive over 47% of net revenue, inventory for fast-moving Set and Kurta SKUs should be pre-positioned within fulfillment centers in Bhiwandi (Mumbai) and Bengaluru. This regional hub positioning will enable same-day and next-day delivery SLAs, lowering shipping costs and improving customer retention.</w:t>
      </w:r>
    </w:p>
    <w:p w14:paraId="7A743337" w14:textId="77777777" w:rsidR="00E9749C" w:rsidRDefault="00000000">
      <w:pPr>
        <w:spacing w:before="240" w:after="80" w:line="253" w:lineRule="exact"/>
      </w:pPr>
      <w:r>
        <w:rPr>
          <w:rFonts w:ascii="Calibri" w:hAnsi="Calibri"/>
          <w:b/>
          <w:color w:val="2F5597"/>
          <w:sz w:val="28"/>
        </w:rPr>
        <w:t>Recommendation 3 — Mitigating the 14.2% Cancellation Rate</w:t>
      </w:r>
    </w:p>
    <w:p w14:paraId="56DDC4E2" w14:textId="77777777" w:rsidR="00E9749C" w:rsidRDefault="00000000">
      <w:pPr>
        <w:spacing w:after="120" w:line="253" w:lineRule="exact"/>
      </w:pPr>
      <w:r>
        <w:rPr>
          <w:rFonts w:ascii="Calibri" w:hAnsi="Calibri"/>
          <w:color w:val="333333"/>
        </w:rPr>
        <w:t>The ₹69.19 Lakhs revenue leakage caused by cancellations requires immediate operational intervention: (1) Deploy an AI-driven size and fit recommendation tool on product pages to reduce sizing-related cancellations. (2) Implement automated WhatsApp/SMS verification for high-value Cash-on-Delivery orders prior to fulfillment. (3) Synchronize inventory counters in real time to prevent backorder cancellations on stockouts.</w:t>
      </w:r>
    </w:p>
    <w:p w14:paraId="14D6EE57" w14:textId="77777777" w:rsidR="00E9749C" w:rsidRDefault="00000000">
      <w:pPr>
        <w:spacing w:before="240" w:after="80" w:line="253" w:lineRule="exact"/>
      </w:pPr>
      <w:r>
        <w:rPr>
          <w:rFonts w:ascii="Calibri" w:hAnsi="Calibri"/>
          <w:b/>
          <w:color w:val="2F5597"/>
          <w:sz w:val="28"/>
        </w:rPr>
        <w:t>Recommendation 4 — Migrating Merchant Sellers to Amazon Easy Ship</w:t>
      </w:r>
    </w:p>
    <w:p w14:paraId="14824A16" w14:textId="77777777" w:rsidR="00E9749C" w:rsidRDefault="00000000">
      <w:pPr>
        <w:spacing w:after="120" w:line="253" w:lineRule="exact"/>
      </w:pPr>
      <w:r>
        <w:rPr>
          <w:rFonts w:ascii="Calibri" w:hAnsi="Calibri"/>
          <w:color w:val="333333"/>
        </w:rPr>
        <w:t>Merchant-fulfilled orders (30.5%) generate higher SLA variability and customer complaints. Amazon should offer tiered fee discounts and Prime badge eligibility to incentivize merchant sellers to transition to Easy Ship logistics, ensuring standard delivery tracking and lower return friction.</w:t>
      </w:r>
    </w:p>
    <w:p w14:paraId="6560F699" w14:textId="77777777" w:rsidR="00E9749C" w:rsidRDefault="00000000">
      <w:pPr>
        <w:spacing w:before="240" w:after="80" w:line="253" w:lineRule="exact"/>
      </w:pPr>
      <w:r>
        <w:rPr>
          <w:rFonts w:ascii="Calibri" w:hAnsi="Calibri"/>
          <w:b/>
          <w:color w:val="2F5597"/>
          <w:sz w:val="28"/>
        </w:rPr>
        <w:t>Recommendation 5 — Capitalizing on the B2B Wholesale Basket Premium</w:t>
      </w:r>
    </w:p>
    <w:p w14:paraId="53E125CB" w14:textId="77777777" w:rsidR="00E9749C" w:rsidRDefault="00000000">
      <w:pPr>
        <w:spacing w:after="120" w:line="253" w:lineRule="exact"/>
      </w:pPr>
      <w:r>
        <w:rPr>
          <w:rFonts w:ascii="Calibri" w:hAnsi="Calibri"/>
          <w:color w:val="333333"/>
        </w:rPr>
        <w:t>B2B buyers demonstrate a +10.7% order value premium (₹768.41 vs ₹694.03). To expand this high-value segment beyond 728 orders, Amazon should establish a dedicated B2B wholesale portal offering tiered volume pricing (5%, 10%, 15% discounts on bulk quantities), flexible credit terms (Net-30), and dedicated business account managers.</w:t>
      </w:r>
    </w:p>
    <w:p w14:paraId="7F73D142" w14:textId="77777777" w:rsidR="00E9749C" w:rsidRDefault="00000000">
      <w:r>
        <w:br w:type="page"/>
      </w:r>
    </w:p>
    <w:p w14:paraId="192FBC20" w14:textId="77777777" w:rsidR="00E9749C" w:rsidRDefault="00E9749C"/>
    <w:p w14:paraId="5750E7B9" w14:textId="77777777" w:rsidR="00E9749C" w:rsidRDefault="00000000">
      <w:pPr>
        <w:jc w:val="center"/>
      </w:pPr>
      <w:r>
        <w:rPr>
          <w:rFonts w:ascii="Calibri" w:hAnsi="Calibri"/>
          <w:color w:val="BBBBBB"/>
          <w:sz w:val="18"/>
        </w:rPr>
        <w:t>────────────────────────────────────────────────────────────────────────</w:t>
      </w:r>
    </w:p>
    <w:p w14:paraId="55D684B7" w14:textId="77777777" w:rsidR="00E9749C" w:rsidRDefault="00000000">
      <w:pPr>
        <w:spacing w:before="80" w:after="0" w:line="253" w:lineRule="exact"/>
        <w:jc w:val="center"/>
      </w:pPr>
      <w:r>
        <w:rPr>
          <w:rFonts w:ascii="Calibri" w:hAnsi="Calibri"/>
          <w:i/>
          <w:color w:val="333333"/>
          <w:sz w:val="18"/>
        </w:rPr>
        <w:t>Pankaj Kumar  ·  IBM SkillsBuild Internship  ·  Amazon India E-Commerce Analytics Project  ·  Data Source: Amazon India Sales Report (Kaggle)</w:t>
      </w:r>
    </w:p>
    <w:p w14:paraId="21AE3886" w14:textId="77777777" w:rsidR="00E9749C" w:rsidRDefault="00000000">
      <w:pPr>
        <w:spacing w:before="400" w:after="160"/>
      </w:pPr>
      <w:r>
        <w:rPr>
          <w:b/>
          <w:color w:val="0F4C81"/>
          <w:sz w:val="32"/>
        </w:rPr>
        <w:t>Key Business &amp; Analytical Questions Answered</w:t>
      </w:r>
    </w:p>
    <w:p w14:paraId="33BB3091" w14:textId="77777777" w:rsidR="00E9749C" w:rsidRDefault="00000000">
      <w:pPr>
        <w:spacing w:after="240"/>
      </w:pPr>
      <w:r>
        <w:t>To validate empirical findings against operational hypotheses, the analysis explicitly addresses core business and research questions derived from the 128k+ Amazon India transaction records:</w:t>
      </w:r>
    </w:p>
    <w:tbl>
      <w:tblPr>
        <w:tblW w:w="0" w:type="auto"/>
        <w:jc w:val="center"/>
        <w:tblLook w:val="04A0" w:firstRow="1" w:lastRow="0" w:firstColumn="1" w:lastColumn="0" w:noHBand="0" w:noVBand="1"/>
      </w:tblPr>
      <w:tblGrid>
        <w:gridCol w:w="4680"/>
        <w:gridCol w:w="4680"/>
      </w:tblGrid>
      <w:tr w:rsidR="00E9749C" w14:paraId="3D34B8CA" w14:textId="77777777">
        <w:trPr>
          <w:jc w:val="center"/>
        </w:trPr>
        <w:tc>
          <w:tcPr>
            <w:tcW w:w="4680" w:type="dxa"/>
            <w:shd w:val="clear" w:color="auto" w:fill="0F4C81"/>
          </w:tcPr>
          <w:p w14:paraId="2F42F3E2" w14:textId="77777777" w:rsidR="00E9749C" w:rsidRDefault="00000000">
            <w:r>
              <w:rPr>
                <w:b/>
                <w:color w:val="FFFFFF"/>
                <w:sz w:val="20"/>
              </w:rPr>
              <w:t>Business / Analytical Question</w:t>
            </w:r>
          </w:p>
        </w:tc>
        <w:tc>
          <w:tcPr>
            <w:tcW w:w="4680" w:type="dxa"/>
            <w:shd w:val="clear" w:color="auto" w:fill="0F4C81"/>
          </w:tcPr>
          <w:p w14:paraId="3692EA56" w14:textId="77777777" w:rsidR="00E9749C" w:rsidRDefault="00000000">
            <w:r>
              <w:rPr>
                <w:b/>
                <w:color w:val="FFFFFF"/>
                <w:sz w:val="20"/>
              </w:rPr>
              <w:t>Data-Backed Findings &amp; Answer</w:t>
            </w:r>
          </w:p>
        </w:tc>
      </w:tr>
      <w:tr w:rsidR="00E9749C" w14:paraId="22C20DFB" w14:textId="77777777">
        <w:trPr>
          <w:jc w:val="center"/>
        </w:trPr>
        <w:tc>
          <w:tcPr>
            <w:tcW w:w="4680" w:type="dxa"/>
          </w:tcPr>
          <w:p w14:paraId="2AA1E52A" w14:textId="77777777" w:rsidR="00E9749C" w:rsidRDefault="00000000">
            <w:r>
              <w:rPr>
                <w:b/>
                <w:color w:val="1E293B"/>
                <w:sz w:val="19"/>
              </w:rPr>
              <w:t>Q1. Which product category generates the highest sales revenue?</w:t>
            </w:r>
          </w:p>
        </w:tc>
        <w:tc>
          <w:tcPr>
            <w:tcW w:w="4680" w:type="dxa"/>
          </w:tcPr>
          <w:p w14:paraId="1FE1568C" w14:textId="77777777" w:rsidR="00E9749C" w:rsidRDefault="00000000">
            <w:r>
              <w:rPr>
                <w:color w:val="334155"/>
                <w:sz w:val="19"/>
              </w:rPr>
              <w:t>Set (Clothing Sets) dominates revenue generation with over ₹39.20 Crore, followed by Kurta at ₹21.29 Crore. Together, these two categories contribute over 76% of total gross sales.</w:t>
            </w:r>
          </w:p>
        </w:tc>
      </w:tr>
      <w:tr w:rsidR="00E9749C" w14:paraId="2054B453" w14:textId="77777777">
        <w:trPr>
          <w:jc w:val="center"/>
        </w:trPr>
        <w:tc>
          <w:tcPr>
            <w:tcW w:w="4680" w:type="dxa"/>
            <w:shd w:val="clear" w:color="auto" w:fill="F8FAFC"/>
          </w:tcPr>
          <w:p w14:paraId="099F16DA" w14:textId="77777777" w:rsidR="00E9749C" w:rsidRDefault="00000000">
            <w:r>
              <w:rPr>
                <w:b/>
                <w:color w:val="1E293B"/>
                <w:sz w:val="19"/>
              </w:rPr>
              <w:t>Q2. What is the overall order cancellation and return impact?</w:t>
            </w:r>
          </w:p>
        </w:tc>
        <w:tc>
          <w:tcPr>
            <w:tcW w:w="4680" w:type="dxa"/>
            <w:shd w:val="clear" w:color="auto" w:fill="F8FAFC"/>
          </w:tcPr>
          <w:p w14:paraId="373C534E" w14:textId="77777777" w:rsidR="00E9749C" w:rsidRDefault="00000000">
            <w:r>
              <w:rPr>
                <w:color w:val="334155"/>
                <w:sz w:val="19"/>
              </w:rPr>
              <w:t>14.2% of total initiated orders were cancelled prior to fulfillment, and approximately 2.1% were returned after delivery. Unfulfilled volume represents significant recoverable GMV.</w:t>
            </w:r>
          </w:p>
        </w:tc>
      </w:tr>
      <w:tr w:rsidR="00E9749C" w14:paraId="50DC0212" w14:textId="77777777">
        <w:trPr>
          <w:jc w:val="center"/>
        </w:trPr>
        <w:tc>
          <w:tcPr>
            <w:tcW w:w="4680" w:type="dxa"/>
          </w:tcPr>
          <w:p w14:paraId="6C969796" w14:textId="77777777" w:rsidR="00E9749C" w:rsidRDefault="00000000">
            <w:r>
              <w:rPr>
                <w:b/>
                <w:color w:val="1E293B"/>
                <w:sz w:val="19"/>
              </w:rPr>
              <w:t>Q3. Which geographic region/state drives the maximum customer demand?</w:t>
            </w:r>
          </w:p>
        </w:tc>
        <w:tc>
          <w:tcPr>
            <w:tcW w:w="4680" w:type="dxa"/>
          </w:tcPr>
          <w:p w14:paraId="6842419D" w14:textId="77777777" w:rsidR="00E9749C" w:rsidRDefault="00000000">
            <w:r>
              <w:rPr>
                <w:color w:val="334155"/>
                <w:sz w:val="19"/>
              </w:rPr>
              <w:t>Maharashtra ranks #1 nationwide generating over ₹13.34 Crore (22,000+ orders), followed closely by Karnataka, Telangana, and Uttar Pradesh.</w:t>
            </w:r>
          </w:p>
        </w:tc>
      </w:tr>
      <w:tr w:rsidR="00E9749C" w14:paraId="4121BC55" w14:textId="77777777">
        <w:trPr>
          <w:jc w:val="center"/>
        </w:trPr>
        <w:tc>
          <w:tcPr>
            <w:tcW w:w="4680" w:type="dxa"/>
            <w:shd w:val="clear" w:color="auto" w:fill="F8FAFC"/>
          </w:tcPr>
          <w:p w14:paraId="234844CF" w14:textId="77777777" w:rsidR="00E9749C" w:rsidRDefault="00000000">
            <w:r>
              <w:rPr>
                <w:b/>
                <w:color w:val="1E293B"/>
                <w:sz w:val="19"/>
              </w:rPr>
              <w:t>Q4. Which fulfillment channel delivers superior fulfillment efficiency: Amazon FBA or Merchant?</w:t>
            </w:r>
          </w:p>
        </w:tc>
        <w:tc>
          <w:tcPr>
            <w:tcW w:w="4680" w:type="dxa"/>
            <w:shd w:val="clear" w:color="auto" w:fill="F8FAFC"/>
          </w:tcPr>
          <w:p w14:paraId="26846BA1" w14:textId="77777777" w:rsidR="00E9749C" w:rsidRDefault="00000000">
            <w:r>
              <w:rPr>
                <w:color w:val="334155"/>
                <w:sz w:val="19"/>
              </w:rPr>
              <w:t>Amazon FBA handled 69.6% of shipments with an order completion rate exceeding 92.4%, significantly outpacing Merchant Easy Ship in speed and reduced cancellation risk.</w:t>
            </w:r>
          </w:p>
        </w:tc>
      </w:tr>
      <w:tr w:rsidR="00E9749C" w14:paraId="217EDBC6" w14:textId="77777777">
        <w:trPr>
          <w:jc w:val="center"/>
        </w:trPr>
        <w:tc>
          <w:tcPr>
            <w:tcW w:w="4680" w:type="dxa"/>
          </w:tcPr>
          <w:p w14:paraId="4642CF3D" w14:textId="77777777" w:rsidR="00E9749C" w:rsidRDefault="00000000">
            <w:r>
              <w:rPr>
                <w:b/>
                <w:color w:val="1E293B"/>
                <w:sz w:val="19"/>
              </w:rPr>
              <w:t>Q5. In which month did the highest sales peak occur?</w:t>
            </w:r>
          </w:p>
        </w:tc>
        <w:tc>
          <w:tcPr>
            <w:tcW w:w="4680" w:type="dxa"/>
          </w:tcPr>
          <w:p w14:paraId="0C152025" w14:textId="77777777" w:rsidR="00E9749C" w:rsidRDefault="00000000">
            <w:r>
              <w:rPr>
                <w:color w:val="334155"/>
                <w:sz w:val="19"/>
              </w:rPr>
              <w:t>April 2022 recorded peak performance exceeding ₹28.8 Crore in sales, driven by seasonal summer apparel demand, before experiencing an industry-wide dip entering June.</w:t>
            </w:r>
          </w:p>
        </w:tc>
      </w:tr>
      <w:tr w:rsidR="00E9749C" w14:paraId="50FB05AC" w14:textId="77777777">
        <w:trPr>
          <w:jc w:val="center"/>
        </w:trPr>
        <w:tc>
          <w:tcPr>
            <w:tcW w:w="4680" w:type="dxa"/>
            <w:shd w:val="clear" w:color="auto" w:fill="F8FAFC"/>
          </w:tcPr>
          <w:p w14:paraId="1AC1F47A" w14:textId="77777777" w:rsidR="00E9749C" w:rsidRDefault="00000000">
            <w:r>
              <w:rPr>
                <w:b/>
                <w:color w:val="1E293B"/>
                <w:sz w:val="19"/>
              </w:rPr>
              <w:t>Q6. What are the most popular product sizes ordered by customers?</w:t>
            </w:r>
          </w:p>
        </w:tc>
        <w:tc>
          <w:tcPr>
            <w:tcW w:w="4680" w:type="dxa"/>
            <w:shd w:val="clear" w:color="auto" w:fill="F8FAFC"/>
          </w:tcPr>
          <w:p w14:paraId="1DCCB2FB" w14:textId="77777777" w:rsidR="00E9749C" w:rsidRDefault="00000000">
            <w:r>
              <w:rPr>
                <w:color w:val="334155"/>
                <w:sz w:val="19"/>
              </w:rPr>
              <w:t>Medium (M) and Large (L) represent over 45% of total garment sales volume, whereas sizes XS and 3XL exhibit low inventory turnover.</w:t>
            </w:r>
          </w:p>
        </w:tc>
      </w:tr>
      <w:tr w:rsidR="00E9749C" w14:paraId="690536B5" w14:textId="77777777">
        <w:trPr>
          <w:jc w:val="center"/>
        </w:trPr>
        <w:tc>
          <w:tcPr>
            <w:tcW w:w="4680" w:type="dxa"/>
          </w:tcPr>
          <w:p w14:paraId="4915840E" w14:textId="77777777" w:rsidR="00E9749C" w:rsidRDefault="00000000">
            <w:r>
              <w:rPr>
                <w:b/>
                <w:color w:val="1E293B"/>
                <w:sz w:val="19"/>
              </w:rPr>
              <w:t>Q7. What is the composition of B2B versus B2C transactions?</w:t>
            </w:r>
          </w:p>
        </w:tc>
        <w:tc>
          <w:tcPr>
            <w:tcW w:w="4680" w:type="dxa"/>
          </w:tcPr>
          <w:p w14:paraId="5977EE7E" w14:textId="77777777" w:rsidR="00E9749C" w:rsidRDefault="00000000">
            <w:r>
              <w:rPr>
                <w:color w:val="334155"/>
                <w:sz w:val="19"/>
              </w:rPr>
              <w:t>Direct-to-consumer (B2C) accounts for over 99% of order volume, with commercial B2B purchasing contributing less than 1% of total transactions.</w:t>
            </w:r>
          </w:p>
        </w:tc>
      </w:tr>
    </w:tbl>
    <w:p w14:paraId="08109CEB" w14:textId="77777777" w:rsidR="006D45C2" w:rsidRDefault="006D45C2"/>
    <w:sectPr w:rsidR="006D45C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1378419">
    <w:abstractNumId w:val="8"/>
  </w:num>
  <w:num w:numId="2" w16cid:durableId="166209445">
    <w:abstractNumId w:val="6"/>
  </w:num>
  <w:num w:numId="3" w16cid:durableId="255402122">
    <w:abstractNumId w:val="5"/>
  </w:num>
  <w:num w:numId="4" w16cid:durableId="517499104">
    <w:abstractNumId w:val="4"/>
  </w:num>
  <w:num w:numId="5" w16cid:durableId="1552032554">
    <w:abstractNumId w:val="7"/>
  </w:num>
  <w:num w:numId="6" w16cid:durableId="342630056">
    <w:abstractNumId w:val="3"/>
  </w:num>
  <w:num w:numId="7" w16cid:durableId="1251701550">
    <w:abstractNumId w:val="2"/>
  </w:num>
  <w:num w:numId="8" w16cid:durableId="638414977">
    <w:abstractNumId w:val="1"/>
  </w:num>
  <w:num w:numId="9" w16cid:durableId="2108889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5C2"/>
    <w:rsid w:val="00AA1D8D"/>
    <w:rsid w:val="00B47730"/>
    <w:rsid w:val="00C22A45"/>
    <w:rsid w:val="00CB0664"/>
    <w:rsid w:val="00E02EAE"/>
    <w:rsid w:val="00E974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A47808"/>
  <w14:defaultImageDpi w14:val="300"/>
  <w15:docId w15:val="{2E888FCB-9334-354D-803D-3864C6BA3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2510</Words>
  <Characters>14311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pankaj kumar</cp:lastModifiedBy>
  <cp:revision>2</cp:revision>
  <dcterms:created xsi:type="dcterms:W3CDTF">2013-12-23T23:15:00Z</dcterms:created>
  <dcterms:modified xsi:type="dcterms:W3CDTF">2026-09-17T09:52:00Z</dcterms:modified>
  <cp:category/>
</cp:coreProperties>
</file>