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DEV-MODEL-02 — Pre-trained Model Management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IV(2)(a): Methods and steps for development, including use of pre-trained systems or third-party tools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MANAGE.3.2: Monitor pre-trained models used in development; MAP.4.1: Map legal risks of components including third-party tools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A.4.4: Document tooling resources; Clause A.10.3: Ensure supplier alignment with responsible AI approach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maintain an inventory of all pre-trained models used in AI development, including provenance documentation, upstream model monitoring, third-party risk assessment, and license compliance verification.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Pre-trained Model Inventory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Pre-trained Model Inventory listing all foundation models and transfer learning sources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Model Provenance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Model Provenance Documentation including training data, methodology, and provider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Upstream Model Update Tracker monitoring for updates and vulnerabilities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Upstream Model Update Tracker monitoring for updates and vulnerabilities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Third-Party Model Risk Assessment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Third-Party Model Risk Assessment evaluating bias, security, and reliability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License Compliance Review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License Compliance Review verifying terms of use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Pre-trained Model Inventory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Model Provenance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Upstream Model Update Tracker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Third-Party Model Risk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License Compliance Review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GOV-3P-01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Third-Party AI Risk Management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GOV-3P-03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AI Component Quality Assurance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DEV-MODEL-02: Pre-trained Model Management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2026-05-29T01:37:57.639Z</dcterms:created>
  <dcterms:modified xsi:type="dcterms:W3CDTF">2026-05-29T01:37:57.639Z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