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GOV-3P-02 — Third-Party Contingency and Incident Response</w:t>
      </w:r>
    </w:p>
    <w:p>
      <w:pPr>
        <w:spacing w:after="120"/>
      </w:pPr>
      <w:r>
        <w:rPr>
          <w:rFonts w:ascii="Arial" w:cs="Arial" w:eastAsia="Arial" w:hAnsi="Arial"/>
          <w:color w:val="666666"/>
          <w:sz w:val="17"/>
          <w:szCs w:val="17"/>
        </w:rPr>
        <w:t xml:space="preserve">Category: AI Governance &amp; Strategy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Supports operational resilience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GOVERN.6.2: Establish contingency processes for third-party failures; MANAGE.2.3: Respond to previously unknown risks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A.10.3: Require supplier corrective actions; Clause 10.2: React to nonconformity and correct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contingency procedures for responding to third-party AI failures, including incident response coordination, failover mechanisms, and alternative provider activation to maintain business continuity.</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 Third-Party Incident Response Plan</w:t>
      </w:r>
    </w:p>
    <w:p>
      <w:pPr>
        <w:spacing w:after="60" w:line="270"/>
      </w:pPr>
      <w:r>
        <w:rPr>
          <w:rFonts w:ascii="Arial" w:cs="Arial" w:eastAsia="Arial" w:hAnsi="Arial"/>
          <w:sz w:val="17"/>
          <w:szCs w:val="17"/>
        </w:rPr>
        <w:t xml:space="preserve">This section addresses: Third-Party Incident Response Plan with milestones, responsible parties, resource needs, and success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Backup/Failover Procedures</w:t>
      </w:r>
    </w:p>
    <w:p>
      <w:pPr>
        <w:spacing w:after="60" w:line="270"/>
      </w:pPr>
      <w:r>
        <w:rPr>
          <w:rFonts w:ascii="Arial" w:cs="Arial" w:eastAsia="Arial" w:hAnsi="Arial"/>
          <w:sz w:val="17"/>
          <w:szCs w:val="17"/>
        </w:rPr>
        <w:t xml:space="preserve">This section addresses: Backup/Failover Procedures detailing workflows, decision points, roles, and documentation requirements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Vendor Escalation Path Document</w:t>
      </w:r>
    </w:p>
    <w:p>
      <w:pPr>
        <w:spacing w:after="60" w:line="270"/>
      </w:pPr>
      <w:r>
        <w:rPr>
          <w:rFonts w:ascii="Arial" w:cs="Arial" w:eastAsia="Arial" w:hAnsi="Arial"/>
          <w:sz w:val="17"/>
          <w:szCs w:val="17"/>
        </w:rPr>
        <w:t xml:space="preserve">This section addresses: Vendor Escalation Path Document with version control, approval signatures, and distribution records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Alternative Provider Assessment</w:t>
      </w:r>
    </w:p>
    <w:p>
      <w:pPr>
        <w:spacing w:after="60" w:line="270"/>
      </w:pPr>
      <w:r>
        <w:rPr>
          <w:rFonts w:ascii="Arial" w:cs="Arial" w:eastAsia="Arial" w:hAnsi="Arial"/>
          <w:sz w:val="17"/>
          <w:szCs w:val="17"/>
        </w:rPr>
        <w:t xml:space="preserve">This section addresses: Alternative Provider Assessment with defined methodology, criteria, and documented findings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incident management system showing logged incidents, severity classifications, and resolution status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Third-Party Incident Response Plan</w:t>
      </w:r>
    </w:p>
    <w:p>
      <w:pPr>
        <w:spacing w:after="40"/>
      </w:pPr>
      <w:r>
        <w:rPr>
          <w:rFonts w:ascii="Arial" w:cs="Arial" w:eastAsia="Arial" w:hAnsi="Arial"/>
          <w:sz w:val="17"/>
          <w:szCs w:val="17"/>
        </w:rPr>
        <w:t xml:space="preserve">☐  Backup/Failover Procedures</w:t>
      </w:r>
    </w:p>
    <w:p>
      <w:pPr>
        <w:spacing w:after="40"/>
      </w:pPr>
      <w:r>
        <w:rPr>
          <w:rFonts w:ascii="Arial" w:cs="Arial" w:eastAsia="Arial" w:hAnsi="Arial"/>
          <w:sz w:val="17"/>
          <w:szCs w:val="17"/>
        </w:rPr>
        <w:t xml:space="preserve">☐  Vendor Escalation Path Document</w:t>
      </w:r>
    </w:p>
    <w:p>
      <w:pPr>
        <w:spacing w:after="40"/>
      </w:pPr>
      <w:r>
        <w:rPr>
          <w:rFonts w:ascii="Arial" w:cs="Arial" w:eastAsia="Arial" w:hAnsi="Arial"/>
          <w:sz w:val="17"/>
          <w:szCs w:val="17"/>
        </w:rPr>
        <w:t xml:space="preserve">☐  Alternative Provider Assessment</w:t>
      </w:r>
    </w:p>
    <w:p>
      <w:pPr>
        <w:spacing w:after="40"/>
      </w:pPr>
      <w:r>
        <w:rPr>
          <w:rFonts w:ascii="Arial" w:cs="Arial" w:eastAsia="Arial" w:hAnsi="Arial"/>
          <w:sz w:val="17"/>
          <w:szCs w:val="17"/>
        </w:rPr>
        <w:t xml:space="preserve">☐  Contingency Test Results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GOV-3P-01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Third-Party AI Risk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GOV-3P-03</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Supplier AI Component Quality Assurance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OPS-INC-01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Incident Detection and Response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OPS-NC-01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Nonconformity and Corrective Action Management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GOV-3P-02: Third-Party Contingency and Incident Response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2026-05-29T01:37:54.485Z</dcterms:created>
  <dcterms:modified xsi:type="dcterms:W3CDTF">2026-05-29T01:37:54.485Z</dcterms:modified>
</cp:coreProperties>
</file>

<file path=docProps/custom.xml><?xml version="1.0" encoding="utf-8"?>
<Properties xmlns="http://schemas.openxmlformats.org/officeDocument/2006/custom-properties" xmlns:vt="http://schemas.openxmlformats.org/officeDocument/2006/docPropsVTypes"/>
</file>