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GOV-ACC-01 — AI Governance Committee and Structure</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17(1)(m): QMS shall include accountability framework; Article 26(2): Deployers shall designate responsible person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GOVERN.2.1: Document roles and lines of communication; GOVERN.2.3: Executive takes responsibility for AI risk</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5.1: Top management demonstrate leadership; Clause 5.3: Assign responsibilities and authorities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 cross-functional AI Governance Committee with defined charter, membership, authority, and operating procedures to provide strategic oversight, risk decisions, and policy direction for all AI activities.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AI Governance Committee Charter</w:t>
      </w:r>
    </w:p>
    <w:p>
      <w:pPr>
        <w:spacing w:after="60" w:line="270"/>
      </w:pPr>
      <w:r>
        <w:rPr>
          <w:rFonts w:ascii="Arial" w:cs="Arial" w:eastAsia="Arial" w:hAnsi="Arial"/>
          <w:sz w:val="17"/>
          <w:szCs w:val="17"/>
        </w:rPr>
        <w:t xml:space="preserve">This section addresses: AI Governance Committee Charter defining membership, authority, decision rights, and operating procedures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Executive Sponsor designation</w:t>
      </w:r>
    </w:p>
    <w:p>
      <w:pPr>
        <w:spacing w:after="60" w:line="270"/>
      </w:pPr>
      <w:r>
        <w:rPr>
          <w:rFonts w:ascii="Arial" w:cs="Arial" w:eastAsia="Arial" w:hAnsi="Arial"/>
          <w:sz w:val="17"/>
          <w:szCs w:val="17"/>
        </w:rPr>
        <w:t xml:space="preserve">This section addresses: Executive Sponsor designation with documented authority, budget ownership, and reporting accountability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Regular meeting cadence</w:t>
      </w:r>
    </w:p>
    <w:p>
      <w:pPr>
        <w:spacing w:after="60" w:line="270"/>
      </w:pPr>
      <w:r>
        <w:rPr>
          <w:rFonts w:ascii="Arial" w:cs="Arial" w:eastAsia="Arial" w:hAnsi="Arial"/>
          <w:sz w:val="17"/>
          <w:szCs w:val="17"/>
        </w:rPr>
        <w:t xml:space="preserve">This section addresses: Regular meeting cadence with defined frequency, quorum rules, agenda templates, and minute-keeping process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Escalation Procedures</w:t>
      </w:r>
    </w:p>
    <w:p>
      <w:pPr>
        <w:spacing w:after="60" w:line="270"/>
      </w:pPr>
      <w:r>
        <w:rPr>
          <w:rFonts w:ascii="Arial" w:cs="Arial" w:eastAsia="Arial" w:hAnsi="Arial"/>
          <w:sz w:val="17"/>
          <w:szCs w:val="17"/>
        </w:rPr>
        <w:t xml:space="preserve">This section addresses: Escalation Procedures defining trigger conditions, escalation tiers, response timelines, and authority levels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meeting records, committee calendar, or governance tool showing scheduled and completed reviews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AI Governance Committee Charter</w:t>
      </w:r>
    </w:p>
    <w:p>
      <w:pPr>
        <w:spacing w:after="40"/>
      </w:pPr>
      <w:r>
        <w:rPr>
          <w:rFonts w:ascii="Arial" w:cs="Arial" w:eastAsia="Arial" w:hAnsi="Arial"/>
          <w:sz w:val="17"/>
          <w:szCs w:val="17"/>
        </w:rPr>
        <w:t xml:space="preserve">☐  Executive Sponsor Designation Letter</w:t>
      </w:r>
    </w:p>
    <w:p>
      <w:pPr>
        <w:spacing w:after="40"/>
      </w:pPr>
      <w:r>
        <w:rPr>
          <w:rFonts w:ascii="Arial" w:cs="Arial" w:eastAsia="Arial" w:hAnsi="Arial"/>
          <w:sz w:val="17"/>
          <w:szCs w:val="17"/>
        </w:rPr>
        <w:t xml:space="preserve">☐  Committee Membership Roster</w:t>
      </w:r>
    </w:p>
    <w:p>
      <w:pPr>
        <w:spacing w:after="40"/>
      </w:pPr>
      <w:r>
        <w:rPr>
          <w:rFonts w:ascii="Arial" w:cs="Arial" w:eastAsia="Arial" w:hAnsi="Arial"/>
          <w:sz w:val="17"/>
          <w:szCs w:val="17"/>
        </w:rPr>
        <w:t xml:space="preserve">☐  Meeting Minutes</w:t>
      </w:r>
    </w:p>
    <w:p>
      <w:pPr>
        <w:spacing w:after="40"/>
      </w:pPr>
      <w:r>
        <w:rPr>
          <w:rFonts w:ascii="Arial" w:cs="Arial" w:eastAsia="Arial" w:hAnsi="Arial"/>
          <w:sz w:val="17"/>
          <w:szCs w:val="17"/>
        </w:rPr>
        <w:t xml:space="preserve">☐  Escalation Procedures Document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GOV-ACC-02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Ownership, Accountability, and RACI Assignment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GOV-ACC-03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Executive Leadership AI Oversight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GOV-ACC-01: AI Governance Committee and Structure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2026-05-29T01:37:54.917Z</dcterms:created>
  <dcterms:modified xsi:type="dcterms:W3CDTF">2026-05-29T01:37:54.918Z</dcterms:modified>
</cp:coreProperties>
</file>

<file path=docProps/custom.xml><?xml version="1.0" encoding="utf-8"?>
<Properties xmlns="http://schemas.openxmlformats.org/officeDocument/2006/custom-properties" xmlns:vt="http://schemas.openxmlformats.org/officeDocument/2006/docPropsVTypes"/>
</file>