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GOV-POL-02 — AI Policy Alignment with Organizational Strategy</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17(1)(a): QMS shall include strategy for regulatory compliance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GOVERN.1.2: Embed trustworthy AI into standards; MAP.1.3: Document organization mission and AI goals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5.1: Ensure AI policy compatible with strategic direction; Clause 5.2: AI policy appropriate to purpose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align its AI Policy and AI objectives with the overall organizational mission, strategic plan, and business objectives, ensuring AI investments directly support documented corporate priorities.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Strategic AI Alignment Document</w:t>
      </w:r>
    </w:p>
    <w:p>
      <w:pPr>
        <w:spacing w:after="60" w:line="270"/>
      </w:pPr>
      <w:r>
        <w:rPr>
          <w:rFonts w:ascii="Arial" w:cs="Arial" w:eastAsia="Arial" w:hAnsi="Arial"/>
          <w:sz w:val="17"/>
          <w:szCs w:val="17"/>
        </w:rPr>
        <w:t xml:space="preserve">This section addresses: Strategic AI Alignment Document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Board-approved AI Strategy</w:t>
      </w:r>
    </w:p>
    <w:p>
      <w:pPr>
        <w:spacing w:after="60" w:line="270"/>
      </w:pPr>
      <w:r>
        <w:rPr>
          <w:rFonts w:ascii="Arial" w:cs="Arial" w:eastAsia="Arial" w:hAnsi="Arial"/>
          <w:sz w:val="17"/>
          <w:szCs w:val="17"/>
        </w:rPr>
        <w:t xml:space="preserve">This section addresses: Board-approved AI Strategy defining objectives, approach, resource allocation, and success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AI Objectives Matrix</w:t>
      </w:r>
    </w:p>
    <w:p>
      <w:pPr>
        <w:spacing w:after="60" w:line="270"/>
      </w:pPr>
      <w:r>
        <w:rPr>
          <w:rFonts w:ascii="Arial" w:cs="Arial" w:eastAsia="Arial" w:hAnsi="Arial"/>
          <w:sz w:val="17"/>
          <w:szCs w:val="17"/>
        </w:rPr>
        <w:t xml:space="preserve">This section addresses: AI Objectives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pageBreakBefore/>
      </w:pPr>
      <w:r>
        <w:t xml:space="preserve"/>
      </w:r>
    </w:p>
    <w:p>
      <w:pPr>
        <w:spacing w:after="100" w:before="300"/>
      </w:pPr>
      <w:r>
        <w:rPr>
          <w:rFonts w:ascii="Arial" w:cs="Arial" w:eastAsia="Arial" w:hAnsi="Arial"/>
          <w:b/>
          <w:bCs/>
          <w:color w:val="1B3A5C"/>
          <w:sz w:val="24"/>
          <w:szCs w:val="24"/>
        </w:rPr>
        <w:t xml:space="preserve">Section 4: Cross-functional review</w:t>
      </w:r>
    </w:p>
    <w:p>
      <w:pPr>
        <w:spacing w:after="60" w:line="270"/>
      </w:pPr>
      <w:r>
        <w:rPr>
          <w:rFonts w:ascii="Arial" w:cs="Arial" w:eastAsia="Arial" w:hAnsi="Arial"/>
          <w:sz w:val="17"/>
          <w:szCs w:val="17"/>
        </w:rPr>
        <w:t xml:space="preserve">This section addresses: Cross-functional review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Strategic AI Alignment Document</w:t>
      </w:r>
    </w:p>
    <w:p>
      <w:pPr>
        <w:spacing w:after="40"/>
      </w:pPr>
      <w:r>
        <w:rPr>
          <w:rFonts w:ascii="Arial" w:cs="Arial" w:eastAsia="Arial" w:hAnsi="Arial"/>
          <w:sz w:val="17"/>
          <w:szCs w:val="17"/>
        </w:rPr>
        <w:t xml:space="preserve">☐  Board Resolution approving AI Strategy</w:t>
      </w:r>
    </w:p>
    <w:p>
      <w:pPr>
        <w:spacing w:after="40"/>
      </w:pPr>
      <w:r>
        <w:rPr>
          <w:rFonts w:ascii="Arial" w:cs="Arial" w:eastAsia="Arial" w:hAnsi="Arial"/>
          <w:sz w:val="17"/>
          <w:szCs w:val="17"/>
        </w:rPr>
        <w:t xml:space="preserve">☐  AI Objectives Matrix with OKR linkages</w:t>
      </w:r>
    </w:p>
    <w:p>
      <w:pPr>
        <w:spacing w:after="40"/>
      </w:pPr>
      <w:r>
        <w:rPr>
          <w:rFonts w:ascii="Arial" w:cs="Arial" w:eastAsia="Arial" w:hAnsi="Arial"/>
          <w:sz w:val="17"/>
          <w:szCs w:val="17"/>
        </w:rPr>
        <w:t xml:space="preserve">☐  Mission-AI Alignment Assessment</w:t>
      </w:r>
    </w:p>
    <w:p>
      <w:pPr>
        <w:spacing w:after="40"/>
      </w:pPr>
      <w:r>
        <w:rPr>
          <w:rFonts w:ascii="Arial" w:cs="Arial" w:eastAsia="Arial" w:hAnsi="Arial"/>
          <w:sz w:val="17"/>
          <w:szCs w:val="17"/>
        </w:rPr>
        <w:t xml:space="preserve">☐  Policy Compatibility Review Report</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Policy Establishment and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GOV-RISK-01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Risk Tolerance and Appetite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FAIR-OBJ-01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Objectives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GOV-POL-02: AI Policy Alignment with Organizational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2026-05-29T01:37:55.841Z</dcterms:created>
  <dcterms:modified xsi:type="dcterms:W3CDTF">2026-05-29T01:37:55.841Z</dcterms:modified>
</cp:coreProperties>
</file>

<file path=docProps/custom.xml><?xml version="1.0" encoding="utf-8"?>
<Properties xmlns="http://schemas.openxmlformats.org/officeDocument/2006/custom-properties" xmlns:vt="http://schemas.openxmlformats.org/officeDocument/2006/docPropsVTypes"/>
</file>