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GOV-POL-03 — AI Policy Review and Update Process</w:t>
      </w:r>
    </w:p>
    <w:p>
      <w:pPr>
        <w:spacing w:after="120"/>
      </w:pPr>
      <w:r>
        <w:rPr>
          <w:rFonts w:ascii="Arial" w:cs="Arial" w:eastAsia="Arial" w:hAnsi="Arial"/>
          <w:color w:val="666666"/>
          <w:sz w:val="17"/>
          <w:szCs w:val="17"/>
        </w:rPr>
        <w:t xml:space="preserve">Category: AI Governance &amp; Strategy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17(1): QMS shall be reviewed and maintained</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GOVERN.1.5: Plan ongoing monitoring and periodic review; MEASURE.1.2: Assess appropriateness of metrics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9.3.1: Review AI management system at planned intervals; Clause A.2.4: AI policy reviewed at planned intervals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execute a documented process for periodic review, assessment, and update of AI policies, ensuring policies remain current with regulatory changes, technological evolution, and organizational learning.</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Policy Review Schedule</w:t>
      </w:r>
    </w:p>
    <w:p>
      <w:pPr>
        <w:spacing w:after="60" w:line="270"/>
      </w:pPr>
      <w:r>
        <w:rPr>
          <w:rFonts w:ascii="Arial" w:cs="Arial" w:eastAsia="Arial" w:hAnsi="Arial"/>
          <w:sz w:val="17"/>
          <w:szCs w:val="17"/>
        </w:rPr>
        <w:t xml:space="preserve">This section addresses: Policy Review Schedule establishing scope, principles, roles, responsibilities, and compliance requirements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Standardized review process</w:t>
      </w:r>
    </w:p>
    <w:p>
      <w:pPr>
        <w:spacing w:after="60" w:line="270"/>
      </w:pPr>
      <w:r>
        <w:rPr>
          <w:rFonts w:ascii="Arial" w:cs="Arial" w:eastAsia="Arial" w:hAnsi="Arial"/>
          <w:sz w:val="17"/>
          <w:szCs w:val="17"/>
        </w:rPr>
        <w:t xml:space="preserve">This section addresses: Standardized review process defining inputs, decision points, quality gates, and output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Policy Change Log</w:t>
      </w:r>
    </w:p>
    <w:p>
      <w:pPr>
        <w:spacing w:after="60" w:line="270"/>
      </w:pPr>
      <w:r>
        <w:rPr>
          <w:rFonts w:ascii="Arial" w:cs="Arial" w:eastAsia="Arial" w:hAnsi="Arial"/>
          <w:sz w:val="17"/>
          <w:szCs w:val="17"/>
        </w:rPr>
        <w:t xml:space="preserve">This section addresses: Policy Change Log establishing scope, principles, roles, responsibilities, and compliance requirements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Feedback mechanism</w:t>
      </w:r>
    </w:p>
    <w:p>
      <w:pPr>
        <w:spacing w:after="60" w:line="270"/>
      </w:pPr>
      <w:r>
        <w:rPr>
          <w:rFonts w:ascii="Arial" w:cs="Arial" w:eastAsia="Arial" w:hAnsi="Arial"/>
          <w:sz w:val="17"/>
          <w:szCs w:val="17"/>
        </w:rPr>
        <w:t xml:space="preserve">This section addresses: Feedback mechanism with defined channels, response procedures, and effectiveness measurement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Policy Review Schedule</w:t>
      </w:r>
    </w:p>
    <w:p>
      <w:pPr>
        <w:spacing w:after="40"/>
      </w:pPr>
      <w:r>
        <w:rPr>
          <w:rFonts w:ascii="Arial" w:cs="Arial" w:eastAsia="Arial" w:hAnsi="Arial"/>
          <w:sz w:val="17"/>
          <w:szCs w:val="17"/>
        </w:rPr>
        <w:t xml:space="preserve">☐  Annual Policy Review Report</w:t>
      </w:r>
    </w:p>
    <w:p>
      <w:pPr>
        <w:spacing w:after="40"/>
      </w:pPr>
      <w:r>
        <w:rPr>
          <w:rFonts w:ascii="Arial" w:cs="Arial" w:eastAsia="Arial" w:hAnsi="Arial"/>
          <w:sz w:val="17"/>
          <w:szCs w:val="17"/>
        </w:rPr>
        <w:t xml:space="preserve">☐  Policy Change Log</w:t>
      </w:r>
    </w:p>
    <w:p>
      <w:pPr>
        <w:spacing w:after="40"/>
      </w:pPr>
      <w:r>
        <w:rPr>
          <w:rFonts w:ascii="Arial" w:cs="Arial" w:eastAsia="Arial" w:hAnsi="Arial"/>
          <w:sz w:val="17"/>
          <w:szCs w:val="17"/>
        </w:rPr>
        <w:t xml:space="preserve">☐  Stakeholder Feedback Summary</w:t>
      </w:r>
    </w:p>
    <w:p>
      <w:pPr>
        <w:spacing w:after="40"/>
      </w:pPr>
      <w:r>
        <w:rPr>
          <w:rFonts w:ascii="Arial" w:cs="Arial" w:eastAsia="Arial" w:hAnsi="Arial"/>
          <w:sz w:val="17"/>
          <w:szCs w:val="17"/>
        </w:rPr>
        <w:t xml:space="preserve">☐  Regulatory Change Impact Assessment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RISK-MON-01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Risk Monitoring and Review</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OPS-IMPROVE-01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Continual Improvement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OPS-MGMT-01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Management Review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GOV-POL-03: AI Policy Review and Update Process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2026-05-29T01:37:55.905Z</dcterms:created>
  <dcterms:modified xsi:type="dcterms:W3CDTF">2026-05-29T01:37:55.905Z</dcterms:modified>
</cp:coreProperties>
</file>

<file path=docProps/custom.xml><?xml version="1.0" encoding="utf-8"?>
<Properties xmlns="http://schemas.openxmlformats.org/officeDocument/2006/custom-properties" xmlns:vt="http://schemas.openxmlformats.org/officeDocument/2006/docPropsVTypes"/>
</file>