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RISK-MON-01 — Risk Monitoring and Review</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9(2): Risk management shall be continuous iterative process; Article 9(2)(c): Evaluate other risks from post-market monitoring data</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GOVERN.1.5: Plan ongoing monitoring and periodic review; MEASURE.1.2: Regularly assess appropriateness of metrics; MEASURE.3.1: Establish approaches to track existing and emergent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9.1: Determine what needs to be monitored and measured; Clause 9.3.2: Management review shall consider results of risk assessment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execute ongoing risk monitoring processes that track existing risks, identify emergent risks, assess control effectiveness, and trigger risk reassessment when thresholds are exceeded or significant changes occur.</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Monitoring Dashboard</w:t>
      </w:r>
    </w:p>
    <w:p>
      <w:pPr>
        <w:spacing w:after="60" w:line="270"/>
      </w:pPr>
      <w:r>
        <w:rPr>
          <w:rFonts w:ascii="Arial" w:cs="Arial" w:eastAsia="Arial" w:hAnsi="Arial"/>
          <w:sz w:val="17"/>
          <w:szCs w:val="17"/>
        </w:rPr>
        <w:t xml:space="preserve">This section addresses: Risk Monitoring Dashboard with defined KPIs, measurement methods, thresholds, and reporting cadence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Metric Review Schedule</w:t>
      </w:r>
    </w:p>
    <w:p>
      <w:pPr>
        <w:spacing w:after="60" w:line="270"/>
      </w:pPr>
      <w:r>
        <w:rPr>
          <w:rFonts w:ascii="Arial" w:cs="Arial" w:eastAsia="Arial" w:hAnsi="Arial"/>
          <w:sz w:val="17"/>
          <w:szCs w:val="17"/>
        </w:rPr>
        <w:t xml:space="preserve">This section addresses: Metric Review Schedule with defined frequencies, responsible parties, and trigger conditions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Control Effectiveness Assessment</w:t>
      </w:r>
    </w:p>
    <w:p>
      <w:pPr>
        <w:spacing w:after="60" w:line="270"/>
      </w:pPr>
      <w:r>
        <w:rPr>
          <w:rFonts w:ascii="Arial" w:cs="Arial" w:eastAsia="Arial" w:hAnsi="Arial"/>
          <w:sz w:val="17"/>
          <w:szCs w:val="17"/>
        </w:rPr>
        <w:t xml:space="preserve">This section addresses: Control Effectiveness Assessment with defined methodology, criteria, and documented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Post-Market Risk Update Report</w:t>
      </w:r>
    </w:p>
    <w:p>
      <w:pPr>
        <w:spacing w:after="60" w:line="270"/>
      </w:pPr>
      <w:r>
        <w:rPr>
          <w:rFonts w:ascii="Arial" w:cs="Arial" w:eastAsia="Arial" w:hAnsi="Arial"/>
          <w:sz w:val="17"/>
          <w:szCs w:val="17"/>
        </w:rPr>
        <w:t xml:space="preserve">This section addresses: Post-Market Risk Update Report documenting methodology, findings, conclusions, and recommended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Risk Trend Analysis identifying patterns, emerging risks, and forward-looking projections</w:t>
      </w:r>
    </w:p>
    <w:p>
      <w:pPr>
        <w:spacing w:after="60" w:line="270"/>
      </w:pPr>
      <w:r>
        <w:rPr>
          <w:rFonts w:ascii="Arial" w:cs="Arial" w:eastAsia="Arial" w:hAnsi="Arial"/>
          <w:sz w:val="17"/>
          <w:szCs w:val="17"/>
        </w:rPr>
        <w:t xml:space="preserve">This section addresses: Risk Trend Analysis identifying patterns, emerging risks, and forward-looking projections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Monitoring Dashboard</w:t>
      </w:r>
    </w:p>
    <w:p>
      <w:pPr>
        <w:spacing w:after="40"/>
      </w:pPr>
      <w:r>
        <w:rPr>
          <w:rFonts w:ascii="Arial" w:cs="Arial" w:eastAsia="Arial" w:hAnsi="Arial"/>
          <w:sz w:val="17"/>
          <w:szCs w:val="17"/>
        </w:rPr>
        <w:t xml:space="preserve">☐  Metric Review Schedule</w:t>
      </w:r>
    </w:p>
    <w:p>
      <w:pPr>
        <w:spacing w:after="40"/>
      </w:pPr>
      <w:r>
        <w:rPr>
          <w:rFonts w:ascii="Arial" w:cs="Arial" w:eastAsia="Arial" w:hAnsi="Arial"/>
          <w:sz w:val="17"/>
          <w:szCs w:val="17"/>
        </w:rPr>
        <w:t xml:space="preserve">☐  Control Effectiveness Assessment</w:t>
      </w:r>
    </w:p>
    <w:p>
      <w:pPr>
        <w:spacing w:after="40"/>
      </w:pPr>
      <w:r>
        <w:rPr>
          <w:rFonts w:ascii="Arial" w:cs="Arial" w:eastAsia="Arial" w:hAnsi="Arial"/>
          <w:sz w:val="17"/>
          <w:szCs w:val="17"/>
        </w:rPr>
        <w:t xml:space="preserve">☐  Post-Market Risk Update Report</w:t>
      </w:r>
    </w:p>
    <w:p>
      <w:pPr>
        <w:spacing w:after="40"/>
      </w:pPr>
      <w:r>
        <w:rPr>
          <w:rFonts w:ascii="Arial" w:cs="Arial" w:eastAsia="Arial" w:hAnsi="Arial"/>
          <w:sz w:val="17"/>
          <w:szCs w:val="17"/>
        </w:rPr>
        <w:t xml:space="preserve">☐  Risk Trend Analysis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GOV-POL-03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Policy Review and Update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RISK-MEAS-01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Measurement Approach Selection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GOV-STAKE-02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Feedback Integration Mechanisms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VER-METRIC-01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Performance Metric Validation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RISK-MON-01: Risk Monitoring and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2026-05-29T01:37:56.970Z</dcterms:created>
  <dcterms:modified xsi:type="dcterms:W3CDTF">2026-05-29T01:37:56.970Z</dcterms:modified>
</cp:coreProperties>
</file>

<file path=docProps/custom.xml><?xml version="1.0" encoding="utf-8"?>
<Properties xmlns="http://schemas.openxmlformats.org/officeDocument/2006/custom-properties" xmlns:vt="http://schemas.openxmlformats.org/officeDocument/2006/docPropsVTypes"/>
</file>